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A40C8" w14:textId="77777777" w:rsidR="002F20F1" w:rsidRPr="00BB2E63" w:rsidRDefault="002F20F1"/>
    <w:p w14:paraId="36941F02" w14:textId="77777777" w:rsidR="002F20F1" w:rsidRPr="00BB2E63" w:rsidRDefault="002F20F1">
      <w:pPr>
        <w:rPr>
          <w:rFonts w:ascii="Garamond" w:hAnsi="Garamond"/>
        </w:rPr>
      </w:pPr>
    </w:p>
    <w:p w14:paraId="6B766E35" w14:textId="77777777" w:rsidR="002F20F1" w:rsidRPr="00BB2E63" w:rsidRDefault="002F20F1">
      <w:pPr>
        <w:rPr>
          <w:rFonts w:ascii="Garamond" w:hAnsi="Garamond"/>
        </w:rPr>
      </w:pPr>
    </w:p>
    <w:p w14:paraId="396EE955" w14:textId="77777777" w:rsidR="002F20F1" w:rsidRPr="00BB2E63" w:rsidRDefault="002F20F1">
      <w:pPr>
        <w:rPr>
          <w:rFonts w:ascii="Garamond" w:hAnsi="Garamond"/>
        </w:rPr>
      </w:pPr>
    </w:p>
    <w:p w14:paraId="6EFA21F1" w14:textId="77777777" w:rsidR="002F20F1" w:rsidRPr="00BB2E63" w:rsidRDefault="002F20F1">
      <w:pPr>
        <w:rPr>
          <w:rFonts w:ascii="Garamond" w:hAnsi="Garamond"/>
        </w:rPr>
      </w:pPr>
    </w:p>
    <w:p w14:paraId="0CF50002" w14:textId="77777777" w:rsidR="002F20F1" w:rsidRPr="00BB2E63" w:rsidRDefault="002F20F1">
      <w:pPr>
        <w:rPr>
          <w:rFonts w:ascii="Garamond" w:hAnsi="Garamond"/>
        </w:rPr>
      </w:pPr>
    </w:p>
    <w:p w14:paraId="2E0DFE1B" w14:textId="77777777" w:rsidR="004A7B17" w:rsidRPr="00BB2E63" w:rsidRDefault="004A7B17">
      <w:pPr>
        <w:rPr>
          <w:rFonts w:ascii="Garamond" w:hAnsi="Garamond"/>
        </w:rPr>
      </w:pPr>
    </w:p>
    <w:p w14:paraId="69DA202E" w14:textId="77777777" w:rsidR="004A7B17" w:rsidRPr="00BB2E63" w:rsidRDefault="004A7B17">
      <w:pPr>
        <w:rPr>
          <w:rFonts w:ascii="Garamond" w:hAnsi="Garamond"/>
        </w:rPr>
      </w:pPr>
    </w:p>
    <w:p w14:paraId="701184C3" w14:textId="77777777" w:rsidR="00DE72F2" w:rsidRPr="00BB2E63" w:rsidRDefault="00DE72F2">
      <w:pPr>
        <w:rPr>
          <w:rFonts w:ascii="Garamond" w:hAnsi="Garamond"/>
        </w:rPr>
      </w:pPr>
    </w:p>
    <w:p w14:paraId="6B1F16F0" w14:textId="154DDB30" w:rsidR="00DE72F2" w:rsidRDefault="00DE72F2">
      <w:pPr>
        <w:rPr>
          <w:rFonts w:ascii="Garamond" w:hAnsi="Garamond"/>
        </w:rPr>
      </w:pPr>
    </w:p>
    <w:p w14:paraId="66DE8D50" w14:textId="77777777" w:rsidR="0086269F" w:rsidRDefault="0086269F">
      <w:pPr>
        <w:rPr>
          <w:rFonts w:ascii="Garamond" w:hAnsi="Garamond"/>
        </w:rPr>
      </w:pPr>
    </w:p>
    <w:p w14:paraId="22BFD6D2" w14:textId="77777777" w:rsidR="00F60A8E" w:rsidRDefault="00F60A8E">
      <w:pPr>
        <w:rPr>
          <w:rFonts w:ascii="Garamond" w:hAnsi="Garamond"/>
        </w:rPr>
      </w:pPr>
    </w:p>
    <w:p w14:paraId="201D28DF" w14:textId="77777777" w:rsidR="00F60A8E" w:rsidRDefault="00F60A8E">
      <w:pPr>
        <w:rPr>
          <w:rFonts w:ascii="Garamond" w:hAnsi="Garamond"/>
        </w:rPr>
      </w:pPr>
    </w:p>
    <w:p w14:paraId="19B5BDB8" w14:textId="77777777" w:rsidR="00F60A8E" w:rsidRDefault="00F60A8E">
      <w:pPr>
        <w:rPr>
          <w:rFonts w:ascii="Garamond" w:hAnsi="Garamond"/>
        </w:rPr>
      </w:pPr>
    </w:p>
    <w:p w14:paraId="6C3BF2FD" w14:textId="77777777" w:rsidR="00F60A8E" w:rsidRDefault="00F60A8E">
      <w:pPr>
        <w:rPr>
          <w:rFonts w:ascii="Garamond" w:hAnsi="Garamond"/>
        </w:rPr>
      </w:pPr>
    </w:p>
    <w:p w14:paraId="52E5C820" w14:textId="77777777" w:rsidR="00F60A8E" w:rsidRDefault="00F60A8E">
      <w:pPr>
        <w:rPr>
          <w:rFonts w:ascii="Garamond" w:hAnsi="Garamond"/>
        </w:rPr>
      </w:pPr>
    </w:p>
    <w:p w14:paraId="543B42F9" w14:textId="77777777" w:rsidR="004A7B17" w:rsidRPr="00BB2E63" w:rsidRDefault="004A7B17">
      <w:pPr>
        <w:rPr>
          <w:rFonts w:ascii="Garamond" w:hAnsi="Garamond"/>
        </w:rPr>
      </w:pPr>
    </w:p>
    <w:p w14:paraId="00853203" w14:textId="77777777" w:rsidR="004A7B17" w:rsidRPr="00BB2E63" w:rsidRDefault="004A7B17">
      <w:pPr>
        <w:rPr>
          <w:rFonts w:ascii="Garamond" w:hAnsi="Garamond"/>
        </w:rPr>
      </w:pPr>
    </w:p>
    <w:p w14:paraId="10DC519E" w14:textId="7B9A5DCD" w:rsidR="004A7B17" w:rsidRPr="00E478A2" w:rsidRDefault="004A7B17" w:rsidP="001B1133">
      <w:pPr>
        <w:tabs>
          <w:tab w:val="left" w:pos="7095"/>
        </w:tabs>
        <w:rPr>
          <w:rFonts w:ascii="Garamond" w:hAnsi="Garamond"/>
          <w:color w:val="0070C0"/>
        </w:rPr>
      </w:pPr>
    </w:p>
    <w:p w14:paraId="6F33DA89" w14:textId="77777777" w:rsidR="004A7B17" w:rsidRPr="00F57DE7" w:rsidRDefault="004A7B17" w:rsidP="004A7B17">
      <w:pPr>
        <w:jc w:val="center"/>
        <w:rPr>
          <w:rFonts w:asciiTheme="minorHAnsi" w:hAnsiTheme="minorHAnsi" w:cstheme="minorHAnsi"/>
          <w:b/>
          <w:color w:val="365F91"/>
          <w:sz w:val="56"/>
          <w:szCs w:val="48"/>
        </w:rPr>
      </w:pPr>
      <w:r w:rsidRPr="00F57DE7">
        <w:rPr>
          <w:rFonts w:asciiTheme="minorHAnsi" w:hAnsiTheme="minorHAnsi" w:cstheme="minorHAnsi"/>
          <w:b/>
          <w:color w:val="365F91"/>
          <w:sz w:val="56"/>
          <w:szCs w:val="48"/>
        </w:rPr>
        <w:t>RELATÓRIO &amp; CONTAS</w:t>
      </w:r>
    </w:p>
    <w:p w14:paraId="3353B1B2" w14:textId="5B320C65" w:rsidR="004A7B17" w:rsidRPr="00F57DE7" w:rsidRDefault="008263CF" w:rsidP="009E5EB3">
      <w:pPr>
        <w:tabs>
          <w:tab w:val="left" w:pos="4851"/>
        </w:tabs>
        <w:rPr>
          <w:rFonts w:asciiTheme="minorHAnsi" w:hAnsiTheme="minorHAnsi" w:cstheme="minorHAnsi"/>
          <w:b/>
          <w:color w:val="365F91"/>
          <w:sz w:val="56"/>
          <w:szCs w:val="48"/>
        </w:rPr>
      </w:pPr>
      <w:r>
        <w:rPr>
          <w:rFonts w:asciiTheme="minorHAnsi" w:hAnsiTheme="minorHAnsi" w:cstheme="minorHAnsi"/>
          <w:b/>
          <w:color w:val="365F91"/>
          <w:sz w:val="56"/>
          <w:szCs w:val="48"/>
        </w:rPr>
        <w:t xml:space="preserve">  </w:t>
      </w:r>
      <w:r w:rsidR="00A46D4E">
        <w:rPr>
          <w:rFonts w:asciiTheme="minorHAnsi" w:hAnsiTheme="minorHAnsi" w:cstheme="minorHAnsi"/>
          <w:b/>
          <w:color w:val="365F91"/>
          <w:sz w:val="56"/>
          <w:szCs w:val="48"/>
        </w:rPr>
        <w:t xml:space="preserve"> </w:t>
      </w:r>
    </w:p>
    <w:p w14:paraId="4F2A4CEE" w14:textId="77777777" w:rsidR="00277690" w:rsidRDefault="004A7B17" w:rsidP="004A7B17">
      <w:pPr>
        <w:jc w:val="center"/>
        <w:rPr>
          <w:rFonts w:asciiTheme="minorHAnsi" w:hAnsiTheme="minorHAnsi" w:cstheme="minorHAnsi"/>
          <w:b/>
          <w:color w:val="365F91"/>
          <w:sz w:val="56"/>
          <w:szCs w:val="48"/>
        </w:rPr>
      </w:pPr>
      <w:r w:rsidRPr="00F57DE7">
        <w:rPr>
          <w:rFonts w:asciiTheme="minorHAnsi" w:hAnsiTheme="minorHAnsi" w:cstheme="minorHAnsi"/>
          <w:b/>
          <w:color w:val="365F91"/>
          <w:sz w:val="56"/>
          <w:szCs w:val="48"/>
        </w:rPr>
        <w:t>20</w:t>
      </w:r>
      <w:r w:rsidR="00C35B49">
        <w:rPr>
          <w:rFonts w:asciiTheme="minorHAnsi" w:hAnsiTheme="minorHAnsi" w:cstheme="minorHAnsi"/>
          <w:b/>
          <w:color w:val="365F91"/>
          <w:sz w:val="56"/>
          <w:szCs w:val="48"/>
        </w:rPr>
        <w:t>2</w:t>
      </w:r>
      <w:r w:rsidR="00806C7A">
        <w:rPr>
          <w:rFonts w:asciiTheme="minorHAnsi" w:hAnsiTheme="minorHAnsi" w:cstheme="minorHAnsi"/>
          <w:b/>
          <w:color w:val="365F91"/>
          <w:sz w:val="56"/>
          <w:szCs w:val="48"/>
        </w:rPr>
        <w:t>5</w:t>
      </w:r>
    </w:p>
    <w:p w14:paraId="7716CF35" w14:textId="77777777" w:rsidR="00277690" w:rsidRDefault="00277690" w:rsidP="004A7B17">
      <w:pPr>
        <w:jc w:val="center"/>
        <w:rPr>
          <w:rFonts w:asciiTheme="minorHAnsi" w:hAnsiTheme="minorHAnsi" w:cstheme="minorHAnsi"/>
          <w:b/>
          <w:color w:val="365F91"/>
          <w:sz w:val="56"/>
          <w:szCs w:val="48"/>
        </w:rPr>
      </w:pPr>
    </w:p>
    <w:p w14:paraId="2D4E65E5" w14:textId="00988AF0" w:rsidR="004A7B17" w:rsidRPr="00B162F1" w:rsidRDefault="007C2ACB" w:rsidP="004A7B17">
      <w:pPr>
        <w:jc w:val="center"/>
        <w:rPr>
          <w:rFonts w:asciiTheme="minorHAnsi" w:hAnsiTheme="minorHAnsi" w:cstheme="minorHAnsi"/>
          <w:b/>
          <w:color w:val="0070C0"/>
          <w:sz w:val="48"/>
          <w:szCs w:val="48"/>
        </w:rPr>
      </w:pPr>
      <w:r w:rsidRPr="00F57DE7">
        <w:rPr>
          <w:rFonts w:asciiTheme="minorHAnsi" w:hAnsiTheme="minorHAnsi" w:cstheme="minorHAnsi"/>
          <w:b/>
          <w:color w:val="365F91"/>
          <w:sz w:val="56"/>
          <w:szCs w:val="48"/>
        </w:rPr>
        <w:t>PARVALOREM</w:t>
      </w:r>
      <w:r w:rsidR="00E269D8" w:rsidRPr="00F57DE7">
        <w:rPr>
          <w:rFonts w:asciiTheme="minorHAnsi" w:hAnsiTheme="minorHAnsi" w:cstheme="minorHAnsi"/>
          <w:b/>
          <w:color w:val="365F91"/>
          <w:sz w:val="56"/>
          <w:szCs w:val="48"/>
        </w:rPr>
        <w:t>,</w:t>
      </w:r>
      <w:r w:rsidR="004A7B17" w:rsidRPr="00F57DE7">
        <w:rPr>
          <w:rFonts w:asciiTheme="minorHAnsi" w:hAnsiTheme="minorHAnsi" w:cstheme="minorHAnsi"/>
          <w:b/>
          <w:color w:val="365F91"/>
          <w:sz w:val="56"/>
          <w:szCs w:val="48"/>
        </w:rPr>
        <w:t xml:space="preserve"> S.A.</w:t>
      </w:r>
      <w:r w:rsidR="0092216F">
        <w:rPr>
          <w:rFonts w:asciiTheme="minorHAnsi" w:hAnsiTheme="minorHAnsi" w:cstheme="minorHAnsi"/>
          <w:b/>
          <w:color w:val="365F91"/>
          <w:sz w:val="56"/>
          <w:szCs w:val="48"/>
        </w:rPr>
        <w:t xml:space="preserve"> </w:t>
      </w:r>
    </w:p>
    <w:p w14:paraId="33A7D417" w14:textId="77777777" w:rsidR="002F20F1" w:rsidRPr="00B162F1" w:rsidRDefault="002F20F1" w:rsidP="004A7B17">
      <w:pPr>
        <w:jc w:val="center"/>
        <w:rPr>
          <w:rFonts w:asciiTheme="minorHAnsi" w:hAnsiTheme="minorHAnsi" w:cstheme="minorHAnsi"/>
          <w:b/>
          <w:color w:val="0070C0"/>
          <w:sz w:val="48"/>
          <w:szCs w:val="48"/>
        </w:rPr>
      </w:pPr>
    </w:p>
    <w:p w14:paraId="48803E49" w14:textId="77777777" w:rsidR="002F20F1" w:rsidRPr="00B162F1" w:rsidRDefault="002F20F1">
      <w:pPr>
        <w:rPr>
          <w:rFonts w:asciiTheme="minorHAnsi" w:hAnsiTheme="minorHAnsi" w:cstheme="minorHAnsi"/>
          <w:color w:val="0070C0"/>
        </w:rPr>
      </w:pPr>
    </w:p>
    <w:p w14:paraId="7AE25EBE" w14:textId="77777777" w:rsidR="002F20F1" w:rsidRPr="00B162F1" w:rsidRDefault="002F20F1">
      <w:pPr>
        <w:rPr>
          <w:rFonts w:asciiTheme="minorHAnsi" w:hAnsiTheme="minorHAnsi" w:cstheme="minorHAnsi"/>
          <w:color w:val="0070C0"/>
        </w:rPr>
      </w:pPr>
    </w:p>
    <w:p w14:paraId="59599243" w14:textId="77777777" w:rsidR="002F20F1" w:rsidRPr="00B162F1" w:rsidRDefault="002F20F1">
      <w:pPr>
        <w:rPr>
          <w:rFonts w:asciiTheme="minorHAnsi" w:hAnsiTheme="minorHAnsi" w:cstheme="minorHAnsi"/>
          <w:color w:val="0070C0"/>
        </w:rPr>
      </w:pPr>
    </w:p>
    <w:p w14:paraId="5C4CFC44" w14:textId="77777777" w:rsidR="002F20F1" w:rsidRPr="00B162F1" w:rsidRDefault="002F20F1">
      <w:pPr>
        <w:rPr>
          <w:rFonts w:asciiTheme="minorHAnsi" w:hAnsiTheme="minorHAnsi" w:cstheme="minorHAnsi"/>
          <w:color w:val="0070C0"/>
        </w:rPr>
      </w:pPr>
    </w:p>
    <w:p w14:paraId="10769413" w14:textId="77777777" w:rsidR="002F20F1" w:rsidRPr="00B162F1" w:rsidRDefault="002F20F1">
      <w:pPr>
        <w:rPr>
          <w:rFonts w:asciiTheme="minorHAnsi" w:hAnsiTheme="minorHAnsi" w:cstheme="minorHAnsi"/>
          <w:color w:val="0070C0"/>
        </w:rPr>
      </w:pPr>
    </w:p>
    <w:p w14:paraId="301B4870" w14:textId="77777777" w:rsidR="002F20F1" w:rsidRPr="00B162F1" w:rsidRDefault="002F20F1">
      <w:pPr>
        <w:rPr>
          <w:rFonts w:asciiTheme="minorHAnsi" w:hAnsiTheme="minorHAnsi" w:cstheme="minorHAnsi"/>
        </w:rPr>
      </w:pPr>
    </w:p>
    <w:p w14:paraId="21B6B89F" w14:textId="77777777" w:rsidR="002F20F1" w:rsidRPr="00BB2E63" w:rsidRDefault="002F20F1">
      <w:pPr>
        <w:rPr>
          <w:rFonts w:ascii="Garamond" w:hAnsi="Garamond"/>
        </w:rPr>
      </w:pPr>
    </w:p>
    <w:p w14:paraId="79D56D9F" w14:textId="77777777" w:rsidR="002F20F1" w:rsidRPr="00BB2E63" w:rsidRDefault="002F20F1">
      <w:pPr>
        <w:rPr>
          <w:rFonts w:ascii="Garamond" w:hAnsi="Garamond"/>
        </w:rPr>
      </w:pPr>
    </w:p>
    <w:p w14:paraId="0BDB6001" w14:textId="77777777" w:rsidR="00867666" w:rsidRPr="00BB2E63" w:rsidRDefault="00867666">
      <w:pPr>
        <w:rPr>
          <w:rFonts w:ascii="Garamond" w:hAnsi="Garamond"/>
        </w:rPr>
      </w:pPr>
    </w:p>
    <w:p w14:paraId="79FEC7EC" w14:textId="77777777" w:rsidR="00867666" w:rsidRPr="00BB2E63" w:rsidRDefault="00867666">
      <w:pPr>
        <w:rPr>
          <w:rFonts w:ascii="Garamond" w:hAnsi="Garamond"/>
        </w:rPr>
      </w:pPr>
    </w:p>
    <w:p w14:paraId="3E48A677" w14:textId="77777777" w:rsidR="00867666" w:rsidRPr="00BB2E63" w:rsidRDefault="00867666">
      <w:pPr>
        <w:rPr>
          <w:rFonts w:ascii="Garamond" w:hAnsi="Garamond"/>
        </w:rPr>
      </w:pPr>
    </w:p>
    <w:p w14:paraId="0426F548" w14:textId="77777777" w:rsidR="00867666" w:rsidRPr="00BB2E63" w:rsidRDefault="00867666">
      <w:pPr>
        <w:rPr>
          <w:rFonts w:ascii="Garamond" w:hAnsi="Garamond"/>
        </w:rPr>
      </w:pPr>
    </w:p>
    <w:p w14:paraId="659C7AA9" w14:textId="77777777" w:rsidR="00867666" w:rsidRPr="00BB2E63" w:rsidRDefault="00867666">
      <w:pPr>
        <w:rPr>
          <w:rFonts w:ascii="Garamond" w:hAnsi="Garamond"/>
        </w:rPr>
      </w:pPr>
    </w:p>
    <w:p w14:paraId="3F1A8561" w14:textId="77777777" w:rsidR="00867666" w:rsidRPr="00BB2E63" w:rsidRDefault="00867666">
      <w:pPr>
        <w:rPr>
          <w:rFonts w:ascii="Garamond" w:hAnsi="Garamond"/>
        </w:rPr>
      </w:pPr>
    </w:p>
    <w:p w14:paraId="777BA7DC" w14:textId="77777777" w:rsidR="00867666" w:rsidRPr="00BB2E63" w:rsidRDefault="00867666">
      <w:pPr>
        <w:rPr>
          <w:rFonts w:ascii="Garamond" w:hAnsi="Garamond"/>
        </w:rPr>
      </w:pPr>
    </w:p>
    <w:p w14:paraId="5DE3AA04" w14:textId="77777777" w:rsidR="00867666" w:rsidRPr="00BB2E63" w:rsidRDefault="00867666">
      <w:pPr>
        <w:rPr>
          <w:rFonts w:ascii="Garamond" w:hAnsi="Garamond"/>
        </w:rPr>
      </w:pPr>
    </w:p>
    <w:p w14:paraId="01FE487A" w14:textId="77777777" w:rsidR="00867666" w:rsidRPr="00BB2E63" w:rsidRDefault="00867666">
      <w:pPr>
        <w:rPr>
          <w:rFonts w:ascii="Garamond" w:hAnsi="Garamond"/>
        </w:rPr>
      </w:pPr>
    </w:p>
    <w:p w14:paraId="007406B1" w14:textId="77777777" w:rsidR="00A72654" w:rsidRDefault="00A72654">
      <w:pPr>
        <w:jc w:val="center"/>
        <w:rPr>
          <w:rFonts w:asciiTheme="minorHAnsi" w:hAnsiTheme="minorHAnsi" w:cstheme="minorHAnsi"/>
          <w:b/>
          <w:sz w:val="22"/>
          <w:szCs w:val="22"/>
        </w:rPr>
      </w:pPr>
    </w:p>
    <w:p w14:paraId="48AC0BDD" w14:textId="77777777" w:rsidR="00A72654" w:rsidRDefault="00A72654">
      <w:pPr>
        <w:jc w:val="center"/>
        <w:rPr>
          <w:rFonts w:asciiTheme="minorHAnsi" w:hAnsiTheme="minorHAnsi" w:cstheme="minorHAnsi"/>
          <w:b/>
          <w:sz w:val="22"/>
          <w:szCs w:val="22"/>
        </w:rPr>
      </w:pPr>
    </w:p>
    <w:p w14:paraId="141EEB71" w14:textId="77777777" w:rsidR="00A72654" w:rsidRDefault="00A72654">
      <w:pPr>
        <w:jc w:val="center"/>
        <w:rPr>
          <w:rFonts w:asciiTheme="minorHAnsi" w:hAnsiTheme="minorHAnsi" w:cstheme="minorHAnsi"/>
          <w:b/>
          <w:sz w:val="22"/>
          <w:szCs w:val="22"/>
        </w:rPr>
      </w:pPr>
    </w:p>
    <w:p w14:paraId="132F2ED0" w14:textId="0B4FEC0A" w:rsidR="008B756F" w:rsidRDefault="008B756F">
      <w:pPr>
        <w:jc w:val="center"/>
        <w:rPr>
          <w:rFonts w:asciiTheme="minorHAnsi" w:hAnsiTheme="minorHAnsi" w:cstheme="minorHAnsi"/>
          <w:b/>
          <w:sz w:val="22"/>
          <w:szCs w:val="22"/>
        </w:rPr>
      </w:pPr>
      <w:r w:rsidRPr="00F57DE7">
        <w:rPr>
          <w:rFonts w:asciiTheme="minorHAnsi" w:hAnsiTheme="minorHAnsi" w:cstheme="minorHAnsi"/>
          <w:b/>
          <w:sz w:val="22"/>
          <w:szCs w:val="22"/>
        </w:rPr>
        <w:t>ÍNDICE</w:t>
      </w:r>
    </w:p>
    <w:p w14:paraId="1EA4B275" w14:textId="77777777" w:rsidR="00741EF4" w:rsidRPr="00F57DE7" w:rsidRDefault="00741EF4">
      <w:pPr>
        <w:jc w:val="center"/>
        <w:rPr>
          <w:rFonts w:asciiTheme="minorHAnsi" w:hAnsiTheme="minorHAnsi" w:cstheme="minorHAnsi"/>
          <w:b/>
          <w:sz w:val="22"/>
          <w:szCs w:val="22"/>
        </w:rPr>
      </w:pPr>
    </w:p>
    <w:p w14:paraId="1423A7C7" w14:textId="77777777" w:rsidR="008B756F" w:rsidRPr="00F212E5" w:rsidRDefault="008B756F">
      <w:pPr>
        <w:rPr>
          <w:rFonts w:asciiTheme="minorHAnsi" w:hAnsiTheme="minorHAnsi" w:cstheme="minorHAnsi"/>
          <w:sz w:val="20"/>
          <w:szCs w:val="20"/>
        </w:rPr>
      </w:pPr>
    </w:p>
    <w:p w14:paraId="20E6A3E3" w14:textId="7B781694" w:rsidR="00ED4A43" w:rsidRPr="00ED4A43" w:rsidRDefault="00553198">
      <w:pPr>
        <w:pStyle w:val="ndice1"/>
        <w:rPr>
          <w:rFonts w:asciiTheme="minorHAnsi" w:eastAsiaTheme="minorEastAsia" w:hAnsiTheme="minorHAnsi" w:cstheme="minorHAnsi"/>
          <w:b w:val="0"/>
          <w:bCs w:val="0"/>
          <w:caps w:val="0"/>
          <w:kern w:val="2"/>
          <w:sz w:val="18"/>
          <w:szCs w:val="18"/>
          <w:lang w:eastAsia="pt-PT"/>
          <w14:ligatures w14:val="standardContextual"/>
        </w:rPr>
      </w:pPr>
      <w:r w:rsidRPr="00ED4A43">
        <w:rPr>
          <w:rFonts w:asciiTheme="minorHAnsi" w:hAnsiTheme="minorHAnsi" w:cstheme="minorHAnsi"/>
          <w:noProof w:val="0"/>
          <w:sz w:val="18"/>
          <w:szCs w:val="18"/>
        </w:rPr>
        <w:fldChar w:fldCharType="begin"/>
      </w:r>
      <w:r w:rsidR="00EF74B2" w:rsidRPr="00ED4A43">
        <w:rPr>
          <w:rFonts w:asciiTheme="minorHAnsi" w:hAnsiTheme="minorHAnsi" w:cstheme="minorHAnsi"/>
          <w:noProof w:val="0"/>
          <w:sz w:val="18"/>
          <w:szCs w:val="18"/>
        </w:rPr>
        <w:instrText xml:space="preserve"> TOC \o "1-3" \h \z \u </w:instrText>
      </w:r>
      <w:r w:rsidRPr="00ED4A43">
        <w:rPr>
          <w:rFonts w:asciiTheme="minorHAnsi" w:hAnsiTheme="minorHAnsi" w:cstheme="minorHAnsi"/>
          <w:noProof w:val="0"/>
          <w:sz w:val="18"/>
          <w:szCs w:val="18"/>
        </w:rPr>
        <w:fldChar w:fldCharType="separate"/>
      </w:r>
      <w:hyperlink w:anchor="_Toc221618453" w:history="1">
        <w:r w:rsidR="00ED4A43" w:rsidRPr="00ED4A43">
          <w:rPr>
            <w:rStyle w:val="Hiperligao"/>
            <w:rFonts w:asciiTheme="minorHAnsi" w:hAnsiTheme="minorHAnsi" w:cstheme="minorHAnsi"/>
            <w:sz w:val="18"/>
            <w:szCs w:val="18"/>
          </w:rPr>
          <w:t>MENSAGEM DA PRESIDENTE</w:t>
        </w:r>
        <w:r w:rsidR="00ED4A43" w:rsidRPr="00ED4A43">
          <w:rPr>
            <w:rFonts w:asciiTheme="minorHAnsi" w:hAnsiTheme="minorHAnsi" w:cstheme="minorHAnsi"/>
            <w:webHidden/>
            <w:sz w:val="18"/>
            <w:szCs w:val="18"/>
          </w:rPr>
          <w:tab/>
        </w:r>
        <w:r w:rsidR="00ED4A43" w:rsidRPr="00ED4A43">
          <w:rPr>
            <w:rFonts w:asciiTheme="minorHAnsi" w:hAnsiTheme="minorHAnsi" w:cstheme="minorHAnsi"/>
            <w:webHidden/>
            <w:sz w:val="18"/>
            <w:szCs w:val="18"/>
          </w:rPr>
          <w:fldChar w:fldCharType="begin"/>
        </w:r>
        <w:r w:rsidR="00ED4A43" w:rsidRPr="00ED4A43">
          <w:rPr>
            <w:rFonts w:asciiTheme="minorHAnsi" w:hAnsiTheme="minorHAnsi" w:cstheme="minorHAnsi"/>
            <w:webHidden/>
            <w:sz w:val="18"/>
            <w:szCs w:val="18"/>
          </w:rPr>
          <w:instrText xml:space="preserve"> PAGEREF _Toc221618453 \h </w:instrText>
        </w:r>
        <w:r w:rsidR="00ED4A43" w:rsidRPr="00ED4A43">
          <w:rPr>
            <w:rFonts w:asciiTheme="minorHAnsi" w:hAnsiTheme="minorHAnsi" w:cstheme="minorHAnsi"/>
            <w:webHidden/>
            <w:sz w:val="18"/>
            <w:szCs w:val="18"/>
          </w:rPr>
        </w:r>
        <w:r w:rsidR="00ED4A43" w:rsidRPr="00ED4A43">
          <w:rPr>
            <w:rFonts w:asciiTheme="minorHAnsi" w:hAnsiTheme="minorHAnsi" w:cstheme="minorHAnsi"/>
            <w:webHidden/>
            <w:sz w:val="18"/>
            <w:szCs w:val="18"/>
          </w:rPr>
          <w:fldChar w:fldCharType="separate"/>
        </w:r>
        <w:r w:rsidR="008A0314">
          <w:rPr>
            <w:rFonts w:asciiTheme="minorHAnsi" w:hAnsiTheme="minorHAnsi" w:cstheme="minorHAnsi"/>
            <w:webHidden/>
            <w:sz w:val="18"/>
            <w:szCs w:val="18"/>
          </w:rPr>
          <w:t>3</w:t>
        </w:r>
        <w:r w:rsidR="00ED4A43" w:rsidRPr="00ED4A43">
          <w:rPr>
            <w:rFonts w:asciiTheme="minorHAnsi" w:hAnsiTheme="minorHAnsi" w:cstheme="minorHAnsi"/>
            <w:webHidden/>
            <w:sz w:val="18"/>
            <w:szCs w:val="18"/>
          </w:rPr>
          <w:fldChar w:fldCharType="end"/>
        </w:r>
      </w:hyperlink>
    </w:p>
    <w:p w14:paraId="4B29EF2A" w14:textId="34BB48FF" w:rsidR="00ED4A43" w:rsidRPr="00ED4A43" w:rsidRDefault="00ED4A43">
      <w:pPr>
        <w:pStyle w:val="ndice1"/>
        <w:rPr>
          <w:rFonts w:asciiTheme="minorHAnsi" w:eastAsiaTheme="minorEastAsia" w:hAnsiTheme="minorHAnsi" w:cstheme="minorHAnsi"/>
          <w:b w:val="0"/>
          <w:bCs w:val="0"/>
          <w:caps w:val="0"/>
          <w:kern w:val="2"/>
          <w:sz w:val="18"/>
          <w:szCs w:val="18"/>
          <w:lang w:eastAsia="pt-PT"/>
          <w14:ligatures w14:val="standardContextual"/>
        </w:rPr>
      </w:pPr>
      <w:hyperlink w:anchor="_Toc221618454" w:history="1">
        <w:r w:rsidRPr="00ED4A43">
          <w:rPr>
            <w:rStyle w:val="Hiperligao"/>
            <w:rFonts w:asciiTheme="minorHAnsi" w:hAnsiTheme="minorHAnsi" w:cstheme="minorHAnsi"/>
            <w:sz w:val="18"/>
            <w:szCs w:val="18"/>
          </w:rPr>
          <w:t>1. RELATÓRIO DE GESTÃO</w:t>
        </w:r>
        <w:r w:rsidRPr="00ED4A43">
          <w:rPr>
            <w:rFonts w:asciiTheme="minorHAnsi" w:hAnsiTheme="minorHAnsi" w:cstheme="minorHAnsi"/>
            <w:webHidden/>
            <w:sz w:val="18"/>
            <w:szCs w:val="18"/>
          </w:rPr>
          <w:tab/>
        </w:r>
        <w:r w:rsidRPr="00ED4A43">
          <w:rPr>
            <w:rFonts w:asciiTheme="minorHAnsi" w:hAnsiTheme="minorHAnsi" w:cstheme="minorHAnsi"/>
            <w:webHidden/>
            <w:sz w:val="18"/>
            <w:szCs w:val="18"/>
          </w:rPr>
          <w:fldChar w:fldCharType="begin"/>
        </w:r>
        <w:r w:rsidRPr="00ED4A43">
          <w:rPr>
            <w:rFonts w:asciiTheme="minorHAnsi" w:hAnsiTheme="minorHAnsi" w:cstheme="minorHAnsi"/>
            <w:webHidden/>
            <w:sz w:val="18"/>
            <w:szCs w:val="18"/>
          </w:rPr>
          <w:instrText xml:space="preserve"> PAGEREF _Toc221618454 \h </w:instrText>
        </w:r>
        <w:r w:rsidRPr="00ED4A43">
          <w:rPr>
            <w:rFonts w:asciiTheme="minorHAnsi" w:hAnsiTheme="minorHAnsi" w:cstheme="minorHAnsi"/>
            <w:webHidden/>
            <w:sz w:val="18"/>
            <w:szCs w:val="18"/>
          </w:rPr>
        </w:r>
        <w:r w:rsidRPr="00ED4A43">
          <w:rPr>
            <w:rFonts w:asciiTheme="minorHAnsi" w:hAnsiTheme="minorHAnsi" w:cstheme="minorHAnsi"/>
            <w:webHidden/>
            <w:sz w:val="18"/>
            <w:szCs w:val="18"/>
          </w:rPr>
          <w:fldChar w:fldCharType="separate"/>
        </w:r>
        <w:r w:rsidR="008A0314">
          <w:rPr>
            <w:rFonts w:asciiTheme="minorHAnsi" w:hAnsiTheme="minorHAnsi" w:cstheme="minorHAnsi"/>
            <w:webHidden/>
            <w:sz w:val="18"/>
            <w:szCs w:val="18"/>
          </w:rPr>
          <w:t>5</w:t>
        </w:r>
        <w:r w:rsidRPr="00ED4A43">
          <w:rPr>
            <w:rFonts w:asciiTheme="minorHAnsi" w:hAnsiTheme="minorHAnsi" w:cstheme="minorHAnsi"/>
            <w:webHidden/>
            <w:sz w:val="18"/>
            <w:szCs w:val="18"/>
          </w:rPr>
          <w:fldChar w:fldCharType="end"/>
        </w:r>
      </w:hyperlink>
    </w:p>
    <w:p w14:paraId="22C904D6" w14:textId="707C7D50" w:rsidR="00ED4A43" w:rsidRPr="00ED4A43" w:rsidRDefault="00ED4A43">
      <w:pPr>
        <w:pStyle w:val="ndice2"/>
        <w:rPr>
          <w:rFonts w:eastAsiaTheme="minorEastAsia"/>
          <w:smallCaps w:val="0"/>
          <w:kern w:val="2"/>
          <w:sz w:val="18"/>
          <w:szCs w:val="18"/>
          <w:lang w:val="pt-PT" w:eastAsia="pt-PT"/>
          <w14:ligatures w14:val="standardContextual"/>
        </w:rPr>
      </w:pPr>
      <w:hyperlink w:anchor="_Toc221618455" w:history="1">
        <w:r w:rsidRPr="00ED4A43">
          <w:rPr>
            <w:rStyle w:val="Hiperligao"/>
            <w:sz w:val="18"/>
            <w:szCs w:val="18"/>
          </w:rPr>
          <w:t>1.1 Introdução</w:t>
        </w:r>
        <w:r w:rsidRPr="00ED4A43">
          <w:rPr>
            <w:webHidden/>
            <w:sz w:val="18"/>
            <w:szCs w:val="18"/>
          </w:rPr>
          <w:tab/>
        </w:r>
        <w:r w:rsidRPr="00ED4A43">
          <w:rPr>
            <w:webHidden/>
            <w:sz w:val="18"/>
            <w:szCs w:val="18"/>
          </w:rPr>
          <w:fldChar w:fldCharType="begin"/>
        </w:r>
        <w:r w:rsidRPr="00ED4A43">
          <w:rPr>
            <w:webHidden/>
            <w:sz w:val="18"/>
            <w:szCs w:val="18"/>
          </w:rPr>
          <w:instrText xml:space="preserve"> PAGEREF _Toc221618455 \h </w:instrText>
        </w:r>
        <w:r w:rsidRPr="00ED4A43">
          <w:rPr>
            <w:webHidden/>
            <w:sz w:val="18"/>
            <w:szCs w:val="18"/>
          </w:rPr>
        </w:r>
        <w:r w:rsidRPr="00ED4A43">
          <w:rPr>
            <w:webHidden/>
            <w:sz w:val="18"/>
            <w:szCs w:val="18"/>
          </w:rPr>
          <w:fldChar w:fldCharType="separate"/>
        </w:r>
        <w:r w:rsidR="008A0314">
          <w:rPr>
            <w:webHidden/>
            <w:sz w:val="18"/>
            <w:szCs w:val="18"/>
          </w:rPr>
          <w:t>6</w:t>
        </w:r>
        <w:r w:rsidRPr="00ED4A43">
          <w:rPr>
            <w:webHidden/>
            <w:sz w:val="18"/>
            <w:szCs w:val="18"/>
          </w:rPr>
          <w:fldChar w:fldCharType="end"/>
        </w:r>
      </w:hyperlink>
    </w:p>
    <w:p w14:paraId="14CB52C5" w14:textId="259AB235" w:rsidR="00ED4A43" w:rsidRPr="00ED4A43" w:rsidRDefault="00ED4A43">
      <w:pPr>
        <w:pStyle w:val="ndice2"/>
        <w:rPr>
          <w:rFonts w:eastAsiaTheme="minorEastAsia"/>
          <w:smallCaps w:val="0"/>
          <w:kern w:val="2"/>
          <w:sz w:val="18"/>
          <w:szCs w:val="18"/>
          <w:lang w:val="pt-PT" w:eastAsia="pt-PT"/>
          <w14:ligatures w14:val="standardContextual"/>
        </w:rPr>
      </w:pPr>
      <w:hyperlink w:anchor="_Toc221618456" w:history="1">
        <w:r w:rsidRPr="00ED4A43">
          <w:rPr>
            <w:rStyle w:val="Hiperligao"/>
            <w:bCs/>
            <w:iCs/>
            <w:sz w:val="18"/>
            <w:szCs w:val="18"/>
          </w:rPr>
          <w:t>1.2 Órgãos Sociais</w:t>
        </w:r>
        <w:r w:rsidRPr="00ED4A43">
          <w:rPr>
            <w:webHidden/>
            <w:sz w:val="18"/>
            <w:szCs w:val="18"/>
          </w:rPr>
          <w:tab/>
        </w:r>
        <w:r w:rsidRPr="00ED4A43">
          <w:rPr>
            <w:webHidden/>
            <w:sz w:val="18"/>
            <w:szCs w:val="18"/>
          </w:rPr>
          <w:fldChar w:fldCharType="begin"/>
        </w:r>
        <w:r w:rsidRPr="00ED4A43">
          <w:rPr>
            <w:webHidden/>
            <w:sz w:val="18"/>
            <w:szCs w:val="18"/>
          </w:rPr>
          <w:instrText xml:space="preserve"> PAGEREF _Toc221618456 \h </w:instrText>
        </w:r>
        <w:r w:rsidRPr="00ED4A43">
          <w:rPr>
            <w:webHidden/>
            <w:sz w:val="18"/>
            <w:szCs w:val="18"/>
          </w:rPr>
        </w:r>
        <w:r w:rsidRPr="00ED4A43">
          <w:rPr>
            <w:webHidden/>
            <w:sz w:val="18"/>
            <w:szCs w:val="18"/>
          </w:rPr>
          <w:fldChar w:fldCharType="separate"/>
        </w:r>
        <w:r w:rsidR="008A0314">
          <w:rPr>
            <w:webHidden/>
            <w:sz w:val="18"/>
            <w:szCs w:val="18"/>
          </w:rPr>
          <w:t>8</w:t>
        </w:r>
        <w:r w:rsidRPr="00ED4A43">
          <w:rPr>
            <w:webHidden/>
            <w:sz w:val="18"/>
            <w:szCs w:val="18"/>
          </w:rPr>
          <w:fldChar w:fldCharType="end"/>
        </w:r>
      </w:hyperlink>
    </w:p>
    <w:p w14:paraId="57331EEA" w14:textId="102FFBF3" w:rsidR="00ED4A43" w:rsidRPr="00ED4A43" w:rsidRDefault="00ED4A43">
      <w:pPr>
        <w:pStyle w:val="ndice2"/>
        <w:rPr>
          <w:rFonts w:eastAsiaTheme="minorEastAsia"/>
          <w:smallCaps w:val="0"/>
          <w:kern w:val="2"/>
          <w:sz w:val="18"/>
          <w:szCs w:val="18"/>
          <w:lang w:val="pt-PT" w:eastAsia="pt-PT"/>
          <w14:ligatures w14:val="standardContextual"/>
        </w:rPr>
      </w:pPr>
      <w:hyperlink w:anchor="_Toc221618457" w:history="1">
        <w:r w:rsidRPr="00ED4A43">
          <w:rPr>
            <w:rStyle w:val="Hiperligao"/>
            <w:sz w:val="18"/>
            <w:szCs w:val="18"/>
          </w:rPr>
          <w:t>1.3 Enquadramento Macroeconómico</w:t>
        </w:r>
        <w:r w:rsidRPr="00ED4A43">
          <w:rPr>
            <w:webHidden/>
            <w:sz w:val="18"/>
            <w:szCs w:val="18"/>
          </w:rPr>
          <w:tab/>
        </w:r>
        <w:r w:rsidRPr="00ED4A43">
          <w:rPr>
            <w:webHidden/>
            <w:sz w:val="18"/>
            <w:szCs w:val="18"/>
          </w:rPr>
          <w:fldChar w:fldCharType="begin"/>
        </w:r>
        <w:r w:rsidRPr="00ED4A43">
          <w:rPr>
            <w:webHidden/>
            <w:sz w:val="18"/>
            <w:szCs w:val="18"/>
          </w:rPr>
          <w:instrText xml:space="preserve"> PAGEREF _Toc221618457 \h </w:instrText>
        </w:r>
        <w:r w:rsidRPr="00ED4A43">
          <w:rPr>
            <w:webHidden/>
            <w:sz w:val="18"/>
            <w:szCs w:val="18"/>
          </w:rPr>
        </w:r>
        <w:r w:rsidRPr="00ED4A43">
          <w:rPr>
            <w:webHidden/>
            <w:sz w:val="18"/>
            <w:szCs w:val="18"/>
          </w:rPr>
          <w:fldChar w:fldCharType="separate"/>
        </w:r>
        <w:r w:rsidR="008A0314">
          <w:rPr>
            <w:webHidden/>
            <w:sz w:val="18"/>
            <w:szCs w:val="18"/>
          </w:rPr>
          <w:t>9</w:t>
        </w:r>
        <w:r w:rsidRPr="00ED4A43">
          <w:rPr>
            <w:webHidden/>
            <w:sz w:val="18"/>
            <w:szCs w:val="18"/>
          </w:rPr>
          <w:fldChar w:fldCharType="end"/>
        </w:r>
      </w:hyperlink>
    </w:p>
    <w:p w14:paraId="5F35DE8F" w14:textId="2BC92B1E" w:rsidR="00ED4A43" w:rsidRPr="00ED4A43" w:rsidRDefault="00ED4A43">
      <w:pPr>
        <w:pStyle w:val="ndice2"/>
        <w:rPr>
          <w:rFonts w:eastAsiaTheme="minorEastAsia"/>
          <w:smallCaps w:val="0"/>
          <w:kern w:val="2"/>
          <w:sz w:val="18"/>
          <w:szCs w:val="18"/>
          <w:lang w:val="pt-PT" w:eastAsia="pt-PT"/>
          <w14:ligatures w14:val="standardContextual"/>
        </w:rPr>
      </w:pPr>
      <w:hyperlink w:anchor="_Toc221618458" w:history="1">
        <w:r w:rsidRPr="00ED4A43">
          <w:rPr>
            <w:rStyle w:val="Hiperligao"/>
            <w:sz w:val="18"/>
            <w:szCs w:val="18"/>
          </w:rPr>
          <w:t>1.4 Evolução da Atividade da Sociedade</w:t>
        </w:r>
        <w:r w:rsidRPr="00ED4A43">
          <w:rPr>
            <w:webHidden/>
            <w:sz w:val="18"/>
            <w:szCs w:val="18"/>
          </w:rPr>
          <w:tab/>
        </w:r>
        <w:r w:rsidRPr="00ED4A43">
          <w:rPr>
            <w:webHidden/>
            <w:sz w:val="18"/>
            <w:szCs w:val="18"/>
          </w:rPr>
          <w:fldChar w:fldCharType="begin"/>
        </w:r>
        <w:r w:rsidRPr="00ED4A43">
          <w:rPr>
            <w:webHidden/>
            <w:sz w:val="18"/>
            <w:szCs w:val="18"/>
          </w:rPr>
          <w:instrText xml:space="preserve"> PAGEREF _Toc221618458 \h </w:instrText>
        </w:r>
        <w:r w:rsidRPr="00ED4A43">
          <w:rPr>
            <w:webHidden/>
            <w:sz w:val="18"/>
            <w:szCs w:val="18"/>
          </w:rPr>
        </w:r>
        <w:r w:rsidRPr="00ED4A43">
          <w:rPr>
            <w:webHidden/>
            <w:sz w:val="18"/>
            <w:szCs w:val="18"/>
          </w:rPr>
          <w:fldChar w:fldCharType="separate"/>
        </w:r>
        <w:r w:rsidR="008A0314">
          <w:rPr>
            <w:webHidden/>
            <w:sz w:val="18"/>
            <w:szCs w:val="18"/>
          </w:rPr>
          <w:t>12</w:t>
        </w:r>
        <w:r w:rsidRPr="00ED4A43">
          <w:rPr>
            <w:webHidden/>
            <w:sz w:val="18"/>
            <w:szCs w:val="18"/>
          </w:rPr>
          <w:fldChar w:fldCharType="end"/>
        </w:r>
      </w:hyperlink>
    </w:p>
    <w:p w14:paraId="30A7EED7" w14:textId="7AAB8832" w:rsidR="00ED4A43" w:rsidRPr="00ED4A43" w:rsidRDefault="00ED4A43">
      <w:pPr>
        <w:pStyle w:val="ndice2"/>
        <w:rPr>
          <w:rFonts w:eastAsiaTheme="minorEastAsia"/>
          <w:smallCaps w:val="0"/>
          <w:kern w:val="2"/>
          <w:sz w:val="18"/>
          <w:szCs w:val="18"/>
          <w:lang w:val="pt-PT" w:eastAsia="pt-PT"/>
          <w14:ligatures w14:val="standardContextual"/>
        </w:rPr>
      </w:pPr>
      <w:hyperlink w:anchor="_Toc221618459" w:history="1">
        <w:r w:rsidRPr="00ED4A43">
          <w:rPr>
            <w:rStyle w:val="Hiperligao"/>
            <w:bCs/>
            <w:iCs/>
            <w:sz w:val="18"/>
            <w:szCs w:val="18"/>
          </w:rPr>
          <w:t>1.5 Sustentabilidade da Empresa nos Domínios Económico, Social e Ambiental</w:t>
        </w:r>
        <w:r w:rsidRPr="00ED4A43">
          <w:rPr>
            <w:webHidden/>
            <w:sz w:val="18"/>
            <w:szCs w:val="18"/>
          </w:rPr>
          <w:tab/>
        </w:r>
        <w:r w:rsidRPr="00ED4A43">
          <w:rPr>
            <w:webHidden/>
            <w:sz w:val="18"/>
            <w:szCs w:val="18"/>
          </w:rPr>
          <w:fldChar w:fldCharType="begin"/>
        </w:r>
        <w:r w:rsidRPr="00ED4A43">
          <w:rPr>
            <w:webHidden/>
            <w:sz w:val="18"/>
            <w:szCs w:val="18"/>
          </w:rPr>
          <w:instrText xml:space="preserve"> PAGEREF _Toc221618459 \h </w:instrText>
        </w:r>
        <w:r w:rsidRPr="00ED4A43">
          <w:rPr>
            <w:webHidden/>
            <w:sz w:val="18"/>
            <w:szCs w:val="18"/>
          </w:rPr>
        </w:r>
        <w:r w:rsidRPr="00ED4A43">
          <w:rPr>
            <w:webHidden/>
            <w:sz w:val="18"/>
            <w:szCs w:val="18"/>
          </w:rPr>
          <w:fldChar w:fldCharType="separate"/>
        </w:r>
        <w:r w:rsidR="008A0314">
          <w:rPr>
            <w:webHidden/>
            <w:sz w:val="18"/>
            <w:szCs w:val="18"/>
          </w:rPr>
          <w:t>25</w:t>
        </w:r>
        <w:r w:rsidRPr="00ED4A43">
          <w:rPr>
            <w:webHidden/>
            <w:sz w:val="18"/>
            <w:szCs w:val="18"/>
          </w:rPr>
          <w:fldChar w:fldCharType="end"/>
        </w:r>
      </w:hyperlink>
    </w:p>
    <w:p w14:paraId="35826E3F" w14:textId="67F4BA4A" w:rsidR="00ED4A43" w:rsidRPr="00ED4A43" w:rsidRDefault="00ED4A43">
      <w:pPr>
        <w:pStyle w:val="ndice2"/>
        <w:rPr>
          <w:rFonts w:eastAsiaTheme="minorEastAsia"/>
          <w:smallCaps w:val="0"/>
          <w:kern w:val="2"/>
          <w:sz w:val="18"/>
          <w:szCs w:val="18"/>
          <w:lang w:val="pt-PT" w:eastAsia="pt-PT"/>
          <w14:ligatures w14:val="standardContextual"/>
        </w:rPr>
      </w:pPr>
      <w:hyperlink w:anchor="_Toc221618460" w:history="1">
        <w:r w:rsidRPr="00ED4A43">
          <w:rPr>
            <w:rStyle w:val="Hiperligao"/>
            <w:bCs/>
            <w:iCs/>
            <w:sz w:val="18"/>
            <w:szCs w:val="18"/>
          </w:rPr>
          <w:t>1.6 Análise Financeira da Atividade Individual</w:t>
        </w:r>
        <w:r w:rsidRPr="00ED4A43">
          <w:rPr>
            <w:webHidden/>
            <w:sz w:val="18"/>
            <w:szCs w:val="18"/>
          </w:rPr>
          <w:tab/>
        </w:r>
        <w:r w:rsidRPr="00ED4A43">
          <w:rPr>
            <w:webHidden/>
            <w:sz w:val="18"/>
            <w:szCs w:val="18"/>
          </w:rPr>
          <w:fldChar w:fldCharType="begin"/>
        </w:r>
        <w:r w:rsidRPr="00ED4A43">
          <w:rPr>
            <w:webHidden/>
            <w:sz w:val="18"/>
            <w:szCs w:val="18"/>
          </w:rPr>
          <w:instrText xml:space="preserve"> PAGEREF _Toc221618460 \h </w:instrText>
        </w:r>
        <w:r w:rsidRPr="00ED4A43">
          <w:rPr>
            <w:webHidden/>
            <w:sz w:val="18"/>
            <w:szCs w:val="18"/>
          </w:rPr>
        </w:r>
        <w:r w:rsidRPr="00ED4A43">
          <w:rPr>
            <w:webHidden/>
            <w:sz w:val="18"/>
            <w:szCs w:val="18"/>
          </w:rPr>
          <w:fldChar w:fldCharType="separate"/>
        </w:r>
        <w:r w:rsidR="008A0314">
          <w:rPr>
            <w:webHidden/>
            <w:sz w:val="18"/>
            <w:szCs w:val="18"/>
          </w:rPr>
          <w:t>28</w:t>
        </w:r>
        <w:r w:rsidRPr="00ED4A43">
          <w:rPr>
            <w:webHidden/>
            <w:sz w:val="18"/>
            <w:szCs w:val="18"/>
          </w:rPr>
          <w:fldChar w:fldCharType="end"/>
        </w:r>
      </w:hyperlink>
    </w:p>
    <w:p w14:paraId="67CC2CF1" w14:textId="17ACEE6F" w:rsidR="00ED4A43" w:rsidRPr="00ED4A43" w:rsidRDefault="00ED4A43">
      <w:pPr>
        <w:pStyle w:val="ndice2"/>
        <w:rPr>
          <w:rFonts w:eastAsiaTheme="minorEastAsia"/>
          <w:smallCaps w:val="0"/>
          <w:kern w:val="2"/>
          <w:sz w:val="18"/>
          <w:szCs w:val="18"/>
          <w:lang w:val="pt-PT" w:eastAsia="pt-PT"/>
          <w14:ligatures w14:val="standardContextual"/>
        </w:rPr>
      </w:pPr>
      <w:hyperlink w:anchor="_Toc221618461" w:history="1">
        <w:r w:rsidRPr="00ED4A43">
          <w:rPr>
            <w:rStyle w:val="Hiperligao"/>
            <w:bCs/>
            <w:iCs/>
            <w:sz w:val="18"/>
            <w:szCs w:val="18"/>
          </w:rPr>
          <w:t>1.7 Fatores Relevantes Ocorridos Após o Termo de Exercício</w:t>
        </w:r>
        <w:r w:rsidRPr="00ED4A43">
          <w:rPr>
            <w:webHidden/>
            <w:sz w:val="18"/>
            <w:szCs w:val="18"/>
          </w:rPr>
          <w:tab/>
        </w:r>
        <w:r w:rsidRPr="00ED4A43">
          <w:rPr>
            <w:webHidden/>
            <w:sz w:val="18"/>
            <w:szCs w:val="18"/>
          </w:rPr>
          <w:fldChar w:fldCharType="begin"/>
        </w:r>
        <w:r w:rsidRPr="00ED4A43">
          <w:rPr>
            <w:webHidden/>
            <w:sz w:val="18"/>
            <w:szCs w:val="18"/>
          </w:rPr>
          <w:instrText xml:space="preserve"> PAGEREF _Toc221618461 \h </w:instrText>
        </w:r>
        <w:r w:rsidRPr="00ED4A43">
          <w:rPr>
            <w:webHidden/>
            <w:sz w:val="18"/>
            <w:szCs w:val="18"/>
          </w:rPr>
        </w:r>
        <w:r w:rsidRPr="00ED4A43">
          <w:rPr>
            <w:webHidden/>
            <w:sz w:val="18"/>
            <w:szCs w:val="18"/>
          </w:rPr>
          <w:fldChar w:fldCharType="separate"/>
        </w:r>
        <w:r w:rsidR="008A0314">
          <w:rPr>
            <w:webHidden/>
            <w:sz w:val="18"/>
            <w:szCs w:val="18"/>
          </w:rPr>
          <w:t>30</w:t>
        </w:r>
        <w:r w:rsidRPr="00ED4A43">
          <w:rPr>
            <w:webHidden/>
            <w:sz w:val="18"/>
            <w:szCs w:val="18"/>
          </w:rPr>
          <w:fldChar w:fldCharType="end"/>
        </w:r>
      </w:hyperlink>
    </w:p>
    <w:p w14:paraId="1EE51363" w14:textId="28523694" w:rsidR="00ED4A43" w:rsidRPr="00ED4A43" w:rsidRDefault="00ED4A43">
      <w:pPr>
        <w:pStyle w:val="ndice2"/>
        <w:rPr>
          <w:rFonts w:eastAsiaTheme="minorEastAsia"/>
          <w:smallCaps w:val="0"/>
          <w:kern w:val="2"/>
          <w:sz w:val="18"/>
          <w:szCs w:val="18"/>
          <w:lang w:val="pt-PT" w:eastAsia="pt-PT"/>
          <w14:ligatures w14:val="standardContextual"/>
        </w:rPr>
      </w:pPr>
      <w:hyperlink w:anchor="_Toc221618462" w:history="1">
        <w:r w:rsidRPr="00ED4A43">
          <w:rPr>
            <w:rStyle w:val="Hiperligao"/>
            <w:bCs/>
            <w:iCs/>
            <w:sz w:val="18"/>
            <w:szCs w:val="18"/>
          </w:rPr>
          <w:t>1.8 Gestão do Capital e Proposta de Aplicação de Resultados</w:t>
        </w:r>
        <w:r w:rsidRPr="00ED4A43">
          <w:rPr>
            <w:webHidden/>
            <w:sz w:val="18"/>
            <w:szCs w:val="18"/>
          </w:rPr>
          <w:tab/>
        </w:r>
        <w:r w:rsidRPr="00ED4A43">
          <w:rPr>
            <w:webHidden/>
            <w:sz w:val="18"/>
            <w:szCs w:val="18"/>
          </w:rPr>
          <w:fldChar w:fldCharType="begin"/>
        </w:r>
        <w:r w:rsidRPr="00ED4A43">
          <w:rPr>
            <w:webHidden/>
            <w:sz w:val="18"/>
            <w:szCs w:val="18"/>
          </w:rPr>
          <w:instrText xml:space="preserve"> PAGEREF _Toc221618462 \h </w:instrText>
        </w:r>
        <w:r w:rsidRPr="00ED4A43">
          <w:rPr>
            <w:webHidden/>
            <w:sz w:val="18"/>
            <w:szCs w:val="18"/>
          </w:rPr>
        </w:r>
        <w:r w:rsidRPr="00ED4A43">
          <w:rPr>
            <w:webHidden/>
            <w:sz w:val="18"/>
            <w:szCs w:val="18"/>
          </w:rPr>
          <w:fldChar w:fldCharType="separate"/>
        </w:r>
        <w:r w:rsidR="008A0314">
          <w:rPr>
            <w:webHidden/>
            <w:sz w:val="18"/>
            <w:szCs w:val="18"/>
          </w:rPr>
          <w:t>31</w:t>
        </w:r>
        <w:r w:rsidRPr="00ED4A43">
          <w:rPr>
            <w:webHidden/>
            <w:sz w:val="18"/>
            <w:szCs w:val="18"/>
          </w:rPr>
          <w:fldChar w:fldCharType="end"/>
        </w:r>
      </w:hyperlink>
    </w:p>
    <w:p w14:paraId="55257DC7" w14:textId="4E3DDDE3" w:rsidR="00ED4A43" w:rsidRPr="00ED4A43" w:rsidRDefault="00ED4A43">
      <w:pPr>
        <w:pStyle w:val="ndice1"/>
        <w:rPr>
          <w:rFonts w:asciiTheme="minorHAnsi" w:eastAsiaTheme="minorEastAsia" w:hAnsiTheme="minorHAnsi" w:cstheme="minorHAnsi"/>
          <w:b w:val="0"/>
          <w:bCs w:val="0"/>
          <w:caps w:val="0"/>
          <w:kern w:val="2"/>
          <w:sz w:val="18"/>
          <w:szCs w:val="18"/>
          <w:lang w:eastAsia="pt-PT"/>
          <w14:ligatures w14:val="standardContextual"/>
        </w:rPr>
      </w:pPr>
      <w:hyperlink w:anchor="_Toc221618463" w:history="1">
        <w:r w:rsidRPr="00ED4A43">
          <w:rPr>
            <w:rStyle w:val="Hiperligao"/>
            <w:rFonts w:asciiTheme="minorHAnsi" w:hAnsiTheme="minorHAnsi" w:cstheme="minorHAnsi"/>
            <w:sz w:val="18"/>
            <w:szCs w:val="18"/>
          </w:rPr>
          <w:t>2. DEMONSTRAÇÕES FINANCEIRAS INDIVIDUAIS</w:t>
        </w:r>
        <w:r w:rsidRPr="00ED4A43">
          <w:rPr>
            <w:rFonts w:asciiTheme="minorHAnsi" w:hAnsiTheme="minorHAnsi" w:cstheme="minorHAnsi"/>
            <w:webHidden/>
            <w:sz w:val="18"/>
            <w:szCs w:val="18"/>
          </w:rPr>
          <w:tab/>
        </w:r>
        <w:r w:rsidRPr="00ED4A43">
          <w:rPr>
            <w:rFonts w:asciiTheme="minorHAnsi" w:hAnsiTheme="minorHAnsi" w:cstheme="minorHAnsi"/>
            <w:webHidden/>
            <w:sz w:val="18"/>
            <w:szCs w:val="18"/>
          </w:rPr>
          <w:fldChar w:fldCharType="begin"/>
        </w:r>
        <w:r w:rsidRPr="00ED4A43">
          <w:rPr>
            <w:rFonts w:asciiTheme="minorHAnsi" w:hAnsiTheme="minorHAnsi" w:cstheme="minorHAnsi"/>
            <w:webHidden/>
            <w:sz w:val="18"/>
            <w:szCs w:val="18"/>
          </w:rPr>
          <w:instrText xml:space="preserve"> PAGEREF _Toc221618463 \h </w:instrText>
        </w:r>
        <w:r w:rsidRPr="00ED4A43">
          <w:rPr>
            <w:rFonts w:asciiTheme="minorHAnsi" w:hAnsiTheme="minorHAnsi" w:cstheme="minorHAnsi"/>
            <w:webHidden/>
            <w:sz w:val="18"/>
            <w:szCs w:val="18"/>
          </w:rPr>
        </w:r>
        <w:r w:rsidRPr="00ED4A43">
          <w:rPr>
            <w:rFonts w:asciiTheme="minorHAnsi" w:hAnsiTheme="minorHAnsi" w:cstheme="minorHAnsi"/>
            <w:webHidden/>
            <w:sz w:val="18"/>
            <w:szCs w:val="18"/>
          </w:rPr>
          <w:fldChar w:fldCharType="separate"/>
        </w:r>
        <w:r w:rsidR="008A0314">
          <w:rPr>
            <w:rFonts w:asciiTheme="minorHAnsi" w:hAnsiTheme="minorHAnsi" w:cstheme="minorHAnsi"/>
            <w:webHidden/>
            <w:sz w:val="18"/>
            <w:szCs w:val="18"/>
          </w:rPr>
          <w:t>33</w:t>
        </w:r>
        <w:r w:rsidRPr="00ED4A43">
          <w:rPr>
            <w:rFonts w:asciiTheme="minorHAnsi" w:hAnsiTheme="minorHAnsi" w:cstheme="minorHAnsi"/>
            <w:webHidden/>
            <w:sz w:val="18"/>
            <w:szCs w:val="18"/>
          </w:rPr>
          <w:fldChar w:fldCharType="end"/>
        </w:r>
      </w:hyperlink>
    </w:p>
    <w:p w14:paraId="1A5719B5" w14:textId="6C533E14" w:rsidR="00ED4A43" w:rsidRPr="00ED4A43" w:rsidRDefault="00ED4A43">
      <w:pPr>
        <w:pStyle w:val="ndice2"/>
        <w:rPr>
          <w:rFonts w:eastAsiaTheme="minorEastAsia"/>
          <w:smallCaps w:val="0"/>
          <w:kern w:val="2"/>
          <w:sz w:val="18"/>
          <w:szCs w:val="18"/>
          <w:lang w:val="pt-PT" w:eastAsia="pt-PT"/>
          <w14:ligatures w14:val="standardContextual"/>
        </w:rPr>
      </w:pPr>
      <w:hyperlink w:anchor="_Toc221618464" w:history="1">
        <w:r w:rsidRPr="00ED4A43">
          <w:rPr>
            <w:rStyle w:val="Hiperligao"/>
            <w:bCs/>
            <w:iCs/>
            <w:sz w:val="18"/>
            <w:szCs w:val="18"/>
          </w:rPr>
          <w:t>2.1 Balanços</w:t>
        </w:r>
        <w:r w:rsidRPr="00ED4A43">
          <w:rPr>
            <w:webHidden/>
            <w:sz w:val="18"/>
            <w:szCs w:val="18"/>
          </w:rPr>
          <w:tab/>
        </w:r>
        <w:r w:rsidRPr="00ED4A43">
          <w:rPr>
            <w:webHidden/>
            <w:sz w:val="18"/>
            <w:szCs w:val="18"/>
          </w:rPr>
          <w:fldChar w:fldCharType="begin"/>
        </w:r>
        <w:r w:rsidRPr="00ED4A43">
          <w:rPr>
            <w:webHidden/>
            <w:sz w:val="18"/>
            <w:szCs w:val="18"/>
          </w:rPr>
          <w:instrText xml:space="preserve"> PAGEREF _Toc221618464 \h </w:instrText>
        </w:r>
        <w:r w:rsidRPr="00ED4A43">
          <w:rPr>
            <w:webHidden/>
            <w:sz w:val="18"/>
            <w:szCs w:val="18"/>
          </w:rPr>
        </w:r>
        <w:r w:rsidRPr="00ED4A43">
          <w:rPr>
            <w:webHidden/>
            <w:sz w:val="18"/>
            <w:szCs w:val="18"/>
          </w:rPr>
          <w:fldChar w:fldCharType="separate"/>
        </w:r>
        <w:r w:rsidR="008A0314">
          <w:rPr>
            <w:webHidden/>
            <w:sz w:val="18"/>
            <w:szCs w:val="18"/>
          </w:rPr>
          <w:t>34</w:t>
        </w:r>
        <w:r w:rsidRPr="00ED4A43">
          <w:rPr>
            <w:webHidden/>
            <w:sz w:val="18"/>
            <w:szCs w:val="18"/>
          </w:rPr>
          <w:fldChar w:fldCharType="end"/>
        </w:r>
      </w:hyperlink>
    </w:p>
    <w:p w14:paraId="1A81E323" w14:textId="0F219570" w:rsidR="00ED4A43" w:rsidRPr="00ED4A43" w:rsidRDefault="00ED4A43">
      <w:pPr>
        <w:pStyle w:val="ndice2"/>
        <w:rPr>
          <w:rFonts w:eastAsiaTheme="minorEastAsia"/>
          <w:smallCaps w:val="0"/>
          <w:kern w:val="2"/>
          <w:sz w:val="18"/>
          <w:szCs w:val="18"/>
          <w:lang w:val="pt-PT" w:eastAsia="pt-PT"/>
          <w14:ligatures w14:val="standardContextual"/>
        </w:rPr>
      </w:pPr>
      <w:hyperlink w:anchor="_Toc221618465" w:history="1">
        <w:r w:rsidRPr="00ED4A43">
          <w:rPr>
            <w:rStyle w:val="Hiperligao"/>
            <w:bCs/>
            <w:iCs/>
            <w:sz w:val="18"/>
            <w:szCs w:val="18"/>
          </w:rPr>
          <w:t>2.2 Demonstrações dos Resultados</w:t>
        </w:r>
        <w:r w:rsidRPr="00ED4A43">
          <w:rPr>
            <w:webHidden/>
            <w:sz w:val="18"/>
            <w:szCs w:val="18"/>
          </w:rPr>
          <w:tab/>
        </w:r>
        <w:r w:rsidRPr="00ED4A43">
          <w:rPr>
            <w:webHidden/>
            <w:sz w:val="18"/>
            <w:szCs w:val="18"/>
          </w:rPr>
          <w:fldChar w:fldCharType="begin"/>
        </w:r>
        <w:r w:rsidRPr="00ED4A43">
          <w:rPr>
            <w:webHidden/>
            <w:sz w:val="18"/>
            <w:szCs w:val="18"/>
          </w:rPr>
          <w:instrText xml:space="preserve"> PAGEREF _Toc221618465 \h </w:instrText>
        </w:r>
        <w:r w:rsidRPr="00ED4A43">
          <w:rPr>
            <w:webHidden/>
            <w:sz w:val="18"/>
            <w:szCs w:val="18"/>
          </w:rPr>
        </w:r>
        <w:r w:rsidRPr="00ED4A43">
          <w:rPr>
            <w:webHidden/>
            <w:sz w:val="18"/>
            <w:szCs w:val="18"/>
          </w:rPr>
          <w:fldChar w:fldCharType="separate"/>
        </w:r>
        <w:r w:rsidR="008A0314">
          <w:rPr>
            <w:webHidden/>
            <w:sz w:val="18"/>
            <w:szCs w:val="18"/>
          </w:rPr>
          <w:t>35</w:t>
        </w:r>
        <w:r w:rsidRPr="00ED4A43">
          <w:rPr>
            <w:webHidden/>
            <w:sz w:val="18"/>
            <w:szCs w:val="18"/>
          </w:rPr>
          <w:fldChar w:fldCharType="end"/>
        </w:r>
      </w:hyperlink>
    </w:p>
    <w:p w14:paraId="03F379E7" w14:textId="2C2B8A75" w:rsidR="00ED4A43" w:rsidRPr="00ED4A43" w:rsidRDefault="00ED4A43">
      <w:pPr>
        <w:pStyle w:val="ndice2"/>
        <w:rPr>
          <w:rFonts w:eastAsiaTheme="minorEastAsia"/>
          <w:smallCaps w:val="0"/>
          <w:kern w:val="2"/>
          <w:sz w:val="18"/>
          <w:szCs w:val="18"/>
          <w:lang w:val="pt-PT" w:eastAsia="pt-PT"/>
          <w14:ligatures w14:val="standardContextual"/>
        </w:rPr>
      </w:pPr>
      <w:hyperlink w:anchor="_Toc221618466" w:history="1">
        <w:r w:rsidRPr="00ED4A43">
          <w:rPr>
            <w:rStyle w:val="Hiperligao"/>
            <w:bCs/>
            <w:iCs/>
            <w:sz w:val="18"/>
            <w:szCs w:val="18"/>
          </w:rPr>
          <w:t>2.3 Demonstrações dos Resultados e do Outro Rendimento Integral</w:t>
        </w:r>
        <w:r w:rsidRPr="00ED4A43">
          <w:rPr>
            <w:webHidden/>
            <w:sz w:val="18"/>
            <w:szCs w:val="18"/>
          </w:rPr>
          <w:tab/>
        </w:r>
        <w:r w:rsidRPr="00ED4A43">
          <w:rPr>
            <w:webHidden/>
            <w:sz w:val="18"/>
            <w:szCs w:val="18"/>
          </w:rPr>
          <w:fldChar w:fldCharType="begin"/>
        </w:r>
        <w:r w:rsidRPr="00ED4A43">
          <w:rPr>
            <w:webHidden/>
            <w:sz w:val="18"/>
            <w:szCs w:val="18"/>
          </w:rPr>
          <w:instrText xml:space="preserve"> PAGEREF _Toc221618466 \h </w:instrText>
        </w:r>
        <w:r w:rsidRPr="00ED4A43">
          <w:rPr>
            <w:webHidden/>
            <w:sz w:val="18"/>
            <w:szCs w:val="18"/>
          </w:rPr>
        </w:r>
        <w:r w:rsidRPr="00ED4A43">
          <w:rPr>
            <w:webHidden/>
            <w:sz w:val="18"/>
            <w:szCs w:val="18"/>
          </w:rPr>
          <w:fldChar w:fldCharType="separate"/>
        </w:r>
        <w:r w:rsidR="008A0314">
          <w:rPr>
            <w:webHidden/>
            <w:sz w:val="18"/>
            <w:szCs w:val="18"/>
          </w:rPr>
          <w:t>36</w:t>
        </w:r>
        <w:r w:rsidRPr="00ED4A43">
          <w:rPr>
            <w:webHidden/>
            <w:sz w:val="18"/>
            <w:szCs w:val="18"/>
          </w:rPr>
          <w:fldChar w:fldCharType="end"/>
        </w:r>
      </w:hyperlink>
    </w:p>
    <w:p w14:paraId="2E9851A2" w14:textId="3F4E2653" w:rsidR="00ED4A43" w:rsidRPr="00ED4A43" w:rsidRDefault="00ED4A43">
      <w:pPr>
        <w:pStyle w:val="ndice2"/>
        <w:rPr>
          <w:rFonts w:eastAsiaTheme="minorEastAsia"/>
          <w:smallCaps w:val="0"/>
          <w:kern w:val="2"/>
          <w:sz w:val="18"/>
          <w:szCs w:val="18"/>
          <w:lang w:val="pt-PT" w:eastAsia="pt-PT"/>
          <w14:ligatures w14:val="standardContextual"/>
        </w:rPr>
      </w:pPr>
      <w:hyperlink w:anchor="_Toc221618467" w:history="1">
        <w:r w:rsidRPr="00ED4A43">
          <w:rPr>
            <w:rStyle w:val="Hiperligao"/>
            <w:bCs/>
            <w:iCs/>
            <w:sz w:val="18"/>
            <w:szCs w:val="18"/>
          </w:rPr>
          <w:t>2.4 Demonstrações das Alterações no Capital Próprio</w:t>
        </w:r>
        <w:r w:rsidRPr="00ED4A43">
          <w:rPr>
            <w:webHidden/>
            <w:sz w:val="18"/>
            <w:szCs w:val="18"/>
          </w:rPr>
          <w:tab/>
        </w:r>
        <w:r w:rsidRPr="00ED4A43">
          <w:rPr>
            <w:webHidden/>
            <w:sz w:val="18"/>
            <w:szCs w:val="18"/>
          </w:rPr>
          <w:fldChar w:fldCharType="begin"/>
        </w:r>
        <w:r w:rsidRPr="00ED4A43">
          <w:rPr>
            <w:webHidden/>
            <w:sz w:val="18"/>
            <w:szCs w:val="18"/>
          </w:rPr>
          <w:instrText xml:space="preserve"> PAGEREF _Toc221618467 \h </w:instrText>
        </w:r>
        <w:r w:rsidRPr="00ED4A43">
          <w:rPr>
            <w:webHidden/>
            <w:sz w:val="18"/>
            <w:szCs w:val="18"/>
          </w:rPr>
        </w:r>
        <w:r w:rsidRPr="00ED4A43">
          <w:rPr>
            <w:webHidden/>
            <w:sz w:val="18"/>
            <w:szCs w:val="18"/>
          </w:rPr>
          <w:fldChar w:fldCharType="separate"/>
        </w:r>
        <w:r w:rsidR="008A0314">
          <w:rPr>
            <w:webHidden/>
            <w:sz w:val="18"/>
            <w:szCs w:val="18"/>
          </w:rPr>
          <w:t>37</w:t>
        </w:r>
        <w:r w:rsidRPr="00ED4A43">
          <w:rPr>
            <w:webHidden/>
            <w:sz w:val="18"/>
            <w:szCs w:val="18"/>
          </w:rPr>
          <w:fldChar w:fldCharType="end"/>
        </w:r>
      </w:hyperlink>
    </w:p>
    <w:p w14:paraId="24808EF7" w14:textId="73BF2729" w:rsidR="00ED4A43" w:rsidRPr="00ED4A43" w:rsidRDefault="00ED4A43">
      <w:pPr>
        <w:pStyle w:val="ndice2"/>
        <w:rPr>
          <w:rFonts w:eastAsiaTheme="minorEastAsia"/>
          <w:smallCaps w:val="0"/>
          <w:kern w:val="2"/>
          <w:sz w:val="18"/>
          <w:szCs w:val="18"/>
          <w:lang w:val="pt-PT" w:eastAsia="pt-PT"/>
          <w14:ligatures w14:val="standardContextual"/>
        </w:rPr>
      </w:pPr>
      <w:hyperlink w:anchor="_Toc221618468" w:history="1">
        <w:r w:rsidRPr="00ED4A43">
          <w:rPr>
            <w:rStyle w:val="Hiperligao"/>
            <w:bCs/>
            <w:iCs/>
            <w:sz w:val="18"/>
            <w:szCs w:val="18"/>
          </w:rPr>
          <w:t>2.5 Demonstrações dos Fluxos de Caixa</w:t>
        </w:r>
        <w:r w:rsidRPr="00ED4A43">
          <w:rPr>
            <w:webHidden/>
            <w:sz w:val="18"/>
            <w:szCs w:val="18"/>
          </w:rPr>
          <w:tab/>
        </w:r>
        <w:r w:rsidRPr="00ED4A43">
          <w:rPr>
            <w:webHidden/>
            <w:sz w:val="18"/>
            <w:szCs w:val="18"/>
          </w:rPr>
          <w:fldChar w:fldCharType="begin"/>
        </w:r>
        <w:r w:rsidRPr="00ED4A43">
          <w:rPr>
            <w:webHidden/>
            <w:sz w:val="18"/>
            <w:szCs w:val="18"/>
          </w:rPr>
          <w:instrText xml:space="preserve"> PAGEREF _Toc221618468 \h </w:instrText>
        </w:r>
        <w:r w:rsidRPr="00ED4A43">
          <w:rPr>
            <w:webHidden/>
            <w:sz w:val="18"/>
            <w:szCs w:val="18"/>
          </w:rPr>
        </w:r>
        <w:r w:rsidRPr="00ED4A43">
          <w:rPr>
            <w:webHidden/>
            <w:sz w:val="18"/>
            <w:szCs w:val="18"/>
          </w:rPr>
          <w:fldChar w:fldCharType="separate"/>
        </w:r>
        <w:r w:rsidR="008A0314">
          <w:rPr>
            <w:webHidden/>
            <w:sz w:val="18"/>
            <w:szCs w:val="18"/>
          </w:rPr>
          <w:t>38</w:t>
        </w:r>
        <w:r w:rsidRPr="00ED4A43">
          <w:rPr>
            <w:webHidden/>
            <w:sz w:val="18"/>
            <w:szCs w:val="18"/>
          </w:rPr>
          <w:fldChar w:fldCharType="end"/>
        </w:r>
      </w:hyperlink>
    </w:p>
    <w:p w14:paraId="72F96EC5" w14:textId="5F5E63B1" w:rsidR="00ED4A43" w:rsidRPr="00ED4A43" w:rsidRDefault="00ED4A43">
      <w:pPr>
        <w:pStyle w:val="ndice1"/>
        <w:rPr>
          <w:rFonts w:asciiTheme="minorHAnsi" w:eastAsiaTheme="minorEastAsia" w:hAnsiTheme="minorHAnsi" w:cstheme="minorHAnsi"/>
          <w:b w:val="0"/>
          <w:bCs w:val="0"/>
          <w:caps w:val="0"/>
          <w:kern w:val="2"/>
          <w:sz w:val="18"/>
          <w:szCs w:val="18"/>
          <w:lang w:eastAsia="pt-PT"/>
          <w14:ligatures w14:val="standardContextual"/>
        </w:rPr>
      </w:pPr>
      <w:hyperlink w:anchor="_Toc221618469" w:history="1">
        <w:r w:rsidRPr="00ED4A43">
          <w:rPr>
            <w:rStyle w:val="Hiperligao"/>
            <w:rFonts w:asciiTheme="minorHAnsi" w:hAnsiTheme="minorHAnsi" w:cstheme="minorHAnsi"/>
            <w:sz w:val="18"/>
            <w:szCs w:val="18"/>
          </w:rPr>
          <w:t>3. ANEXO ÀS DEMONSTRAÇÕES FINANCEIRAS INDIVIDUAIS</w:t>
        </w:r>
        <w:r w:rsidRPr="00ED4A43">
          <w:rPr>
            <w:rFonts w:asciiTheme="minorHAnsi" w:hAnsiTheme="minorHAnsi" w:cstheme="minorHAnsi"/>
            <w:webHidden/>
            <w:sz w:val="18"/>
            <w:szCs w:val="18"/>
          </w:rPr>
          <w:tab/>
        </w:r>
        <w:r w:rsidRPr="00ED4A43">
          <w:rPr>
            <w:rFonts w:asciiTheme="minorHAnsi" w:hAnsiTheme="minorHAnsi" w:cstheme="minorHAnsi"/>
            <w:webHidden/>
            <w:sz w:val="18"/>
            <w:szCs w:val="18"/>
          </w:rPr>
          <w:fldChar w:fldCharType="begin"/>
        </w:r>
        <w:r w:rsidRPr="00ED4A43">
          <w:rPr>
            <w:rFonts w:asciiTheme="minorHAnsi" w:hAnsiTheme="minorHAnsi" w:cstheme="minorHAnsi"/>
            <w:webHidden/>
            <w:sz w:val="18"/>
            <w:szCs w:val="18"/>
          </w:rPr>
          <w:instrText xml:space="preserve"> PAGEREF _Toc221618469 \h </w:instrText>
        </w:r>
        <w:r w:rsidRPr="00ED4A43">
          <w:rPr>
            <w:rFonts w:asciiTheme="minorHAnsi" w:hAnsiTheme="minorHAnsi" w:cstheme="minorHAnsi"/>
            <w:webHidden/>
            <w:sz w:val="18"/>
            <w:szCs w:val="18"/>
          </w:rPr>
        </w:r>
        <w:r w:rsidRPr="00ED4A43">
          <w:rPr>
            <w:rFonts w:asciiTheme="minorHAnsi" w:hAnsiTheme="minorHAnsi" w:cstheme="minorHAnsi"/>
            <w:webHidden/>
            <w:sz w:val="18"/>
            <w:szCs w:val="18"/>
          </w:rPr>
          <w:fldChar w:fldCharType="separate"/>
        </w:r>
        <w:r w:rsidR="008A0314">
          <w:rPr>
            <w:rFonts w:asciiTheme="minorHAnsi" w:hAnsiTheme="minorHAnsi" w:cstheme="minorHAnsi"/>
            <w:webHidden/>
            <w:sz w:val="18"/>
            <w:szCs w:val="18"/>
          </w:rPr>
          <w:t>39</w:t>
        </w:r>
        <w:r w:rsidRPr="00ED4A43">
          <w:rPr>
            <w:rFonts w:asciiTheme="minorHAnsi" w:hAnsiTheme="minorHAnsi" w:cstheme="minorHAnsi"/>
            <w:webHidden/>
            <w:sz w:val="18"/>
            <w:szCs w:val="18"/>
          </w:rPr>
          <w:fldChar w:fldCharType="end"/>
        </w:r>
      </w:hyperlink>
    </w:p>
    <w:p w14:paraId="661B81FC" w14:textId="3F3FE153" w:rsidR="00ED4A43" w:rsidRPr="00ED4A43" w:rsidRDefault="00ED4A43">
      <w:pPr>
        <w:pStyle w:val="ndice1"/>
        <w:rPr>
          <w:rFonts w:asciiTheme="minorHAnsi" w:eastAsiaTheme="minorEastAsia" w:hAnsiTheme="minorHAnsi" w:cstheme="minorHAnsi"/>
          <w:b w:val="0"/>
          <w:bCs w:val="0"/>
          <w:caps w:val="0"/>
          <w:kern w:val="2"/>
          <w:sz w:val="18"/>
          <w:szCs w:val="18"/>
          <w:lang w:eastAsia="pt-PT"/>
          <w14:ligatures w14:val="standardContextual"/>
        </w:rPr>
      </w:pPr>
      <w:hyperlink w:anchor="_Toc221618470" w:history="1">
        <w:r w:rsidRPr="00ED4A43">
          <w:rPr>
            <w:rStyle w:val="Hiperligao"/>
            <w:rFonts w:asciiTheme="minorHAnsi" w:hAnsiTheme="minorHAnsi" w:cstheme="minorHAnsi"/>
            <w:sz w:val="18"/>
            <w:szCs w:val="18"/>
          </w:rPr>
          <w:t>4. CUMPRIMENTO DAS ORIENTAÇÕES LEGAIS</w:t>
        </w:r>
        <w:r w:rsidRPr="00ED4A43">
          <w:rPr>
            <w:rFonts w:asciiTheme="minorHAnsi" w:hAnsiTheme="minorHAnsi" w:cstheme="minorHAnsi"/>
            <w:webHidden/>
            <w:sz w:val="18"/>
            <w:szCs w:val="18"/>
          </w:rPr>
          <w:tab/>
        </w:r>
        <w:r w:rsidRPr="00ED4A43">
          <w:rPr>
            <w:rFonts w:asciiTheme="minorHAnsi" w:hAnsiTheme="minorHAnsi" w:cstheme="minorHAnsi"/>
            <w:webHidden/>
            <w:sz w:val="18"/>
            <w:szCs w:val="18"/>
          </w:rPr>
          <w:fldChar w:fldCharType="begin"/>
        </w:r>
        <w:r w:rsidRPr="00ED4A43">
          <w:rPr>
            <w:rFonts w:asciiTheme="minorHAnsi" w:hAnsiTheme="minorHAnsi" w:cstheme="minorHAnsi"/>
            <w:webHidden/>
            <w:sz w:val="18"/>
            <w:szCs w:val="18"/>
          </w:rPr>
          <w:instrText xml:space="preserve"> PAGEREF _Toc221618470 \h </w:instrText>
        </w:r>
        <w:r w:rsidRPr="00ED4A43">
          <w:rPr>
            <w:rFonts w:asciiTheme="minorHAnsi" w:hAnsiTheme="minorHAnsi" w:cstheme="minorHAnsi"/>
            <w:webHidden/>
            <w:sz w:val="18"/>
            <w:szCs w:val="18"/>
          </w:rPr>
        </w:r>
        <w:r w:rsidRPr="00ED4A43">
          <w:rPr>
            <w:rFonts w:asciiTheme="minorHAnsi" w:hAnsiTheme="minorHAnsi" w:cstheme="minorHAnsi"/>
            <w:webHidden/>
            <w:sz w:val="18"/>
            <w:szCs w:val="18"/>
          </w:rPr>
          <w:fldChar w:fldCharType="separate"/>
        </w:r>
        <w:r w:rsidR="008A0314">
          <w:rPr>
            <w:rFonts w:asciiTheme="minorHAnsi" w:hAnsiTheme="minorHAnsi" w:cstheme="minorHAnsi"/>
            <w:webHidden/>
            <w:sz w:val="18"/>
            <w:szCs w:val="18"/>
          </w:rPr>
          <w:t>91</w:t>
        </w:r>
        <w:r w:rsidRPr="00ED4A43">
          <w:rPr>
            <w:rFonts w:asciiTheme="minorHAnsi" w:hAnsiTheme="minorHAnsi" w:cstheme="minorHAnsi"/>
            <w:webHidden/>
            <w:sz w:val="18"/>
            <w:szCs w:val="18"/>
          </w:rPr>
          <w:fldChar w:fldCharType="end"/>
        </w:r>
      </w:hyperlink>
    </w:p>
    <w:p w14:paraId="48569BA7" w14:textId="6779D90D" w:rsidR="00ED4A43" w:rsidRPr="00ED4A43" w:rsidRDefault="00ED4A43">
      <w:pPr>
        <w:pStyle w:val="ndice1"/>
        <w:rPr>
          <w:rFonts w:asciiTheme="minorHAnsi" w:eastAsiaTheme="minorEastAsia" w:hAnsiTheme="minorHAnsi" w:cstheme="minorHAnsi"/>
          <w:b w:val="0"/>
          <w:bCs w:val="0"/>
          <w:caps w:val="0"/>
          <w:kern w:val="2"/>
          <w:sz w:val="18"/>
          <w:szCs w:val="18"/>
          <w:lang w:eastAsia="pt-PT"/>
          <w14:ligatures w14:val="standardContextual"/>
        </w:rPr>
      </w:pPr>
      <w:hyperlink w:anchor="_Toc221618471" w:history="1">
        <w:r w:rsidRPr="00ED4A43">
          <w:rPr>
            <w:rStyle w:val="Hiperligao"/>
            <w:rFonts w:asciiTheme="minorHAnsi" w:hAnsiTheme="minorHAnsi" w:cstheme="minorHAnsi"/>
            <w:sz w:val="18"/>
            <w:szCs w:val="18"/>
          </w:rPr>
          <w:t>5. DECLARAÇÕES DE INDEPENDÊNCIA</w:t>
        </w:r>
        <w:r w:rsidRPr="00ED4A43">
          <w:rPr>
            <w:rFonts w:asciiTheme="minorHAnsi" w:hAnsiTheme="minorHAnsi" w:cstheme="minorHAnsi"/>
            <w:webHidden/>
            <w:sz w:val="18"/>
            <w:szCs w:val="18"/>
          </w:rPr>
          <w:tab/>
        </w:r>
        <w:r w:rsidRPr="00ED4A43">
          <w:rPr>
            <w:rFonts w:asciiTheme="minorHAnsi" w:hAnsiTheme="minorHAnsi" w:cstheme="minorHAnsi"/>
            <w:webHidden/>
            <w:sz w:val="18"/>
            <w:szCs w:val="18"/>
          </w:rPr>
          <w:fldChar w:fldCharType="begin"/>
        </w:r>
        <w:r w:rsidRPr="00ED4A43">
          <w:rPr>
            <w:rFonts w:asciiTheme="minorHAnsi" w:hAnsiTheme="minorHAnsi" w:cstheme="minorHAnsi"/>
            <w:webHidden/>
            <w:sz w:val="18"/>
            <w:szCs w:val="18"/>
          </w:rPr>
          <w:instrText xml:space="preserve"> PAGEREF _Toc221618471 \h </w:instrText>
        </w:r>
        <w:r w:rsidRPr="00ED4A43">
          <w:rPr>
            <w:rFonts w:asciiTheme="minorHAnsi" w:hAnsiTheme="minorHAnsi" w:cstheme="minorHAnsi"/>
            <w:webHidden/>
            <w:sz w:val="18"/>
            <w:szCs w:val="18"/>
          </w:rPr>
        </w:r>
        <w:r w:rsidRPr="00ED4A43">
          <w:rPr>
            <w:rFonts w:asciiTheme="minorHAnsi" w:hAnsiTheme="minorHAnsi" w:cstheme="minorHAnsi"/>
            <w:webHidden/>
            <w:sz w:val="18"/>
            <w:szCs w:val="18"/>
          </w:rPr>
          <w:fldChar w:fldCharType="separate"/>
        </w:r>
        <w:r w:rsidR="008A0314">
          <w:rPr>
            <w:rFonts w:asciiTheme="minorHAnsi" w:hAnsiTheme="minorHAnsi" w:cstheme="minorHAnsi"/>
            <w:webHidden/>
            <w:sz w:val="18"/>
            <w:szCs w:val="18"/>
          </w:rPr>
          <w:t>103</w:t>
        </w:r>
        <w:r w:rsidRPr="00ED4A43">
          <w:rPr>
            <w:rFonts w:asciiTheme="minorHAnsi" w:hAnsiTheme="minorHAnsi" w:cstheme="minorHAnsi"/>
            <w:webHidden/>
            <w:sz w:val="18"/>
            <w:szCs w:val="18"/>
          </w:rPr>
          <w:fldChar w:fldCharType="end"/>
        </w:r>
      </w:hyperlink>
    </w:p>
    <w:p w14:paraId="3D9E4037" w14:textId="42454273" w:rsidR="00ED4A43" w:rsidRPr="00ED4A43" w:rsidRDefault="00ED4A43">
      <w:pPr>
        <w:pStyle w:val="ndice1"/>
        <w:rPr>
          <w:rFonts w:asciiTheme="minorHAnsi" w:eastAsiaTheme="minorEastAsia" w:hAnsiTheme="minorHAnsi" w:cstheme="minorHAnsi"/>
          <w:b w:val="0"/>
          <w:bCs w:val="0"/>
          <w:caps w:val="0"/>
          <w:kern w:val="2"/>
          <w:sz w:val="18"/>
          <w:szCs w:val="18"/>
          <w:lang w:eastAsia="pt-PT"/>
          <w14:ligatures w14:val="standardContextual"/>
        </w:rPr>
      </w:pPr>
      <w:hyperlink w:anchor="_Toc221618472" w:history="1">
        <w:r w:rsidRPr="00ED4A43">
          <w:rPr>
            <w:rStyle w:val="Hiperligao"/>
            <w:rFonts w:asciiTheme="minorHAnsi" w:hAnsiTheme="minorHAnsi" w:cstheme="minorHAnsi"/>
            <w:sz w:val="18"/>
            <w:szCs w:val="18"/>
          </w:rPr>
          <w:t>6. DECLARAÇÕES PREVISTAS NO ART. 15º DA LEI Nº 8/2012 DE 21 DE FEV. (ALT PELA LEI 22/2015)</w:t>
        </w:r>
        <w:r w:rsidRPr="00ED4A43">
          <w:rPr>
            <w:rFonts w:asciiTheme="minorHAnsi" w:hAnsiTheme="minorHAnsi" w:cstheme="minorHAnsi"/>
            <w:webHidden/>
            <w:sz w:val="18"/>
            <w:szCs w:val="18"/>
          </w:rPr>
          <w:tab/>
        </w:r>
        <w:r w:rsidRPr="00ED4A43">
          <w:rPr>
            <w:rFonts w:asciiTheme="minorHAnsi" w:hAnsiTheme="minorHAnsi" w:cstheme="minorHAnsi"/>
            <w:webHidden/>
            <w:sz w:val="18"/>
            <w:szCs w:val="18"/>
          </w:rPr>
          <w:fldChar w:fldCharType="begin"/>
        </w:r>
        <w:r w:rsidRPr="00ED4A43">
          <w:rPr>
            <w:rFonts w:asciiTheme="minorHAnsi" w:hAnsiTheme="minorHAnsi" w:cstheme="minorHAnsi"/>
            <w:webHidden/>
            <w:sz w:val="18"/>
            <w:szCs w:val="18"/>
          </w:rPr>
          <w:instrText xml:space="preserve"> PAGEREF _Toc221618472 \h </w:instrText>
        </w:r>
        <w:r w:rsidRPr="00ED4A43">
          <w:rPr>
            <w:rFonts w:asciiTheme="minorHAnsi" w:hAnsiTheme="minorHAnsi" w:cstheme="minorHAnsi"/>
            <w:webHidden/>
            <w:sz w:val="18"/>
            <w:szCs w:val="18"/>
          </w:rPr>
        </w:r>
        <w:r w:rsidRPr="00ED4A43">
          <w:rPr>
            <w:rFonts w:asciiTheme="minorHAnsi" w:hAnsiTheme="minorHAnsi" w:cstheme="minorHAnsi"/>
            <w:webHidden/>
            <w:sz w:val="18"/>
            <w:szCs w:val="18"/>
          </w:rPr>
          <w:fldChar w:fldCharType="separate"/>
        </w:r>
        <w:r w:rsidR="008A0314">
          <w:rPr>
            <w:rFonts w:asciiTheme="minorHAnsi" w:hAnsiTheme="minorHAnsi" w:cstheme="minorHAnsi"/>
            <w:webHidden/>
            <w:sz w:val="18"/>
            <w:szCs w:val="18"/>
          </w:rPr>
          <w:t>107</w:t>
        </w:r>
        <w:r w:rsidRPr="00ED4A43">
          <w:rPr>
            <w:rFonts w:asciiTheme="minorHAnsi" w:hAnsiTheme="minorHAnsi" w:cstheme="minorHAnsi"/>
            <w:webHidden/>
            <w:sz w:val="18"/>
            <w:szCs w:val="18"/>
          </w:rPr>
          <w:fldChar w:fldCharType="end"/>
        </w:r>
      </w:hyperlink>
    </w:p>
    <w:p w14:paraId="7B12630E" w14:textId="56813898" w:rsidR="00ED4A43" w:rsidRPr="00ED4A43" w:rsidRDefault="00ED4A43">
      <w:pPr>
        <w:pStyle w:val="ndice1"/>
        <w:rPr>
          <w:rFonts w:asciiTheme="minorHAnsi" w:eastAsiaTheme="minorEastAsia" w:hAnsiTheme="minorHAnsi" w:cstheme="minorHAnsi"/>
          <w:b w:val="0"/>
          <w:bCs w:val="0"/>
          <w:caps w:val="0"/>
          <w:kern w:val="2"/>
          <w:sz w:val="18"/>
          <w:szCs w:val="18"/>
          <w:lang w:eastAsia="pt-PT"/>
          <w14:ligatures w14:val="standardContextual"/>
        </w:rPr>
      </w:pPr>
      <w:hyperlink w:anchor="_Toc221618473" w:history="1">
        <w:r w:rsidRPr="00ED4A43">
          <w:rPr>
            <w:rStyle w:val="Hiperligao"/>
            <w:rFonts w:asciiTheme="minorHAnsi" w:hAnsiTheme="minorHAnsi" w:cstheme="minorHAnsi"/>
            <w:sz w:val="18"/>
            <w:szCs w:val="18"/>
          </w:rPr>
          <w:t>7. CERTIFICAÇÕES</w:t>
        </w:r>
        <w:r w:rsidRPr="00ED4A43">
          <w:rPr>
            <w:rFonts w:asciiTheme="minorHAnsi" w:hAnsiTheme="minorHAnsi" w:cstheme="minorHAnsi"/>
            <w:webHidden/>
            <w:sz w:val="18"/>
            <w:szCs w:val="18"/>
          </w:rPr>
          <w:tab/>
        </w:r>
        <w:r w:rsidRPr="00ED4A43">
          <w:rPr>
            <w:rFonts w:asciiTheme="minorHAnsi" w:hAnsiTheme="minorHAnsi" w:cstheme="minorHAnsi"/>
            <w:webHidden/>
            <w:sz w:val="18"/>
            <w:szCs w:val="18"/>
          </w:rPr>
          <w:fldChar w:fldCharType="begin"/>
        </w:r>
        <w:r w:rsidRPr="00ED4A43">
          <w:rPr>
            <w:rFonts w:asciiTheme="minorHAnsi" w:hAnsiTheme="minorHAnsi" w:cstheme="minorHAnsi"/>
            <w:webHidden/>
            <w:sz w:val="18"/>
            <w:szCs w:val="18"/>
          </w:rPr>
          <w:instrText xml:space="preserve"> PAGEREF _Toc221618473 \h </w:instrText>
        </w:r>
        <w:r w:rsidRPr="00ED4A43">
          <w:rPr>
            <w:rFonts w:asciiTheme="minorHAnsi" w:hAnsiTheme="minorHAnsi" w:cstheme="minorHAnsi"/>
            <w:webHidden/>
            <w:sz w:val="18"/>
            <w:szCs w:val="18"/>
          </w:rPr>
        </w:r>
        <w:r w:rsidRPr="00ED4A43">
          <w:rPr>
            <w:rFonts w:asciiTheme="minorHAnsi" w:hAnsiTheme="minorHAnsi" w:cstheme="minorHAnsi"/>
            <w:webHidden/>
            <w:sz w:val="18"/>
            <w:szCs w:val="18"/>
          </w:rPr>
          <w:fldChar w:fldCharType="separate"/>
        </w:r>
        <w:r w:rsidR="008A0314">
          <w:rPr>
            <w:rFonts w:asciiTheme="minorHAnsi" w:hAnsiTheme="minorHAnsi" w:cstheme="minorHAnsi"/>
            <w:webHidden/>
            <w:sz w:val="18"/>
            <w:szCs w:val="18"/>
          </w:rPr>
          <w:t>111</w:t>
        </w:r>
        <w:r w:rsidRPr="00ED4A43">
          <w:rPr>
            <w:rFonts w:asciiTheme="minorHAnsi" w:hAnsiTheme="minorHAnsi" w:cstheme="minorHAnsi"/>
            <w:webHidden/>
            <w:sz w:val="18"/>
            <w:szCs w:val="18"/>
          </w:rPr>
          <w:fldChar w:fldCharType="end"/>
        </w:r>
      </w:hyperlink>
    </w:p>
    <w:p w14:paraId="516E22A7" w14:textId="0B6F1191" w:rsidR="00464510" w:rsidRDefault="00553198" w:rsidP="001816A2">
      <w:pPr>
        <w:spacing w:line="360" w:lineRule="auto"/>
        <w:rPr>
          <w:rFonts w:asciiTheme="minorHAnsi" w:hAnsiTheme="minorHAnsi" w:cstheme="minorHAnsi"/>
          <w:b/>
          <w:bCs/>
          <w:caps/>
          <w:sz w:val="18"/>
          <w:szCs w:val="18"/>
        </w:rPr>
      </w:pPr>
      <w:r w:rsidRPr="00ED4A43">
        <w:rPr>
          <w:rFonts w:asciiTheme="minorHAnsi" w:hAnsiTheme="minorHAnsi" w:cstheme="minorHAnsi"/>
          <w:b/>
          <w:bCs/>
          <w:caps/>
          <w:sz w:val="18"/>
          <w:szCs w:val="18"/>
        </w:rPr>
        <w:fldChar w:fldCharType="end"/>
      </w:r>
    </w:p>
    <w:p w14:paraId="36F9D944" w14:textId="77777777" w:rsidR="00464510" w:rsidRDefault="00464510" w:rsidP="001816A2">
      <w:pPr>
        <w:spacing w:line="360" w:lineRule="auto"/>
        <w:rPr>
          <w:rFonts w:asciiTheme="minorHAnsi" w:hAnsiTheme="minorHAnsi" w:cstheme="minorHAnsi"/>
          <w:b/>
          <w:bCs/>
          <w:caps/>
          <w:sz w:val="18"/>
          <w:szCs w:val="18"/>
        </w:rPr>
      </w:pPr>
    </w:p>
    <w:p w14:paraId="62CD1B24" w14:textId="2EE64860" w:rsidR="00464510" w:rsidRDefault="00FF1649" w:rsidP="001816A2">
      <w:pPr>
        <w:spacing w:line="360" w:lineRule="auto"/>
        <w:rPr>
          <w:rFonts w:asciiTheme="minorHAnsi" w:hAnsiTheme="minorHAnsi" w:cstheme="minorHAnsi"/>
          <w:b/>
          <w:bCs/>
          <w:caps/>
          <w:sz w:val="18"/>
          <w:szCs w:val="18"/>
        </w:rPr>
      </w:pPr>
      <w:r>
        <w:rPr>
          <w:rFonts w:asciiTheme="minorHAnsi" w:hAnsiTheme="minorHAnsi" w:cstheme="minorHAnsi"/>
          <w:b/>
          <w:bCs/>
          <w:caps/>
          <w:sz w:val="18"/>
          <w:szCs w:val="18"/>
        </w:rPr>
        <w:t xml:space="preserve">  </w:t>
      </w:r>
    </w:p>
    <w:p w14:paraId="5047A521" w14:textId="77777777" w:rsidR="00464510" w:rsidRDefault="00464510" w:rsidP="001816A2">
      <w:pPr>
        <w:spacing w:line="360" w:lineRule="auto"/>
        <w:rPr>
          <w:rFonts w:asciiTheme="minorHAnsi" w:hAnsiTheme="minorHAnsi" w:cstheme="minorHAnsi"/>
          <w:b/>
          <w:bCs/>
          <w:caps/>
          <w:sz w:val="18"/>
          <w:szCs w:val="18"/>
        </w:rPr>
      </w:pPr>
    </w:p>
    <w:p w14:paraId="39300062" w14:textId="65A973B8" w:rsidR="00196982" w:rsidRPr="00AD4AB1" w:rsidRDefault="00196982" w:rsidP="001816A2">
      <w:pPr>
        <w:spacing w:line="360" w:lineRule="auto"/>
        <w:rPr>
          <w:rFonts w:asciiTheme="minorHAnsi" w:hAnsiTheme="minorHAnsi" w:cstheme="minorHAnsi"/>
          <w:b/>
          <w:bCs/>
          <w:caps/>
          <w:sz w:val="20"/>
          <w:szCs w:val="20"/>
        </w:rPr>
      </w:pPr>
      <w:r w:rsidRPr="00AD4AB1">
        <w:rPr>
          <w:rFonts w:asciiTheme="minorHAnsi" w:hAnsiTheme="minorHAnsi" w:cstheme="minorHAnsi"/>
          <w:b/>
          <w:bCs/>
          <w:caps/>
          <w:sz w:val="20"/>
          <w:szCs w:val="20"/>
        </w:rPr>
        <w:br w:type="page"/>
      </w:r>
    </w:p>
    <w:p w14:paraId="018B89BF" w14:textId="77777777" w:rsidR="008B756F" w:rsidRPr="00B162F1" w:rsidRDefault="008B756F" w:rsidP="008B756F">
      <w:pPr>
        <w:rPr>
          <w:rFonts w:asciiTheme="minorHAnsi" w:hAnsiTheme="minorHAnsi" w:cstheme="minorHAnsi"/>
        </w:rPr>
      </w:pPr>
    </w:p>
    <w:p w14:paraId="61300534" w14:textId="77777777" w:rsidR="008B756F" w:rsidRPr="00B162F1" w:rsidRDefault="008B756F">
      <w:pPr>
        <w:rPr>
          <w:rFonts w:asciiTheme="minorHAnsi" w:hAnsiTheme="minorHAnsi" w:cstheme="minorHAnsi"/>
        </w:rPr>
      </w:pPr>
    </w:p>
    <w:p w14:paraId="0A448B2A" w14:textId="77777777" w:rsidR="008B756F" w:rsidRPr="00B162F1" w:rsidRDefault="008B756F">
      <w:pPr>
        <w:rPr>
          <w:rFonts w:asciiTheme="minorHAnsi" w:hAnsiTheme="minorHAnsi" w:cstheme="minorHAnsi"/>
        </w:rPr>
      </w:pPr>
    </w:p>
    <w:p w14:paraId="029B7F16" w14:textId="77777777" w:rsidR="008B756F" w:rsidRPr="00B162F1" w:rsidRDefault="008B756F">
      <w:pPr>
        <w:rPr>
          <w:rFonts w:asciiTheme="minorHAnsi" w:hAnsiTheme="minorHAnsi" w:cstheme="minorHAnsi"/>
        </w:rPr>
      </w:pPr>
    </w:p>
    <w:p w14:paraId="226724A5" w14:textId="77777777" w:rsidR="008B756F" w:rsidRPr="00B162F1" w:rsidRDefault="008B756F">
      <w:pPr>
        <w:rPr>
          <w:rFonts w:asciiTheme="minorHAnsi" w:hAnsiTheme="minorHAnsi" w:cstheme="minorHAnsi"/>
        </w:rPr>
      </w:pPr>
    </w:p>
    <w:p w14:paraId="69F58384" w14:textId="77777777" w:rsidR="00DB083C" w:rsidRPr="00B162F1" w:rsidRDefault="00DB083C">
      <w:pPr>
        <w:rPr>
          <w:rFonts w:asciiTheme="minorHAnsi" w:hAnsiTheme="minorHAnsi" w:cstheme="minorHAnsi"/>
        </w:rPr>
      </w:pPr>
    </w:p>
    <w:p w14:paraId="0AC34AEE" w14:textId="77777777" w:rsidR="00975ECC" w:rsidRPr="00B162F1" w:rsidRDefault="00975ECC">
      <w:pPr>
        <w:rPr>
          <w:rFonts w:asciiTheme="minorHAnsi" w:hAnsiTheme="minorHAnsi" w:cstheme="minorHAnsi"/>
        </w:rPr>
      </w:pPr>
    </w:p>
    <w:p w14:paraId="011E3620" w14:textId="77777777" w:rsidR="00975ECC" w:rsidRPr="00B162F1" w:rsidRDefault="00975ECC">
      <w:pPr>
        <w:rPr>
          <w:rFonts w:asciiTheme="minorHAnsi" w:hAnsiTheme="minorHAnsi" w:cstheme="minorHAnsi"/>
        </w:rPr>
      </w:pPr>
    </w:p>
    <w:p w14:paraId="7F0F1CCC" w14:textId="77777777" w:rsidR="00DB083C" w:rsidRPr="00B162F1" w:rsidRDefault="00DB083C">
      <w:pPr>
        <w:rPr>
          <w:rFonts w:asciiTheme="minorHAnsi" w:hAnsiTheme="minorHAnsi" w:cstheme="minorHAnsi"/>
        </w:rPr>
      </w:pPr>
    </w:p>
    <w:p w14:paraId="01D0C0A4" w14:textId="77777777" w:rsidR="00DB083C" w:rsidRPr="00B162F1" w:rsidRDefault="00DB083C">
      <w:pPr>
        <w:rPr>
          <w:rFonts w:asciiTheme="minorHAnsi" w:hAnsiTheme="minorHAnsi" w:cstheme="minorHAnsi"/>
        </w:rPr>
      </w:pPr>
    </w:p>
    <w:p w14:paraId="407AFC44" w14:textId="77777777" w:rsidR="00DB083C" w:rsidRPr="00B162F1" w:rsidRDefault="00DB083C">
      <w:pPr>
        <w:rPr>
          <w:rFonts w:asciiTheme="minorHAnsi" w:hAnsiTheme="minorHAnsi" w:cstheme="minorHAnsi"/>
        </w:rPr>
      </w:pPr>
    </w:p>
    <w:p w14:paraId="492C8862" w14:textId="77777777" w:rsidR="00DB083C" w:rsidRPr="00B162F1" w:rsidRDefault="00DB083C">
      <w:pPr>
        <w:rPr>
          <w:rFonts w:asciiTheme="minorHAnsi" w:hAnsiTheme="minorHAnsi" w:cstheme="minorHAnsi"/>
        </w:rPr>
      </w:pPr>
    </w:p>
    <w:p w14:paraId="5726A9F9" w14:textId="77777777" w:rsidR="00DB083C" w:rsidRPr="00B162F1" w:rsidRDefault="00DB083C">
      <w:pPr>
        <w:rPr>
          <w:rFonts w:asciiTheme="minorHAnsi" w:hAnsiTheme="minorHAnsi" w:cstheme="minorHAnsi"/>
        </w:rPr>
      </w:pPr>
    </w:p>
    <w:p w14:paraId="01538A6E" w14:textId="77777777" w:rsidR="00DB083C" w:rsidRPr="00B162F1" w:rsidRDefault="00DB083C">
      <w:pPr>
        <w:rPr>
          <w:rFonts w:asciiTheme="minorHAnsi" w:hAnsiTheme="minorHAnsi" w:cstheme="minorHAnsi"/>
        </w:rPr>
      </w:pPr>
    </w:p>
    <w:p w14:paraId="7CF250AF" w14:textId="77777777" w:rsidR="00DB083C" w:rsidRPr="00B162F1" w:rsidRDefault="00DB083C">
      <w:pPr>
        <w:rPr>
          <w:rFonts w:asciiTheme="minorHAnsi" w:hAnsiTheme="minorHAnsi" w:cstheme="minorHAnsi"/>
        </w:rPr>
      </w:pPr>
    </w:p>
    <w:p w14:paraId="770E48A7" w14:textId="77777777" w:rsidR="00DB083C" w:rsidRPr="00B162F1" w:rsidRDefault="00DB083C">
      <w:pPr>
        <w:rPr>
          <w:rFonts w:asciiTheme="minorHAnsi" w:hAnsiTheme="minorHAnsi" w:cstheme="minorHAnsi"/>
        </w:rPr>
      </w:pPr>
    </w:p>
    <w:p w14:paraId="7A061671" w14:textId="77777777" w:rsidR="00DB083C" w:rsidRPr="00B162F1" w:rsidRDefault="00DB083C">
      <w:pPr>
        <w:rPr>
          <w:rFonts w:asciiTheme="minorHAnsi" w:hAnsiTheme="minorHAnsi" w:cstheme="minorHAnsi"/>
        </w:rPr>
      </w:pPr>
    </w:p>
    <w:p w14:paraId="5697DCEB" w14:textId="77777777" w:rsidR="00DB083C" w:rsidRPr="00B162F1" w:rsidRDefault="00DB083C">
      <w:pPr>
        <w:rPr>
          <w:rFonts w:asciiTheme="minorHAnsi" w:hAnsiTheme="minorHAnsi" w:cstheme="minorHAnsi"/>
        </w:rPr>
      </w:pPr>
    </w:p>
    <w:p w14:paraId="1B03048E" w14:textId="77777777" w:rsidR="00DB083C" w:rsidRPr="00B162F1" w:rsidRDefault="00DB083C">
      <w:pPr>
        <w:rPr>
          <w:rFonts w:asciiTheme="minorHAnsi" w:hAnsiTheme="minorHAnsi" w:cstheme="minorHAnsi"/>
        </w:rPr>
      </w:pPr>
    </w:p>
    <w:p w14:paraId="5DD2859D" w14:textId="77777777" w:rsidR="00DB083C" w:rsidRPr="00B162F1" w:rsidRDefault="00DB083C">
      <w:pPr>
        <w:rPr>
          <w:rFonts w:asciiTheme="minorHAnsi" w:hAnsiTheme="minorHAnsi" w:cstheme="minorHAnsi"/>
        </w:rPr>
      </w:pPr>
    </w:p>
    <w:p w14:paraId="705CC38E" w14:textId="77777777" w:rsidR="00DB083C" w:rsidRPr="00B162F1" w:rsidRDefault="00DB083C">
      <w:pPr>
        <w:rPr>
          <w:rFonts w:asciiTheme="minorHAnsi" w:hAnsiTheme="minorHAnsi" w:cstheme="minorHAnsi"/>
        </w:rPr>
      </w:pPr>
    </w:p>
    <w:p w14:paraId="31C71187" w14:textId="3F6846E3" w:rsidR="002E1B7C" w:rsidRPr="00D54C58" w:rsidRDefault="002E1B7C" w:rsidP="002E1B7C">
      <w:pPr>
        <w:pStyle w:val="Ttulo"/>
        <w:jc w:val="center"/>
        <w:rPr>
          <w:rFonts w:asciiTheme="minorHAnsi" w:hAnsiTheme="minorHAnsi" w:cstheme="minorHAnsi"/>
          <w:color w:val="365F91"/>
          <w:sz w:val="28"/>
          <w:szCs w:val="22"/>
          <w:lang w:val="pt-PT"/>
        </w:rPr>
      </w:pPr>
      <w:bookmarkStart w:id="0" w:name="_Toc482900426"/>
      <w:bookmarkStart w:id="1" w:name="_Toc221618453"/>
      <w:r w:rsidRPr="00D54C58">
        <w:rPr>
          <w:rFonts w:asciiTheme="minorHAnsi" w:hAnsiTheme="minorHAnsi" w:cstheme="minorHAnsi"/>
          <w:color w:val="365F91"/>
          <w:sz w:val="28"/>
          <w:szCs w:val="22"/>
          <w:lang w:val="pt-PT"/>
        </w:rPr>
        <w:t xml:space="preserve">MENSAGEM </w:t>
      </w:r>
      <w:r w:rsidR="0059218C" w:rsidRPr="0059218C">
        <w:rPr>
          <w:rFonts w:asciiTheme="minorHAnsi" w:hAnsiTheme="minorHAnsi" w:cstheme="minorHAnsi"/>
          <w:color w:val="365F91"/>
          <w:sz w:val="28"/>
          <w:szCs w:val="22"/>
          <w:lang w:val="pt-PT"/>
        </w:rPr>
        <w:t>DA</w:t>
      </w:r>
      <w:r w:rsidR="002B6CD1" w:rsidRPr="0059218C">
        <w:rPr>
          <w:rFonts w:asciiTheme="minorHAnsi" w:hAnsiTheme="minorHAnsi" w:cstheme="minorHAnsi"/>
          <w:color w:val="365F91"/>
          <w:sz w:val="28"/>
          <w:szCs w:val="22"/>
          <w:lang w:val="pt-PT"/>
        </w:rPr>
        <w:t xml:space="preserve"> </w:t>
      </w:r>
      <w:r w:rsidRPr="0059218C">
        <w:rPr>
          <w:rFonts w:asciiTheme="minorHAnsi" w:hAnsiTheme="minorHAnsi" w:cstheme="minorHAnsi"/>
          <w:color w:val="365F91"/>
          <w:sz w:val="28"/>
          <w:szCs w:val="22"/>
          <w:lang w:val="pt-PT"/>
        </w:rPr>
        <w:t>P</w:t>
      </w:r>
      <w:r w:rsidRPr="00D54C58">
        <w:rPr>
          <w:rFonts w:asciiTheme="minorHAnsi" w:hAnsiTheme="minorHAnsi" w:cstheme="minorHAnsi"/>
          <w:color w:val="365F91"/>
          <w:sz w:val="28"/>
          <w:szCs w:val="22"/>
          <w:lang w:val="pt-PT"/>
        </w:rPr>
        <w:t>RESIDENTE</w:t>
      </w:r>
      <w:bookmarkEnd w:id="0"/>
      <w:bookmarkEnd w:id="1"/>
    </w:p>
    <w:p w14:paraId="3CF83418" w14:textId="77777777" w:rsidR="00DB083C" w:rsidRPr="00B162F1" w:rsidRDefault="00DB083C">
      <w:pPr>
        <w:rPr>
          <w:rFonts w:asciiTheme="minorHAnsi" w:hAnsiTheme="minorHAnsi" w:cstheme="minorHAnsi"/>
        </w:rPr>
      </w:pPr>
    </w:p>
    <w:p w14:paraId="18F36492" w14:textId="77777777" w:rsidR="00DB083C" w:rsidRPr="00B162F1" w:rsidRDefault="00DB083C">
      <w:pPr>
        <w:rPr>
          <w:rFonts w:asciiTheme="minorHAnsi" w:hAnsiTheme="minorHAnsi" w:cstheme="minorHAnsi"/>
        </w:rPr>
      </w:pPr>
    </w:p>
    <w:p w14:paraId="4C660570" w14:textId="77777777" w:rsidR="00DB083C" w:rsidRPr="00B162F1" w:rsidRDefault="00DB083C">
      <w:pPr>
        <w:rPr>
          <w:rFonts w:asciiTheme="minorHAnsi" w:hAnsiTheme="minorHAnsi" w:cstheme="minorHAnsi"/>
        </w:rPr>
      </w:pPr>
    </w:p>
    <w:p w14:paraId="00EB6FB6" w14:textId="77777777" w:rsidR="00DB083C" w:rsidRPr="00B162F1" w:rsidRDefault="00DB083C">
      <w:pPr>
        <w:rPr>
          <w:rFonts w:asciiTheme="minorHAnsi" w:hAnsiTheme="minorHAnsi" w:cstheme="minorHAnsi"/>
        </w:rPr>
      </w:pPr>
    </w:p>
    <w:p w14:paraId="63293A4F" w14:textId="77777777" w:rsidR="00DB083C" w:rsidRPr="00B162F1" w:rsidRDefault="00DB083C">
      <w:pPr>
        <w:rPr>
          <w:rFonts w:asciiTheme="minorHAnsi" w:hAnsiTheme="minorHAnsi" w:cstheme="minorHAnsi"/>
        </w:rPr>
      </w:pPr>
    </w:p>
    <w:p w14:paraId="3FAED473" w14:textId="77777777" w:rsidR="00DB083C" w:rsidRPr="00B162F1" w:rsidRDefault="00DB083C">
      <w:pPr>
        <w:rPr>
          <w:rFonts w:asciiTheme="minorHAnsi" w:hAnsiTheme="minorHAnsi" w:cstheme="minorHAnsi"/>
        </w:rPr>
      </w:pPr>
    </w:p>
    <w:p w14:paraId="3119065C" w14:textId="77777777" w:rsidR="00DB083C" w:rsidRPr="00B162F1" w:rsidRDefault="00DB083C">
      <w:pPr>
        <w:rPr>
          <w:rFonts w:asciiTheme="minorHAnsi" w:hAnsiTheme="minorHAnsi" w:cstheme="minorHAnsi"/>
        </w:rPr>
      </w:pPr>
    </w:p>
    <w:p w14:paraId="2815D54F" w14:textId="77777777" w:rsidR="00DB083C" w:rsidRPr="00B162F1" w:rsidRDefault="00DB083C">
      <w:pPr>
        <w:rPr>
          <w:rFonts w:asciiTheme="minorHAnsi" w:hAnsiTheme="minorHAnsi" w:cstheme="minorHAnsi"/>
        </w:rPr>
      </w:pPr>
    </w:p>
    <w:p w14:paraId="68A50207" w14:textId="77777777" w:rsidR="00DB083C" w:rsidRPr="00B162F1" w:rsidRDefault="00DB083C">
      <w:pPr>
        <w:rPr>
          <w:rFonts w:asciiTheme="minorHAnsi" w:hAnsiTheme="minorHAnsi" w:cstheme="minorHAnsi"/>
        </w:rPr>
      </w:pPr>
    </w:p>
    <w:p w14:paraId="1D4BA794" w14:textId="77777777" w:rsidR="00DB083C" w:rsidRPr="00B162F1" w:rsidRDefault="00DB083C">
      <w:pPr>
        <w:rPr>
          <w:rFonts w:asciiTheme="minorHAnsi" w:hAnsiTheme="minorHAnsi" w:cstheme="minorHAnsi"/>
        </w:rPr>
      </w:pPr>
    </w:p>
    <w:p w14:paraId="7A6894DB" w14:textId="77777777" w:rsidR="00DB083C" w:rsidRPr="00B162F1" w:rsidRDefault="00DB083C">
      <w:pPr>
        <w:rPr>
          <w:rFonts w:asciiTheme="minorHAnsi" w:hAnsiTheme="minorHAnsi" w:cstheme="minorHAnsi"/>
        </w:rPr>
      </w:pPr>
    </w:p>
    <w:p w14:paraId="19238953" w14:textId="77777777" w:rsidR="00DB083C" w:rsidRPr="00B162F1" w:rsidRDefault="00DB083C">
      <w:pPr>
        <w:rPr>
          <w:rFonts w:asciiTheme="minorHAnsi" w:hAnsiTheme="minorHAnsi" w:cstheme="minorHAnsi"/>
        </w:rPr>
      </w:pPr>
    </w:p>
    <w:p w14:paraId="0358010F" w14:textId="77777777" w:rsidR="006A6B54" w:rsidRPr="00B162F1" w:rsidRDefault="006A6B54">
      <w:pPr>
        <w:rPr>
          <w:rFonts w:asciiTheme="minorHAnsi" w:hAnsiTheme="minorHAnsi" w:cstheme="minorHAnsi"/>
        </w:rPr>
      </w:pPr>
    </w:p>
    <w:p w14:paraId="622D5000" w14:textId="77777777" w:rsidR="006A6B54" w:rsidRPr="00B162F1" w:rsidRDefault="006A6B54">
      <w:pPr>
        <w:rPr>
          <w:rFonts w:asciiTheme="minorHAnsi" w:hAnsiTheme="minorHAnsi" w:cstheme="minorHAnsi"/>
        </w:rPr>
      </w:pPr>
    </w:p>
    <w:p w14:paraId="7F62E8A3" w14:textId="77777777" w:rsidR="006A6B54" w:rsidRPr="00B162F1" w:rsidRDefault="006A6B54">
      <w:pPr>
        <w:rPr>
          <w:rFonts w:asciiTheme="minorHAnsi" w:hAnsiTheme="minorHAnsi" w:cstheme="minorHAnsi"/>
        </w:rPr>
      </w:pPr>
    </w:p>
    <w:p w14:paraId="1083B0DA" w14:textId="77777777" w:rsidR="006A6B54" w:rsidRPr="00B162F1" w:rsidRDefault="006A6B54">
      <w:pPr>
        <w:rPr>
          <w:rFonts w:asciiTheme="minorHAnsi" w:hAnsiTheme="minorHAnsi" w:cstheme="minorHAnsi"/>
        </w:rPr>
      </w:pPr>
    </w:p>
    <w:p w14:paraId="27244395" w14:textId="77777777" w:rsidR="006A6B54" w:rsidRPr="00B162F1" w:rsidRDefault="006A6B54">
      <w:pPr>
        <w:rPr>
          <w:rFonts w:asciiTheme="minorHAnsi" w:hAnsiTheme="minorHAnsi" w:cstheme="minorHAnsi"/>
        </w:rPr>
      </w:pPr>
    </w:p>
    <w:p w14:paraId="3541814C" w14:textId="77777777" w:rsidR="006A6B54" w:rsidRPr="00B162F1" w:rsidRDefault="006A6B54">
      <w:pPr>
        <w:rPr>
          <w:rFonts w:asciiTheme="minorHAnsi" w:hAnsiTheme="minorHAnsi" w:cstheme="minorHAnsi"/>
        </w:rPr>
      </w:pPr>
    </w:p>
    <w:p w14:paraId="2D0A161B" w14:textId="77777777" w:rsidR="006A6B54" w:rsidRPr="00B162F1" w:rsidRDefault="006A6B54">
      <w:pPr>
        <w:rPr>
          <w:rFonts w:asciiTheme="minorHAnsi" w:hAnsiTheme="minorHAnsi" w:cstheme="minorHAnsi"/>
        </w:rPr>
      </w:pPr>
    </w:p>
    <w:p w14:paraId="76FEC6F2" w14:textId="77777777" w:rsidR="006A6B54" w:rsidRPr="00B162F1" w:rsidRDefault="006A6B54">
      <w:pPr>
        <w:rPr>
          <w:rFonts w:asciiTheme="minorHAnsi" w:hAnsiTheme="minorHAnsi" w:cstheme="minorHAnsi"/>
        </w:rPr>
      </w:pPr>
    </w:p>
    <w:p w14:paraId="27233A83" w14:textId="77777777" w:rsidR="002E1B7C" w:rsidRDefault="002E1B7C">
      <w:pPr>
        <w:rPr>
          <w:rFonts w:asciiTheme="minorHAnsi" w:hAnsiTheme="minorHAnsi" w:cstheme="minorHAnsi"/>
        </w:rPr>
      </w:pPr>
      <w:r>
        <w:rPr>
          <w:rFonts w:asciiTheme="minorHAnsi" w:hAnsiTheme="minorHAnsi" w:cstheme="minorHAnsi"/>
        </w:rPr>
        <w:br w:type="page"/>
      </w:r>
    </w:p>
    <w:p w14:paraId="0D886C2A" w14:textId="59A89C4D" w:rsidR="009A2261" w:rsidRPr="00F57DE7" w:rsidRDefault="00E37AB4" w:rsidP="00F57DE7">
      <w:pPr>
        <w:rPr>
          <w:rFonts w:asciiTheme="minorHAnsi" w:hAnsiTheme="minorHAnsi" w:cstheme="minorHAnsi"/>
          <w:b/>
          <w:sz w:val="22"/>
          <w:szCs w:val="22"/>
        </w:rPr>
      </w:pPr>
      <w:r>
        <w:rPr>
          <w:rFonts w:asciiTheme="minorHAnsi" w:hAnsiTheme="minorHAnsi" w:cstheme="minorHAnsi"/>
          <w:b/>
          <w:sz w:val="22"/>
          <w:szCs w:val="22"/>
        </w:rPr>
        <w:lastRenderedPageBreak/>
        <w:t xml:space="preserve">MENSAGEM </w:t>
      </w:r>
      <w:r w:rsidRPr="004F3269">
        <w:rPr>
          <w:rFonts w:asciiTheme="minorHAnsi" w:hAnsiTheme="minorHAnsi" w:cstheme="minorHAnsi"/>
          <w:b/>
          <w:sz w:val="22"/>
          <w:szCs w:val="22"/>
        </w:rPr>
        <w:t>DA</w:t>
      </w:r>
      <w:r w:rsidR="009A2261" w:rsidRPr="00F57DE7">
        <w:rPr>
          <w:rFonts w:asciiTheme="minorHAnsi" w:hAnsiTheme="minorHAnsi" w:cstheme="minorHAnsi"/>
          <w:b/>
          <w:sz w:val="22"/>
          <w:szCs w:val="22"/>
        </w:rPr>
        <w:t xml:space="preserve"> PRESIDENTE</w:t>
      </w:r>
    </w:p>
    <w:p w14:paraId="45AA400E" w14:textId="6D173408" w:rsidR="00A35CCA" w:rsidRPr="00C1730E" w:rsidRDefault="00C1730E" w:rsidP="00F57DE7">
      <w:pPr>
        <w:jc w:val="both"/>
        <w:rPr>
          <w:rFonts w:asciiTheme="minorHAnsi" w:hAnsiTheme="minorHAnsi" w:cstheme="minorHAnsi"/>
          <w:b/>
          <w:sz w:val="22"/>
          <w:szCs w:val="22"/>
        </w:rPr>
      </w:pPr>
      <w:r w:rsidRPr="00C1730E">
        <w:rPr>
          <w:rFonts w:asciiTheme="minorHAnsi" w:hAnsiTheme="minorHAnsi" w:cstheme="minorHAnsi"/>
          <w:b/>
          <w:sz w:val="22"/>
          <w:szCs w:val="22"/>
        </w:rPr>
        <w:t>20</w:t>
      </w:r>
      <w:r w:rsidR="00E67B3B">
        <w:rPr>
          <w:rFonts w:asciiTheme="minorHAnsi" w:hAnsiTheme="minorHAnsi" w:cstheme="minorHAnsi"/>
          <w:b/>
          <w:sz w:val="22"/>
          <w:szCs w:val="22"/>
        </w:rPr>
        <w:t>2</w:t>
      </w:r>
      <w:r w:rsidR="00111FB6">
        <w:rPr>
          <w:rFonts w:asciiTheme="minorHAnsi" w:hAnsiTheme="minorHAnsi" w:cstheme="minorHAnsi"/>
          <w:b/>
          <w:sz w:val="22"/>
          <w:szCs w:val="22"/>
        </w:rPr>
        <w:t>5</w:t>
      </w:r>
    </w:p>
    <w:p w14:paraId="5976DC12" w14:textId="2E5D5395" w:rsidR="00C1730E" w:rsidRDefault="00C1730E" w:rsidP="00C1730E">
      <w:pPr>
        <w:pStyle w:val="CorpodotextoMP"/>
        <w:spacing w:after="0"/>
        <w:rPr>
          <w:rFonts w:asciiTheme="minorHAnsi" w:hAnsiTheme="minorHAnsi" w:cstheme="minorHAnsi"/>
          <w:sz w:val="22"/>
          <w:szCs w:val="22"/>
        </w:rPr>
      </w:pPr>
    </w:p>
    <w:p w14:paraId="0E5BAABA" w14:textId="77777777" w:rsidR="005F685B" w:rsidRDefault="005F685B" w:rsidP="00C1730E">
      <w:pPr>
        <w:pStyle w:val="CorpodotextoMP"/>
        <w:spacing w:after="0"/>
        <w:rPr>
          <w:rFonts w:asciiTheme="minorHAnsi" w:hAnsiTheme="minorHAnsi" w:cstheme="minorHAnsi"/>
          <w:sz w:val="22"/>
          <w:szCs w:val="22"/>
        </w:rPr>
      </w:pPr>
    </w:p>
    <w:p w14:paraId="71F383AA" w14:textId="77777777" w:rsidR="009924CF" w:rsidRDefault="009924CF" w:rsidP="009924CF">
      <w:pPr>
        <w:pStyle w:val="CorpodotextoMP"/>
        <w:spacing w:after="0"/>
        <w:rPr>
          <w:rFonts w:asciiTheme="minorHAnsi" w:hAnsiTheme="minorHAnsi" w:cstheme="minorHAnsi"/>
          <w:sz w:val="22"/>
          <w:szCs w:val="22"/>
        </w:rPr>
      </w:pPr>
      <w:r>
        <w:rPr>
          <w:rFonts w:asciiTheme="minorHAnsi" w:hAnsiTheme="minorHAnsi" w:cstheme="minorHAnsi"/>
          <w:sz w:val="22"/>
          <w:szCs w:val="22"/>
        </w:rPr>
        <w:t>O ano de 2025 marca o início da entrada em funções de um novo Conselho de Administração com um mandato que tem por missão concretizar a liquidação da Parvalorem.</w:t>
      </w:r>
    </w:p>
    <w:p w14:paraId="260EFDD1" w14:textId="77777777" w:rsidR="009924CF" w:rsidRDefault="009924CF" w:rsidP="009924CF">
      <w:pPr>
        <w:pStyle w:val="CorpodotextoMP"/>
        <w:spacing w:after="0"/>
        <w:rPr>
          <w:rFonts w:asciiTheme="minorHAnsi" w:hAnsiTheme="minorHAnsi" w:cstheme="minorHAnsi"/>
          <w:sz w:val="22"/>
          <w:szCs w:val="22"/>
        </w:rPr>
      </w:pPr>
    </w:p>
    <w:p w14:paraId="282C101F" w14:textId="77777777" w:rsidR="009924CF" w:rsidRDefault="009924CF" w:rsidP="009924CF">
      <w:pPr>
        <w:pStyle w:val="CorpodotextoMP"/>
        <w:spacing w:after="0"/>
        <w:rPr>
          <w:rFonts w:asciiTheme="minorHAnsi" w:hAnsiTheme="minorHAnsi" w:cstheme="minorHAnsi"/>
          <w:sz w:val="22"/>
          <w:szCs w:val="22"/>
        </w:rPr>
      </w:pPr>
      <w:r>
        <w:rPr>
          <w:rFonts w:asciiTheme="minorHAnsi" w:hAnsiTheme="minorHAnsi" w:cstheme="minorHAnsi"/>
          <w:sz w:val="22"/>
          <w:szCs w:val="22"/>
        </w:rPr>
        <w:t xml:space="preserve">Com efeito, do universo de empresas criadas para viabilizar a reprivatização do Grupo BPN, subsiste a Parvalorem, tendo já sido fusionadas nesta, a </w:t>
      </w:r>
      <w:proofErr w:type="spellStart"/>
      <w:r>
        <w:rPr>
          <w:rFonts w:asciiTheme="minorHAnsi" w:hAnsiTheme="minorHAnsi" w:cstheme="minorHAnsi"/>
          <w:sz w:val="22"/>
          <w:szCs w:val="22"/>
        </w:rPr>
        <w:t>Parups</w:t>
      </w:r>
      <w:proofErr w:type="spellEnd"/>
      <w:r>
        <w:rPr>
          <w:rFonts w:asciiTheme="minorHAnsi" w:hAnsiTheme="minorHAnsi" w:cstheme="minorHAnsi"/>
          <w:sz w:val="22"/>
          <w:szCs w:val="22"/>
        </w:rPr>
        <w:t xml:space="preserve"> e a Parparticipadas.</w:t>
      </w:r>
    </w:p>
    <w:p w14:paraId="3D733CE5" w14:textId="77777777" w:rsidR="009924CF" w:rsidRDefault="009924CF" w:rsidP="009924CF">
      <w:pPr>
        <w:pStyle w:val="CorpodotextoMP"/>
        <w:spacing w:after="0"/>
        <w:rPr>
          <w:rFonts w:asciiTheme="minorHAnsi" w:hAnsiTheme="minorHAnsi" w:cstheme="minorHAnsi"/>
          <w:sz w:val="22"/>
          <w:szCs w:val="22"/>
        </w:rPr>
      </w:pPr>
    </w:p>
    <w:p w14:paraId="08F3E98C" w14:textId="77777777" w:rsidR="009924CF" w:rsidRDefault="009924CF" w:rsidP="009924CF">
      <w:pPr>
        <w:pStyle w:val="CorpodotextoMP"/>
        <w:spacing w:after="0"/>
        <w:rPr>
          <w:rFonts w:asciiTheme="minorHAnsi" w:hAnsiTheme="minorHAnsi" w:cstheme="minorHAnsi"/>
          <w:sz w:val="22"/>
          <w:szCs w:val="22"/>
        </w:rPr>
      </w:pPr>
      <w:r>
        <w:rPr>
          <w:rFonts w:asciiTheme="minorHAnsi" w:hAnsiTheme="minorHAnsi" w:cstheme="minorHAnsi"/>
          <w:sz w:val="22"/>
          <w:szCs w:val="22"/>
        </w:rPr>
        <w:t>Estas empresas, com uma clara missão de liquidificar os ativos transferidos do balanço do BPN, e minimizar o esforço financeiro do Estado, recuperaram até ao final do exercício 1965 milhões de euros.</w:t>
      </w:r>
    </w:p>
    <w:p w14:paraId="105356DC" w14:textId="77777777" w:rsidR="009924CF" w:rsidRDefault="009924CF" w:rsidP="009924CF">
      <w:pPr>
        <w:pStyle w:val="CorpodotextoMP"/>
        <w:spacing w:after="0"/>
        <w:rPr>
          <w:rFonts w:asciiTheme="minorHAnsi" w:hAnsiTheme="minorHAnsi" w:cstheme="minorHAnsi"/>
          <w:sz w:val="22"/>
          <w:szCs w:val="22"/>
        </w:rPr>
      </w:pPr>
    </w:p>
    <w:p w14:paraId="6837F5D5" w14:textId="77777777" w:rsidR="009924CF" w:rsidRDefault="009924CF" w:rsidP="009924CF">
      <w:pPr>
        <w:pStyle w:val="CorpodotextoMP"/>
        <w:spacing w:after="0"/>
        <w:rPr>
          <w:rFonts w:asciiTheme="minorHAnsi" w:hAnsiTheme="minorHAnsi" w:cstheme="minorHAnsi"/>
          <w:sz w:val="22"/>
          <w:szCs w:val="22"/>
        </w:rPr>
      </w:pPr>
      <w:r>
        <w:rPr>
          <w:rFonts w:asciiTheme="minorHAnsi" w:hAnsiTheme="minorHAnsi" w:cstheme="minorHAnsi"/>
          <w:sz w:val="22"/>
          <w:szCs w:val="22"/>
        </w:rPr>
        <w:t>Para concretização da Liquidação da Empresa no decurso do atual mandato foi essencial planear a transição da vida profissional dos cerca de 80 Colaboradores, tendo para o efeito, sido apresentado um Plano de Rescisões destinado a todo o universo de Colaboradores com várias janelas de saída, até 31 de dezembro de 2027, data previsível para a liquidação da Empresa.</w:t>
      </w:r>
    </w:p>
    <w:p w14:paraId="45DEEA42" w14:textId="77777777" w:rsidR="009924CF" w:rsidRDefault="009924CF" w:rsidP="009924CF">
      <w:pPr>
        <w:pStyle w:val="CorpodotextoMP"/>
        <w:spacing w:after="0"/>
        <w:rPr>
          <w:rFonts w:asciiTheme="minorHAnsi" w:hAnsiTheme="minorHAnsi" w:cstheme="minorHAnsi"/>
          <w:sz w:val="22"/>
          <w:szCs w:val="22"/>
        </w:rPr>
      </w:pPr>
    </w:p>
    <w:p w14:paraId="13CDC5D0" w14:textId="77777777" w:rsidR="009924CF" w:rsidRDefault="009924CF" w:rsidP="009924CF">
      <w:pPr>
        <w:pStyle w:val="CorpodotextoMP"/>
        <w:spacing w:after="0"/>
        <w:rPr>
          <w:rFonts w:asciiTheme="minorHAnsi" w:hAnsiTheme="minorHAnsi" w:cstheme="minorHAnsi"/>
          <w:sz w:val="22"/>
          <w:szCs w:val="22"/>
        </w:rPr>
      </w:pPr>
      <w:r>
        <w:rPr>
          <w:rFonts w:asciiTheme="minorHAnsi" w:hAnsiTheme="minorHAnsi" w:cstheme="minorHAnsi"/>
          <w:sz w:val="22"/>
          <w:szCs w:val="22"/>
        </w:rPr>
        <w:t>Congratulamo-nos com o sucesso deste Plano, com uma adesão superior a 90%, essencial para a manutenção de um clima de previsibilidade, paz social e empenho de todos os Colaboradores na concretização desta etapa final da nossa missão.</w:t>
      </w:r>
    </w:p>
    <w:p w14:paraId="582A7C40" w14:textId="77777777" w:rsidR="009924CF" w:rsidRDefault="009924CF" w:rsidP="009924CF">
      <w:pPr>
        <w:pStyle w:val="CorpodotextoMP"/>
        <w:spacing w:after="0"/>
        <w:rPr>
          <w:rFonts w:asciiTheme="minorHAnsi" w:hAnsiTheme="minorHAnsi" w:cstheme="minorHAnsi"/>
          <w:sz w:val="22"/>
          <w:szCs w:val="22"/>
        </w:rPr>
      </w:pPr>
      <w:r>
        <w:rPr>
          <w:rFonts w:asciiTheme="minorHAnsi" w:hAnsiTheme="minorHAnsi" w:cstheme="minorHAnsi"/>
          <w:sz w:val="22"/>
          <w:szCs w:val="22"/>
        </w:rPr>
        <w:t xml:space="preserve"> </w:t>
      </w:r>
    </w:p>
    <w:p w14:paraId="70ED8C39" w14:textId="77777777" w:rsidR="009924CF" w:rsidRDefault="009924CF" w:rsidP="009924CF">
      <w:pPr>
        <w:pStyle w:val="CorpodotextoMP"/>
        <w:spacing w:after="0"/>
        <w:rPr>
          <w:rFonts w:asciiTheme="minorHAnsi" w:hAnsiTheme="minorHAnsi" w:cstheme="minorHAnsi"/>
          <w:sz w:val="22"/>
          <w:szCs w:val="22"/>
        </w:rPr>
      </w:pPr>
      <w:r>
        <w:rPr>
          <w:rFonts w:asciiTheme="minorHAnsi" w:hAnsiTheme="minorHAnsi" w:cstheme="minorHAnsi"/>
          <w:sz w:val="22"/>
          <w:szCs w:val="22"/>
        </w:rPr>
        <w:t xml:space="preserve">Foi ainda a 31 de dezembro deste ano, pelo acionista Estado, deliberada a dissolução da Parvalorem, com a sua entrada em liquidação a 1 de janeiro de 2026, dispondo a Empresa, para o efeito, até 31 de dezembro de 2027. </w:t>
      </w:r>
    </w:p>
    <w:p w14:paraId="642952E7" w14:textId="77777777" w:rsidR="009924CF" w:rsidRDefault="009924CF" w:rsidP="009924CF">
      <w:pPr>
        <w:pStyle w:val="CorpodotextoMP"/>
        <w:spacing w:after="0"/>
        <w:rPr>
          <w:rFonts w:asciiTheme="minorHAnsi" w:hAnsiTheme="minorHAnsi" w:cstheme="minorHAnsi"/>
          <w:sz w:val="22"/>
          <w:szCs w:val="22"/>
        </w:rPr>
      </w:pPr>
    </w:p>
    <w:p w14:paraId="205E4CD9" w14:textId="77777777" w:rsidR="009924CF" w:rsidRDefault="009924CF" w:rsidP="009924CF">
      <w:pPr>
        <w:pStyle w:val="CorpodotextoMP"/>
        <w:spacing w:after="0"/>
        <w:rPr>
          <w:rFonts w:asciiTheme="minorHAnsi" w:hAnsiTheme="minorHAnsi" w:cstheme="minorHAnsi"/>
          <w:sz w:val="22"/>
          <w:szCs w:val="22"/>
        </w:rPr>
      </w:pPr>
      <w:r>
        <w:rPr>
          <w:rFonts w:asciiTheme="minorHAnsi" w:hAnsiTheme="minorHAnsi" w:cstheme="minorHAnsi"/>
          <w:sz w:val="22"/>
          <w:szCs w:val="22"/>
        </w:rPr>
        <w:t>Cumpre assim, nestes dois anos, promover um esforço adicional para acelerar a liquidificação dos ativos ainda em balanço e implementar as soluções para a gestão dos ativos que remanescerem, junto de entidades na esfera do Estado.</w:t>
      </w:r>
    </w:p>
    <w:p w14:paraId="5CB6EE02" w14:textId="77777777" w:rsidR="009924CF" w:rsidRDefault="009924CF" w:rsidP="009924CF">
      <w:pPr>
        <w:pStyle w:val="CorpodotextoMP"/>
        <w:spacing w:after="0"/>
        <w:rPr>
          <w:rFonts w:asciiTheme="minorHAnsi" w:hAnsiTheme="minorHAnsi" w:cstheme="minorHAnsi"/>
          <w:sz w:val="22"/>
          <w:szCs w:val="22"/>
        </w:rPr>
      </w:pPr>
    </w:p>
    <w:p w14:paraId="70D5A002" w14:textId="77777777" w:rsidR="009924CF" w:rsidRDefault="009924CF" w:rsidP="009924CF">
      <w:pPr>
        <w:pStyle w:val="CorpodotextoMP"/>
        <w:spacing w:after="0"/>
        <w:rPr>
          <w:rFonts w:asciiTheme="minorHAnsi" w:hAnsiTheme="minorHAnsi" w:cstheme="minorHAnsi"/>
          <w:sz w:val="22"/>
          <w:szCs w:val="22"/>
        </w:rPr>
      </w:pPr>
      <w:r>
        <w:rPr>
          <w:rFonts w:asciiTheme="minorHAnsi" w:hAnsiTheme="minorHAnsi" w:cstheme="minorHAnsi"/>
          <w:sz w:val="22"/>
          <w:szCs w:val="22"/>
        </w:rPr>
        <w:t>Será essencial para a prossecução destes objetivos, como tem sido até aqui, o apoio da Tutela e dos serviços do Ministério das Finanças, nomeadamente da ETF, a quem deixamos o nosso agradecimento.</w:t>
      </w:r>
    </w:p>
    <w:p w14:paraId="4E687266" w14:textId="77777777" w:rsidR="009924CF" w:rsidRDefault="009924CF" w:rsidP="009924CF">
      <w:pPr>
        <w:pStyle w:val="CorpodotextoMP"/>
        <w:spacing w:after="0"/>
        <w:rPr>
          <w:rFonts w:asciiTheme="minorHAnsi" w:hAnsiTheme="minorHAnsi" w:cstheme="minorHAnsi"/>
          <w:sz w:val="22"/>
          <w:szCs w:val="22"/>
        </w:rPr>
      </w:pPr>
    </w:p>
    <w:p w14:paraId="17F98EB2" w14:textId="77777777" w:rsidR="009924CF" w:rsidRDefault="009924CF" w:rsidP="009924CF">
      <w:pPr>
        <w:pStyle w:val="CorpodotextoMP"/>
        <w:spacing w:after="0"/>
        <w:rPr>
          <w:rFonts w:asciiTheme="minorHAnsi" w:hAnsiTheme="minorHAnsi" w:cstheme="minorHAnsi"/>
          <w:sz w:val="22"/>
          <w:szCs w:val="22"/>
        </w:rPr>
      </w:pPr>
      <w:r>
        <w:rPr>
          <w:rFonts w:asciiTheme="minorHAnsi" w:hAnsiTheme="minorHAnsi" w:cstheme="minorHAnsi"/>
          <w:sz w:val="22"/>
          <w:szCs w:val="22"/>
        </w:rPr>
        <w:t>Estendemos também os nossos agradecimentos aos auditores da Sociedade e Conselho Fiscal, cuja colaboração e dedicação foram fundamentais para o caminho já percorrido.</w:t>
      </w:r>
    </w:p>
    <w:p w14:paraId="5BE3FBC2" w14:textId="77777777" w:rsidR="009924CF" w:rsidRDefault="009924CF" w:rsidP="009924CF">
      <w:pPr>
        <w:pStyle w:val="CorpodotextoMP"/>
        <w:spacing w:after="0"/>
        <w:rPr>
          <w:rFonts w:asciiTheme="minorHAnsi" w:hAnsiTheme="minorHAnsi" w:cstheme="minorHAnsi"/>
          <w:sz w:val="22"/>
          <w:szCs w:val="22"/>
        </w:rPr>
      </w:pPr>
    </w:p>
    <w:p w14:paraId="543E2B0D" w14:textId="77777777" w:rsidR="009924CF" w:rsidRDefault="009924CF" w:rsidP="009924CF">
      <w:pPr>
        <w:pStyle w:val="CorpodotextoMP"/>
        <w:spacing w:after="0"/>
        <w:rPr>
          <w:rFonts w:asciiTheme="minorHAnsi" w:hAnsiTheme="minorHAnsi" w:cstheme="minorHAnsi"/>
          <w:sz w:val="22"/>
          <w:szCs w:val="22"/>
        </w:rPr>
      </w:pPr>
      <w:r>
        <w:rPr>
          <w:rFonts w:asciiTheme="minorHAnsi" w:hAnsiTheme="minorHAnsi" w:cstheme="minorHAnsi"/>
          <w:sz w:val="22"/>
          <w:szCs w:val="22"/>
        </w:rPr>
        <w:t>Uma palavra final de agradecimento a todos os Colaboradores, pelo empenho na prossecução dos objetivos da empresa e de incentivo para a concretização de uma transição de carreira bem-sucedida.</w:t>
      </w:r>
    </w:p>
    <w:p w14:paraId="700668F0" w14:textId="77777777" w:rsidR="009924CF" w:rsidRDefault="009924CF" w:rsidP="009924CF">
      <w:pPr>
        <w:pStyle w:val="CorpodotextoMP"/>
        <w:spacing w:after="0"/>
        <w:rPr>
          <w:rFonts w:asciiTheme="minorHAnsi" w:hAnsiTheme="minorHAnsi" w:cstheme="minorHAnsi"/>
          <w:sz w:val="22"/>
          <w:szCs w:val="22"/>
        </w:rPr>
      </w:pPr>
    </w:p>
    <w:p w14:paraId="40F4A983" w14:textId="77777777" w:rsidR="009924CF" w:rsidRPr="00F57DE7" w:rsidRDefault="009924CF" w:rsidP="009924CF">
      <w:pPr>
        <w:pStyle w:val="CorpodotextoMP"/>
        <w:spacing w:after="0"/>
        <w:rPr>
          <w:rFonts w:asciiTheme="minorHAnsi" w:hAnsiTheme="minorHAnsi" w:cstheme="minorHAnsi"/>
          <w:sz w:val="22"/>
          <w:szCs w:val="22"/>
        </w:rPr>
      </w:pPr>
    </w:p>
    <w:p w14:paraId="6E796A32" w14:textId="77777777" w:rsidR="005F685B" w:rsidRDefault="005F685B" w:rsidP="00821DB8">
      <w:pPr>
        <w:pStyle w:val="CorpodotextoMP"/>
        <w:spacing w:after="0"/>
        <w:rPr>
          <w:rFonts w:asciiTheme="minorHAnsi" w:hAnsiTheme="minorHAnsi" w:cstheme="minorHAnsi"/>
          <w:sz w:val="22"/>
          <w:szCs w:val="22"/>
        </w:rPr>
      </w:pPr>
    </w:p>
    <w:p w14:paraId="5AE09C20" w14:textId="77777777" w:rsidR="00297897" w:rsidRPr="00F57DE7" w:rsidRDefault="00297897" w:rsidP="00C1730E">
      <w:pPr>
        <w:pStyle w:val="CorpodotextoMP"/>
        <w:spacing w:after="0"/>
        <w:rPr>
          <w:rFonts w:asciiTheme="minorHAnsi" w:hAnsiTheme="minorHAnsi" w:cstheme="minorHAnsi"/>
          <w:sz w:val="22"/>
          <w:szCs w:val="22"/>
        </w:rPr>
      </w:pPr>
    </w:p>
    <w:p w14:paraId="0C508783" w14:textId="77777777" w:rsidR="000C3748" w:rsidRPr="000C3748" w:rsidRDefault="000C3748" w:rsidP="00C1730E">
      <w:pPr>
        <w:pStyle w:val="CorpodotextoMP"/>
        <w:spacing w:after="0"/>
        <w:rPr>
          <w:rFonts w:asciiTheme="minorHAnsi" w:hAnsiTheme="minorHAnsi" w:cstheme="minorHAnsi"/>
          <w:i/>
          <w:sz w:val="22"/>
          <w:szCs w:val="22"/>
        </w:rPr>
      </w:pPr>
      <w:r w:rsidRPr="00C55377">
        <w:rPr>
          <w:rFonts w:asciiTheme="minorHAnsi" w:hAnsiTheme="minorHAnsi" w:cstheme="minorHAnsi"/>
          <w:i/>
          <w:sz w:val="22"/>
          <w:szCs w:val="22"/>
        </w:rPr>
        <w:t>Sofia Brígida Correia dos Santos de Marçal Teixeira Furtado Torres</w:t>
      </w:r>
      <w:r w:rsidRPr="000C3748">
        <w:rPr>
          <w:rFonts w:asciiTheme="minorHAnsi" w:hAnsiTheme="minorHAnsi" w:cstheme="minorHAnsi"/>
          <w:i/>
          <w:sz w:val="22"/>
          <w:szCs w:val="22"/>
        </w:rPr>
        <w:t xml:space="preserve"> </w:t>
      </w:r>
    </w:p>
    <w:p w14:paraId="6C554F36" w14:textId="32D40F02" w:rsidR="00C1730E" w:rsidRDefault="00760A00" w:rsidP="00C1730E">
      <w:pPr>
        <w:pStyle w:val="CorpodotextoMP"/>
        <w:spacing w:after="0"/>
        <w:rPr>
          <w:rFonts w:asciiTheme="minorHAnsi" w:hAnsiTheme="minorHAnsi" w:cstheme="minorHAnsi"/>
          <w:sz w:val="22"/>
          <w:szCs w:val="22"/>
        </w:rPr>
      </w:pPr>
      <w:r w:rsidRPr="00F57DE7">
        <w:rPr>
          <w:rFonts w:asciiTheme="minorHAnsi" w:hAnsiTheme="minorHAnsi" w:cstheme="minorHAnsi"/>
          <w:sz w:val="22"/>
          <w:szCs w:val="22"/>
        </w:rPr>
        <w:t>Presidente do Conselho de Administração</w:t>
      </w:r>
    </w:p>
    <w:p w14:paraId="3D5C7AEB" w14:textId="77777777" w:rsidR="00C1730E" w:rsidRDefault="00C1730E">
      <w:pPr>
        <w:rPr>
          <w:rFonts w:asciiTheme="minorHAnsi" w:eastAsiaTheme="minorHAnsi" w:hAnsiTheme="minorHAnsi" w:cstheme="minorHAnsi"/>
          <w:sz w:val="22"/>
          <w:szCs w:val="22"/>
          <w:lang w:eastAsia="en-US"/>
        </w:rPr>
      </w:pPr>
      <w:r>
        <w:rPr>
          <w:rFonts w:asciiTheme="minorHAnsi" w:hAnsiTheme="minorHAnsi" w:cstheme="minorHAnsi"/>
          <w:sz w:val="22"/>
          <w:szCs w:val="22"/>
        </w:rPr>
        <w:br w:type="page"/>
      </w:r>
    </w:p>
    <w:p w14:paraId="0A8E5A14" w14:textId="77777777" w:rsidR="00186C46" w:rsidRPr="00F57DE7" w:rsidRDefault="00186C46" w:rsidP="00186C46">
      <w:pPr>
        <w:spacing w:line="360" w:lineRule="auto"/>
        <w:jc w:val="both"/>
        <w:rPr>
          <w:rFonts w:asciiTheme="minorHAnsi" w:hAnsiTheme="minorHAnsi" w:cstheme="minorHAnsi"/>
          <w:b/>
          <w:sz w:val="22"/>
          <w:szCs w:val="22"/>
        </w:rPr>
      </w:pPr>
    </w:p>
    <w:p w14:paraId="1222748E" w14:textId="55A32149" w:rsidR="002E1B7C" w:rsidRDefault="002E1B7C">
      <w:pPr>
        <w:rPr>
          <w:rFonts w:asciiTheme="minorHAnsi" w:hAnsiTheme="minorHAnsi" w:cstheme="minorHAnsi"/>
          <w:b/>
          <w:sz w:val="22"/>
          <w:szCs w:val="22"/>
        </w:rPr>
      </w:pPr>
    </w:p>
    <w:p w14:paraId="4EDE2368" w14:textId="77777777" w:rsidR="002E6DD0" w:rsidRPr="00F57DE7" w:rsidRDefault="002E6DD0" w:rsidP="00F57DE7">
      <w:pPr>
        <w:spacing w:line="360" w:lineRule="auto"/>
        <w:rPr>
          <w:rFonts w:asciiTheme="minorHAnsi" w:hAnsiTheme="minorHAnsi" w:cstheme="minorHAnsi"/>
          <w:b/>
          <w:sz w:val="22"/>
          <w:szCs w:val="22"/>
        </w:rPr>
      </w:pPr>
    </w:p>
    <w:p w14:paraId="3B0132FC" w14:textId="77777777" w:rsidR="00120E9F" w:rsidRDefault="00120E9F" w:rsidP="001B1133">
      <w:pPr>
        <w:pStyle w:val="CorpodotextoMP"/>
        <w:rPr>
          <w:rFonts w:asciiTheme="minorHAnsi" w:hAnsiTheme="minorHAnsi" w:cstheme="minorHAnsi"/>
          <w:sz w:val="22"/>
          <w:szCs w:val="22"/>
        </w:rPr>
      </w:pPr>
    </w:p>
    <w:p w14:paraId="380DBE18" w14:textId="77777777" w:rsidR="0039689E" w:rsidRDefault="0039689E" w:rsidP="001B1133">
      <w:pPr>
        <w:pStyle w:val="CorpodotextoMP"/>
        <w:rPr>
          <w:rFonts w:asciiTheme="minorHAnsi" w:hAnsiTheme="minorHAnsi" w:cstheme="minorHAnsi"/>
          <w:sz w:val="22"/>
          <w:szCs w:val="22"/>
        </w:rPr>
      </w:pPr>
    </w:p>
    <w:p w14:paraId="024282AD" w14:textId="77777777" w:rsidR="0039689E" w:rsidRDefault="0039689E" w:rsidP="001B1133">
      <w:pPr>
        <w:pStyle w:val="CorpodotextoMP"/>
        <w:rPr>
          <w:rFonts w:asciiTheme="minorHAnsi" w:hAnsiTheme="minorHAnsi" w:cstheme="minorHAnsi"/>
          <w:sz w:val="22"/>
          <w:szCs w:val="22"/>
        </w:rPr>
      </w:pPr>
    </w:p>
    <w:p w14:paraId="4C9BE629" w14:textId="77777777" w:rsidR="0073490A" w:rsidRDefault="0073490A" w:rsidP="001B1133">
      <w:pPr>
        <w:pStyle w:val="CorpodotextoMP"/>
        <w:rPr>
          <w:rFonts w:asciiTheme="minorHAnsi" w:hAnsiTheme="minorHAnsi" w:cstheme="minorHAnsi"/>
          <w:sz w:val="22"/>
          <w:szCs w:val="22"/>
        </w:rPr>
      </w:pPr>
    </w:p>
    <w:p w14:paraId="13D99F65" w14:textId="77777777" w:rsidR="0073490A" w:rsidRDefault="0073490A" w:rsidP="001B1133">
      <w:pPr>
        <w:pStyle w:val="CorpodotextoMP"/>
        <w:rPr>
          <w:rFonts w:asciiTheme="minorHAnsi" w:hAnsiTheme="minorHAnsi" w:cstheme="minorHAnsi"/>
          <w:sz w:val="22"/>
          <w:szCs w:val="22"/>
        </w:rPr>
      </w:pPr>
    </w:p>
    <w:p w14:paraId="1EC4B0C6" w14:textId="77777777" w:rsidR="0073490A" w:rsidRDefault="0073490A" w:rsidP="001B1133">
      <w:pPr>
        <w:pStyle w:val="CorpodotextoMP"/>
        <w:rPr>
          <w:rFonts w:asciiTheme="minorHAnsi" w:hAnsiTheme="minorHAnsi" w:cstheme="minorHAnsi"/>
          <w:sz w:val="22"/>
          <w:szCs w:val="22"/>
        </w:rPr>
      </w:pPr>
    </w:p>
    <w:p w14:paraId="7ABE4F8D" w14:textId="77777777" w:rsidR="0073490A" w:rsidRDefault="0073490A" w:rsidP="001B1133">
      <w:pPr>
        <w:pStyle w:val="CorpodotextoMP"/>
        <w:rPr>
          <w:rFonts w:asciiTheme="minorHAnsi" w:hAnsiTheme="minorHAnsi" w:cstheme="minorHAnsi"/>
          <w:sz w:val="22"/>
          <w:szCs w:val="22"/>
        </w:rPr>
      </w:pPr>
    </w:p>
    <w:p w14:paraId="71FEDA31" w14:textId="77777777" w:rsidR="0073490A" w:rsidRDefault="0073490A" w:rsidP="001B1133">
      <w:pPr>
        <w:pStyle w:val="CorpodotextoMP"/>
        <w:rPr>
          <w:rFonts w:asciiTheme="minorHAnsi" w:hAnsiTheme="minorHAnsi" w:cstheme="minorHAnsi"/>
          <w:sz w:val="22"/>
          <w:szCs w:val="22"/>
        </w:rPr>
      </w:pPr>
    </w:p>
    <w:p w14:paraId="5905814F" w14:textId="77777777" w:rsidR="00656232" w:rsidRDefault="00656232" w:rsidP="001B1133">
      <w:pPr>
        <w:pStyle w:val="CorpodotextoMP"/>
        <w:rPr>
          <w:rFonts w:asciiTheme="minorHAnsi" w:hAnsiTheme="minorHAnsi" w:cstheme="minorHAnsi"/>
          <w:sz w:val="22"/>
          <w:szCs w:val="22"/>
        </w:rPr>
      </w:pPr>
    </w:p>
    <w:p w14:paraId="433EA91D" w14:textId="77777777" w:rsidR="00656232" w:rsidRDefault="00656232" w:rsidP="001B1133">
      <w:pPr>
        <w:pStyle w:val="CorpodotextoMP"/>
        <w:rPr>
          <w:rFonts w:asciiTheme="minorHAnsi" w:hAnsiTheme="minorHAnsi" w:cstheme="minorHAnsi"/>
          <w:sz w:val="22"/>
          <w:szCs w:val="22"/>
        </w:rPr>
      </w:pPr>
    </w:p>
    <w:p w14:paraId="55EA8936" w14:textId="77777777" w:rsidR="0073490A" w:rsidRDefault="0073490A" w:rsidP="001B1133">
      <w:pPr>
        <w:pStyle w:val="CorpodotextoMP"/>
        <w:rPr>
          <w:rFonts w:asciiTheme="minorHAnsi" w:hAnsiTheme="minorHAnsi" w:cstheme="minorHAnsi"/>
          <w:sz w:val="22"/>
          <w:szCs w:val="22"/>
        </w:rPr>
      </w:pPr>
    </w:p>
    <w:p w14:paraId="219EC7FE" w14:textId="77777777" w:rsidR="006A6B54" w:rsidRPr="009E5EB3" w:rsidRDefault="006A6B54">
      <w:pPr>
        <w:rPr>
          <w:rFonts w:asciiTheme="minorHAnsi" w:hAnsiTheme="minorHAnsi" w:cstheme="minorHAnsi"/>
          <w:sz w:val="22"/>
          <w:szCs w:val="22"/>
        </w:rPr>
      </w:pPr>
    </w:p>
    <w:p w14:paraId="636B19E9" w14:textId="77777777" w:rsidR="006A6B54" w:rsidRPr="009E5EB3" w:rsidRDefault="006A6B54">
      <w:pPr>
        <w:rPr>
          <w:rFonts w:asciiTheme="minorHAnsi" w:hAnsiTheme="minorHAnsi" w:cstheme="minorHAnsi"/>
          <w:sz w:val="22"/>
          <w:szCs w:val="22"/>
        </w:rPr>
      </w:pPr>
    </w:p>
    <w:p w14:paraId="1ECDFA28" w14:textId="77777777" w:rsidR="006A6B54" w:rsidRPr="009E5EB3" w:rsidRDefault="006A6B54">
      <w:pPr>
        <w:rPr>
          <w:rFonts w:asciiTheme="minorHAnsi" w:hAnsiTheme="minorHAnsi" w:cstheme="minorHAnsi"/>
          <w:sz w:val="22"/>
          <w:szCs w:val="22"/>
        </w:rPr>
      </w:pPr>
    </w:p>
    <w:p w14:paraId="5F028355" w14:textId="77777777" w:rsidR="002E1B7C" w:rsidRPr="00D54C58" w:rsidRDefault="002E1B7C" w:rsidP="002E1B7C">
      <w:pPr>
        <w:pStyle w:val="Ttulo"/>
        <w:jc w:val="center"/>
        <w:rPr>
          <w:rFonts w:asciiTheme="minorHAnsi" w:hAnsiTheme="minorHAnsi" w:cstheme="minorHAnsi"/>
          <w:color w:val="365F91"/>
          <w:sz w:val="28"/>
          <w:szCs w:val="28"/>
          <w:lang w:val="pt-PT"/>
        </w:rPr>
      </w:pPr>
      <w:bookmarkStart w:id="2" w:name="_Toc482900427"/>
      <w:bookmarkStart w:id="3" w:name="_Toc221618454"/>
      <w:bookmarkStart w:id="4" w:name="_Toc132621084"/>
      <w:r w:rsidRPr="00D54C58">
        <w:rPr>
          <w:rFonts w:asciiTheme="minorHAnsi" w:hAnsiTheme="minorHAnsi" w:cstheme="minorHAnsi"/>
          <w:color w:val="365F91"/>
          <w:sz w:val="28"/>
          <w:szCs w:val="28"/>
          <w:lang w:val="pt-PT"/>
        </w:rPr>
        <w:t>1. RELATÓRIO DE GESTÃO</w:t>
      </w:r>
      <w:bookmarkEnd w:id="2"/>
      <w:bookmarkEnd w:id="3"/>
    </w:p>
    <w:bookmarkEnd w:id="4"/>
    <w:p w14:paraId="7E75338F" w14:textId="77777777" w:rsidR="000C494A" w:rsidRPr="00B162F1" w:rsidRDefault="000C494A" w:rsidP="001B2310">
      <w:pPr>
        <w:pStyle w:val="Ttulo"/>
        <w:jc w:val="both"/>
        <w:outlineLvl w:val="9"/>
        <w:rPr>
          <w:rFonts w:asciiTheme="minorHAnsi" w:hAnsiTheme="minorHAnsi" w:cstheme="minorHAnsi"/>
          <w:sz w:val="23"/>
          <w:szCs w:val="23"/>
          <w:lang w:val="pt-PT"/>
        </w:rPr>
      </w:pPr>
    </w:p>
    <w:p w14:paraId="7147F36D" w14:textId="77777777" w:rsidR="000C494A" w:rsidRPr="00B162F1" w:rsidRDefault="000C494A" w:rsidP="001B2310">
      <w:pPr>
        <w:pStyle w:val="Ttulo"/>
        <w:jc w:val="both"/>
        <w:outlineLvl w:val="9"/>
        <w:rPr>
          <w:rFonts w:asciiTheme="minorHAnsi" w:hAnsiTheme="minorHAnsi" w:cstheme="minorHAnsi"/>
          <w:sz w:val="23"/>
          <w:szCs w:val="23"/>
          <w:lang w:val="pt-PT"/>
        </w:rPr>
      </w:pPr>
    </w:p>
    <w:p w14:paraId="70528DD0" w14:textId="77777777" w:rsidR="000C494A" w:rsidRPr="00B162F1" w:rsidRDefault="000C494A" w:rsidP="001B2310">
      <w:pPr>
        <w:pStyle w:val="Ttulo"/>
        <w:jc w:val="both"/>
        <w:outlineLvl w:val="9"/>
        <w:rPr>
          <w:rFonts w:asciiTheme="minorHAnsi" w:hAnsiTheme="minorHAnsi" w:cstheme="minorHAnsi"/>
          <w:sz w:val="23"/>
          <w:szCs w:val="23"/>
          <w:lang w:val="pt-PT"/>
        </w:rPr>
      </w:pPr>
    </w:p>
    <w:p w14:paraId="2A175016" w14:textId="77777777" w:rsidR="000C494A" w:rsidRPr="00B162F1" w:rsidRDefault="000C494A" w:rsidP="001B2310">
      <w:pPr>
        <w:pStyle w:val="Ttulo"/>
        <w:jc w:val="both"/>
        <w:outlineLvl w:val="9"/>
        <w:rPr>
          <w:rFonts w:asciiTheme="minorHAnsi" w:hAnsiTheme="minorHAnsi" w:cstheme="minorHAnsi"/>
          <w:sz w:val="23"/>
          <w:szCs w:val="23"/>
          <w:lang w:val="pt-PT"/>
        </w:rPr>
      </w:pPr>
    </w:p>
    <w:p w14:paraId="5B6828A4" w14:textId="77777777" w:rsidR="000C494A" w:rsidRPr="00B162F1" w:rsidRDefault="000C494A" w:rsidP="001B2310">
      <w:pPr>
        <w:pStyle w:val="Ttulo"/>
        <w:jc w:val="both"/>
        <w:outlineLvl w:val="9"/>
        <w:rPr>
          <w:rFonts w:asciiTheme="minorHAnsi" w:hAnsiTheme="minorHAnsi" w:cstheme="minorHAnsi"/>
          <w:sz w:val="23"/>
          <w:szCs w:val="23"/>
          <w:lang w:val="pt-PT"/>
        </w:rPr>
      </w:pPr>
    </w:p>
    <w:p w14:paraId="45EC14D0" w14:textId="77777777" w:rsidR="00975ECC" w:rsidRPr="00B162F1" w:rsidRDefault="00975ECC">
      <w:pPr>
        <w:rPr>
          <w:rFonts w:asciiTheme="minorHAnsi" w:hAnsiTheme="minorHAnsi" w:cstheme="minorHAnsi"/>
          <w:b/>
          <w:bCs/>
          <w:kern w:val="28"/>
          <w:sz w:val="23"/>
          <w:szCs w:val="23"/>
          <w:lang w:eastAsia="en-US"/>
        </w:rPr>
      </w:pPr>
    </w:p>
    <w:p w14:paraId="0CE7455C" w14:textId="77777777" w:rsidR="00650F66" w:rsidRDefault="00650F66">
      <w:pPr>
        <w:rPr>
          <w:rFonts w:asciiTheme="minorHAnsi" w:hAnsiTheme="minorHAnsi" w:cstheme="minorHAnsi"/>
          <w:b/>
          <w:bCs/>
          <w:iCs/>
          <w:color w:val="0070C0"/>
          <w:sz w:val="22"/>
          <w:szCs w:val="22"/>
          <w:lang w:eastAsia="en-US"/>
        </w:rPr>
      </w:pPr>
      <w:bookmarkStart w:id="5" w:name="_Toc132621085"/>
      <w:r>
        <w:rPr>
          <w:rFonts w:asciiTheme="minorHAnsi" w:hAnsiTheme="minorHAnsi" w:cstheme="minorHAnsi"/>
          <w:bCs/>
          <w:iCs/>
          <w:color w:val="0070C0"/>
          <w:sz w:val="22"/>
          <w:szCs w:val="22"/>
        </w:rPr>
        <w:br w:type="page"/>
      </w:r>
    </w:p>
    <w:p w14:paraId="67A16738" w14:textId="77777777" w:rsidR="00C93B74" w:rsidRPr="00F57DE7" w:rsidRDefault="00C93B74" w:rsidP="00E50831">
      <w:pPr>
        <w:pStyle w:val="Ttulo22"/>
      </w:pPr>
      <w:bookmarkStart w:id="6" w:name="_Toc163060201"/>
      <w:bookmarkStart w:id="7" w:name="_Toc221618455"/>
      <w:bookmarkEnd w:id="5"/>
      <w:r w:rsidRPr="00F57DE7">
        <w:lastRenderedPageBreak/>
        <w:t>1.1 Introdução</w:t>
      </w:r>
      <w:bookmarkEnd w:id="6"/>
      <w:bookmarkEnd w:id="7"/>
    </w:p>
    <w:p w14:paraId="3601B150" w14:textId="33D91821" w:rsidR="00C93B74" w:rsidRPr="00C1128D" w:rsidRDefault="00C93B74" w:rsidP="00DF561C">
      <w:pPr>
        <w:jc w:val="both"/>
        <w:rPr>
          <w:rFonts w:asciiTheme="minorHAnsi" w:hAnsiTheme="minorHAnsi" w:cstheme="minorHAnsi"/>
          <w:sz w:val="22"/>
          <w:szCs w:val="22"/>
        </w:rPr>
      </w:pPr>
      <w:bookmarkStart w:id="8" w:name="_Toc132621086"/>
      <w:r w:rsidRPr="00C1128D">
        <w:rPr>
          <w:rFonts w:asciiTheme="minorHAnsi" w:hAnsiTheme="minorHAnsi" w:cstheme="minorHAnsi"/>
          <w:sz w:val="22"/>
          <w:szCs w:val="22"/>
        </w:rPr>
        <w:t>A PAR</w:t>
      </w:r>
      <w:r>
        <w:rPr>
          <w:rFonts w:asciiTheme="minorHAnsi" w:hAnsiTheme="minorHAnsi" w:cstheme="minorHAnsi"/>
          <w:sz w:val="22"/>
          <w:szCs w:val="22"/>
        </w:rPr>
        <w:t>VALOREM</w:t>
      </w:r>
      <w:r w:rsidRPr="00C1128D">
        <w:rPr>
          <w:rFonts w:asciiTheme="minorHAnsi" w:hAnsiTheme="minorHAnsi" w:cstheme="minorHAnsi"/>
          <w:sz w:val="22"/>
          <w:szCs w:val="22"/>
        </w:rPr>
        <w:t>, S.A.</w:t>
      </w:r>
      <w:r>
        <w:rPr>
          <w:rFonts w:asciiTheme="minorHAnsi" w:hAnsiTheme="minorHAnsi" w:cstheme="minorHAnsi"/>
          <w:sz w:val="22"/>
          <w:szCs w:val="22"/>
        </w:rPr>
        <w:t xml:space="preserve"> (PARVALOREM)</w:t>
      </w:r>
      <w:r w:rsidRPr="00C1128D">
        <w:rPr>
          <w:rFonts w:asciiTheme="minorHAnsi" w:hAnsiTheme="minorHAnsi" w:cstheme="minorHAnsi"/>
          <w:sz w:val="22"/>
          <w:szCs w:val="22"/>
        </w:rPr>
        <w:t xml:space="preserve"> </w:t>
      </w:r>
      <w:bookmarkStart w:id="9" w:name="_Hlk42866455"/>
      <w:r w:rsidRPr="00C1128D">
        <w:rPr>
          <w:rFonts w:asciiTheme="minorHAnsi" w:hAnsiTheme="minorHAnsi" w:cstheme="minorHAnsi"/>
          <w:sz w:val="22"/>
          <w:szCs w:val="22"/>
        </w:rPr>
        <w:t xml:space="preserve">é uma sociedade anónima constituída em 16 de setembro de 2010, com a sua sede social </w:t>
      </w:r>
      <w:r>
        <w:rPr>
          <w:rFonts w:asciiTheme="minorHAnsi" w:hAnsiTheme="minorHAnsi" w:cstheme="minorHAnsi"/>
          <w:sz w:val="22"/>
          <w:szCs w:val="22"/>
        </w:rPr>
        <w:t xml:space="preserve">no </w:t>
      </w:r>
      <w:r w:rsidRPr="0012060E">
        <w:rPr>
          <w:rFonts w:asciiTheme="minorHAnsi" w:hAnsiTheme="minorHAnsi" w:cstheme="minorHAnsi"/>
          <w:sz w:val="22"/>
          <w:szCs w:val="22"/>
        </w:rPr>
        <w:t xml:space="preserve">Edifício </w:t>
      </w:r>
      <w:proofErr w:type="spellStart"/>
      <w:r w:rsidRPr="0012060E">
        <w:rPr>
          <w:rFonts w:asciiTheme="minorHAnsi" w:hAnsiTheme="minorHAnsi" w:cstheme="minorHAnsi"/>
          <w:sz w:val="22"/>
          <w:szCs w:val="22"/>
        </w:rPr>
        <w:t>Arquiparque</w:t>
      </w:r>
      <w:proofErr w:type="spellEnd"/>
      <w:r w:rsidRPr="0012060E">
        <w:rPr>
          <w:rFonts w:asciiTheme="minorHAnsi" w:hAnsiTheme="minorHAnsi" w:cstheme="minorHAnsi"/>
          <w:sz w:val="22"/>
          <w:szCs w:val="22"/>
        </w:rPr>
        <w:t xml:space="preserve"> 7 – Rua Dr. António Loureiro Borges, nº 7 - 6º Piso, Miraflores</w:t>
      </w:r>
      <w:r>
        <w:rPr>
          <w:rFonts w:asciiTheme="minorHAnsi" w:hAnsiTheme="minorHAnsi" w:cstheme="minorHAnsi"/>
          <w:sz w:val="22"/>
          <w:szCs w:val="22"/>
        </w:rPr>
        <w:t>, Al</w:t>
      </w:r>
      <w:r w:rsidRPr="0012060E">
        <w:rPr>
          <w:rFonts w:asciiTheme="minorHAnsi" w:hAnsiTheme="minorHAnsi" w:cstheme="minorHAnsi"/>
          <w:sz w:val="22"/>
          <w:szCs w:val="22"/>
        </w:rPr>
        <w:t>gés</w:t>
      </w:r>
      <w:r w:rsidRPr="00C1128D">
        <w:rPr>
          <w:rFonts w:asciiTheme="minorHAnsi" w:hAnsiTheme="minorHAnsi" w:cstheme="minorHAnsi"/>
          <w:sz w:val="22"/>
          <w:szCs w:val="22"/>
        </w:rPr>
        <w:t xml:space="preserve">, e </w:t>
      </w:r>
      <w:r>
        <w:rPr>
          <w:rFonts w:asciiTheme="minorHAnsi" w:hAnsiTheme="minorHAnsi" w:cstheme="minorHAnsi"/>
          <w:sz w:val="22"/>
          <w:szCs w:val="22"/>
        </w:rPr>
        <w:t xml:space="preserve">que </w:t>
      </w:r>
      <w:r w:rsidRPr="00C1128D">
        <w:rPr>
          <w:rFonts w:asciiTheme="minorHAnsi" w:hAnsiTheme="minorHAnsi" w:cstheme="minorHAnsi"/>
          <w:sz w:val="22"/>
          <w:szCs w:val="22"/>
        </w:rPr>
        <w:t>iniciou a sua atividade a 2 de novembro de 2010</w:t>
      </w:r>
      <w:bookmarkEnd w:id="9"/>
      <w:r w:rsidRPr="00C1128D">
        <w:rPr>
          <w:rFonts w:asciiTheme="minorHAnsi" w:hAnsiTheme="minorHAnsi" w:cstheme="minorHAnsi"/>
          <w:sz w:val="22"/>
          <w:szCs w:val="22"/>
        </w:rPr>
        <w:t>.</w:t>
      </w:r>
    </w:p>
    <w:p w14:paraId="79FC23AC" w14:textId="77777777" w:rsidR="00C93B74" w:rsidRDefault="00C93B74" w:rsidP="00DF561C">
      <w:pPr>
        <w:pStyle w:val="efcorpodetextoRGS"/>
        <w:spacing w:line="240" w:lineRule="auto"/>
        <w:rPr>
          <w:rFonts w:eastAsia="Times New Roman"/>
          <w:kern w:val="0"/>
          <w:lang w:eastAsia="pt-PT"/>
        </w:rPr>
      </w:pPr>
    </w:p>
    <w:p w14:paraId="543129EC" w14:textId="34A44CC7" w:rsidR="00461743" w:rsidRPr="00461743" w:rsidRDefault="00461743" w:rsidP="00DF561C">
      <w:pPr>
        <w:pStyle w:val="efcorpodetextoRGS"/>
        <w:spacing w:line="240" w:lineRule="auto"/>
        <w:rPr>
          <w:rFonts w:eastAsia="Times New Roman"/>
          <w:kern w:val="0"/>
          <w:lang w:eastAsia="pt-PT"/>
        </w:rPr>
      </w:pPr>
      <w:r w:rsidRPr="00461743">
        <w:rPr>
          <w:rFonts w:eastAsia="Times New Roman"/>
          <w:kern w:val="0"/>
          <w:lang w:eastAsia="pt-PT"/>
        </w:rPr>
        <w:t xml:space="preserve">No contexto do Plano Estratégico foi implementado, no último triénio, um processo de reorganização e simplificação do Grupo PAR </w:t>
      </w:r>
      <w:r>
        <w:rPr>
          <w:rFonts w:eastAsia="Times New Roman"/>
          <w:kern w:val="0"/>
          <w:lang w:eastAsia="pt-PT"/>
        </w:rPr>
        <w:t>(</w:t>
      </w:r>
      <w:r w:rsidRPr="00461743">
        <w:rPr>
          <w:rFonts w:eastAsia="Times New Roman"/>
          <w:kern w:val="0"/>
          <w:lang w:eastAsia="pt-PT"/>
        </w:rPr>
        <w:t xml:space="preserve">PARVALOREM, PARUPS, S.A., e PARPARTICIPADAS, SGPS, S.A.), no âmbito do qual se destacam as operações, já concluídas, de fusão da PARUPS, S.A., e da PARPARTICIPADAS, SGPS, S.A., por incorporação, na PARVALOREM e de liquidação do Banco </w:t>
      </w:r>
      <w:proofErr w:type="spellStart"/>
      <w:r w:rsidRPr="00461743">
        <w:rPr>
          <w:rFonts w:eastAsia="Times New Roman"/>
          <w:kern w:val="0"/>
          <w:lang w:eastAsia="pt-PT"/>
        </w:rPr>
        <w:t>Efisa</w:t>
      </w:r>
      <w:proofErr w:type="spellEnd"/>
      <w:r w:rsidRPr="00461743">
        <w:rPr>
          <w:rFonts w:eastAsia="Times New Roman"/>
          <w:kern w:val="0"/>
          <w:lang w:eastAsia="pt-PT"/>
        </w:rPr>
        <w:t xml:space="preserve">, S.A. e do BPN Serviços, </w:t>
      </w:r>
      <w:proofErr w:type="gramStart"/>
      <w:r w:rsidRPr="00461743">
        <w:rPr>
          <w:rFonts w:eastAsia="Times New Roman"/>
          <w:kern w:val="0"/>
          <w:lang w:eastAsia="pt-PT"/>
        </w:rPr>
        <w:t>A.C.E..</w:t>
      </w:r>
      <w:proofErr w:type="gramEnd"/>
    </w:p>
    <w:p w14:paraId="7D22288F" w14:textId="77777777" w:rsidR="00461743" w:rsidRPr="00461743" w:rsidRDefault="00461743" w:rsidP="00DF561C">
      <w:pPr>
        <w:pStyle w:val="efcorpodetextoRGS"/>
        <w:spacing w:line="240" w:lineRule="auto"/>
        <w:rPr>
          <w:rFonts w:eastAsia="Times New Roman"/>
          <w:kern w:val="0"/>
          <w:lang w:eastAsia="pt-PT"/>
        </w:rPr>
      </w:pPr>
    </w:p>
    <w:p w14:paraId="227AF062" w14:textId="3762D38A" w:rsidR="00461743" w:rsidRDefault="00461743" w:rsidP="00DF561C">
      <w:pPr>
        <w:pStyle w:val="efcorpodetextoRGS"/>
        <w:spacing w:line="240" w:lineRule="auto"/>
        <w:rPr>
          <w:rFonts w:eastAsia="Times New Roman"/>
          <w:kern w:val="0"/>
          <w:lang w:eastAsia="pt-PT"/>
        </w:rPr>
      </w:pPr>
      <w:r w:rsidRPr="00461743">
        <w:rPr>
          <w:rFonts w:eastAsia="Times New Roman"/>
          <w:kern w:val="0"/>
          <w:lang w:eastAsia="pt-PT"/>
        </w:rPr>
        <w:t>Em 31 de janeiro de 2025, foi eleito o novo Conselho de Administração para o triénio 2025-2027, tendo iniciado funções a 1 de fevereiro de 2025. O Conselho Fiscal foi reconduzido para um terceiro mandato, e houve eleição de uma nova Mesa da Assembleia Geral.</w:t>
      </w:r>
      <w:r w:rsidR="0014136D">
        <w:rPr>
          <w:rFonts w:eastAsia="Times New Roman"/>
          <w:kern w:val="0"/>
          <w:lang w:eastAsia="pt-PT"/>
        </w:rPr>
        <w:t xml:space="preserve"> </w:t>
      </w:r>
    </w:p>
    <w:p w14:paraId="4CBDDB2D" w14:textId="77777777" w:rsidR="0014136D" w:rsidRDefault="0014136D" w:rsidP="00DF561C">
      <w:pPr>
        <w:pStyle w:val="efcorpodetextoRGS"/>
        <w:spacing w:line="240" w:lineRule="auto"/>
        <w:rPr>
          <w:rFonts w:eastAsia="Times New Roman"/>
          <w:kern w:val="0"/>
          <w:lang w:eastAsia="pt-PT"/>
        </w:rPr>
      </w:pPr>
    </w:p>
    <w:p w14:paraId="2B14C784" w14:textId="2DD8C447" w:rsidR="0014136D" w:rsidRDefault="0014136D" w:rsidP="00DF561C">
      <w:pPr>
        <w:pStyle w:val="efcorpodetextoRGS"/>
        <w:spacing w:line="240" w:lineRule="auto"/>
        <w:rPr>
          <w:rFonts w:eastAsia="Times New Roman"/>
          <w:kern w:val="0"/>
          <w:lang w:eastAsia="pt-PT"/>
        </w:rPr>
      </w:pPr>
      <w:r>
        <w:rPr>
          <w:rFonts w:eastAsia="Times New Roman"/>
          <w:kern w:val="0"/>
          <w:lang w:eastAsia="pt-PT"/>
        </w:rPr>
        <w:t xml:space="preserve">Com o objetivo de preparar a liquidação da PARVALOREM, </w:t>
      </w:r>
      <w:r w:rsidRPr="0014136D">
        <w:rPr>
          <w:rFonts w:eastAsia="Times New Roman"/>
          <w:kern w:val="0"/>
          <w:lang w:eastAsia="pt-PT"/>
        </w:rPr>
        <w:t xml:space="preserve">no final de julho de 2025, foi lançado um novo Programa de Revogações por Mútuo Acordo (RMA 2025-2027), com uma adesão de </w:t>
      </w:r>
      <w:r w:rsidR="008C311C">
        <w:rPr>
          <w:rFonts w:eastAsia="Times New Roman"/>
          <w:kern w:val="0"/>
          <w:lang w:eastAsia="pt-PT"/>
        </w:rPr>
        <w:t>70</w:t>
      </w:r>
      <w:r w:rsidRPr="0014136D">
        <w:rPr>
          <w:rFonts w:eastAsia="Times New Roman"/>
          <w:kern w:val="0"/>
          <w:lang w:eastAsia="pt-PT"/>
        </w:rPr>
        <w:t xml:space="preserve"> colaboradores(as), que irão sair até 31 de dezembro de 2027</w:t>
      </w:r>
      <w:r>
        <w:rPr>
          <w:rFonts w:eastAsia="Times New Roman"/>
          <w:kern w:val="0"/>
          <w:lang w:eastAsia="pt-PT"/>
        </w:rPr>
        <w:t>.</w:t>
      </w:r>
    </w:p>
    <w:p w14:paraId="0F3BF1CD" w14:textId="77777777" w:rsidR="0014136D" w:rsidRDefault="0014136D" w:rsidP="00DF561C">
      <w:pPr>
        <w:pStyle w:val="efcorpodetextoRGS"/>
        <w:spacing w:line="240" w:lineRule="auto"/>
        <w:rPr>
          <w:rFonts w:eastAsia="Times New Roman"/>
          <w:kern w:val="0"/>
          <w:lang w:eastAsia="pt-PT"/>
        </w:rPr>
      </w:pPr>
    </w:p>
    <w:p w14:paraId="66F44273" w14:textId="3F2E591F" w:rsidR="0014136D" w:rsidRDefault="0014136D" w:rsidP="00DF561C">
      <w:pPr>
        <w:pStyle w:val="efcorpodetextoRGS"/>
        <w:spacing w:line="240" w:lineRule="auto"/>
        <w:rPr>
          <w:rFonts w:eastAsia="Times New Roman"/>
          <w:kern w:val="0"/>
          <w:lang w:eastAsia="pt-PT"/>
        </w:rPr>
      </w:pPr>
      <w:r>
        <w:rPr>
          <w:rFonts w:eastAsia="Times New Roman"/>
          <w:kern w:val="0"/>
          <w:lang w:eastAsia="pt-PT"/>
        </w:rPr>
        <w:t>Ao nível da simplificação societária, ocorre</w:t>
      </w:r>
      <w:r w:rsidR="00CC52BA">
        <w:rPr>
          <w:rFonts w:eastAsia="Times New Roman"/>
          <w:kern w:val="0"/>
          <w:lang w:eastAsia="pt-PT"/>
        </w:rPr>
        <w:t>ram</w:t>
      </w:r>
      <w:r>
        <w:rPr>
          <w:rFonts w:eastAsia="Times New Roman"/>
          <w:kern w:val="0"/>
          <w:lang w:eastAsia="pt-PT"/>
        </w:rPr>
        <w:t xml:space="preserve"> em </w:t>
      </w:r>
      <w:r w:rsidRPr="00E61864">
        <w:rPr>
          <w:rFonts w:eastAsia="Times New Roman"/>
          <w:kern w:val="0"/>
          <w:lang w:eastAsia="pt-PT"/>
        </w:rPr>
        <w:t>julho de 2025 as dissoluções, encerramento da liquidação e cancelamento da matr</w:t>
      </w:r>
      <w:r w:rsidR="00CC52BA">
        <w:rPr>
          <w:rFonts w:eastAsia="Times New Roman"/>
          <w:kern w:val="0"/>
          <w:lang w:eastAsia="pt-PT"/>
        </w:rPr>
        <w:t>í</w:t>
      </w:r>
      <w:r w:rsidRPr="00E61864">
        <w:rPr>
          <w:rFonts w:eastAsia="Times New Roman"/>
          <w:kern w:val="0"/>
          <w:lang w:eastAsia="pt-PT"/>
        </w:rPr>
        <w:t xml:space="preserve">cula das sociedades </w:t>
      </w:r>
      <w:proofErr w:type="spellStart"/>
      <w:r w:rsidRPr="00E61864">
        <w:rPr>
          <w:rFonts w:eastAsia="Times New Roman"/>
          <w:kern w:val="0"/>
          <w:lang w:eastAsia="pt-PT"/>
        </w:rPr>
        <w:t>Brick</w:t>
      </w:r>
      <w:proofErr w:type="spellEnd"/>
      <w:r w:rsidRPr="00E61864">
        <w:rPr>
          <w:rFonts w:eastAsia="Times New Roman"/>
          <w:kern w:val="0"/>
          <w:lang w:eastAsia="pt-PT"/>
        </w:rPr>
        <w:t xml:space="preserve"> </w:t>
      </w:r>
      <w:proofErr w:type="spellStart"/>
      <w:r w:rsidRPr="00E61864">
        <w:rPr>
          <w:rFonts w:eastAsia="Times New Roman"/>
          <w:kern w:val="0"/>
          <w:lang w:eastAsia="pt-PT"/>
        </w:rPr>
        <w:t>and</w:t>
      </w:r>
      <w:proofErr w:type="spellEnd"/>
      <w:r w:rsidRPr="00E61864">
        <w:rPr>
          <w:rFonts w:eastAsia="Times New Roman"/>
          <w:kern w:val="0"/>
          <w:lang w:eastAsia="pt-PT"/>
        </w:rPr>
        <w:t xml:space="preserve"> </w:t>
      </w:r>
      <w:proofErr w:type="spellStart"/>
      <w:r w:rsidRPr="00E61864">
        <w:rPr>
          <w:rFonts w:eastAsia="Times New Roman"/>
          <w:kern w:val="0"/>
          <w:lang w:eastAsia="pt-PT"/>
        </w:rPr>
        <w:t>Sand</w:t>
      </w:r>
      <w:proofErr w:type="spellEnd"/>
      <w:r w:rsidRPr="00E61864">
        <w:rPr>
          <w:rFonts w:eastAsia="Times New Roman"/>
          <w:kern w:val="0"/>
          <w:lang w:eastAsia="pt-PT"/>
        </w:rPr>
        <w:t xml:space="preserve"> – Sociedade Imobiliária, S.A. e Sociedade de Administração Imobiliária Palácio das Águias, S.A., </w:t>
      </w:r>
      <w:r>
        <w:rPr>
          <w:rFonts w:eastAsia="Times New Roman"/>
          <w:kern w:val="0"/>
          <w:lang w:eastAsia="pt-PT"/>
        </w:rPr>
        <w:t>a</w:t>
      </w:r>
      <w:r w:rsidRPr="00E61864">
        <w:rPr>
          <w:rFonts w:eastAsia="Times New Roman"/>
          <w:kern w:val="0"/>
          <w:lang w:eastAsia="pt-PT"/>
        </w:rPr>
        <w:t>mbas participadas em 100% pela PARVALOREM, tendo sido distribuídos na partilha os imóveis de que eram titulares.</w:t>
      </w:r>
    </w:p>
    <w:p w14:paraId="13055247" w14:textId="77777777" w:rsidR="005053D3" w:rsidRDefault="005053D3" w:rsidP="00DF561C">
      <w:pPr>
        <w:pStyle w:val="efcorpodetextoRGS"/>
        <w:spacing w:line="240" w:lineRule="auto"/>
        <w:rPr>
          <w:rFonts w:eastAsia="Times New Roman"/>
          <w:kern w:val="0"/>
          <w:lang w:eastAsia="pt-PT"/>
        </w:rPr>
      </w:pPr>
    </w:p>
    <w:p w14:paraId="7E35908D" w14:textId="549ACF8E" w:rsidR="0014136D" w:rsidRDefault="0014136D" w:rsidP="00DF561C">
      <w:pPr>
        <w:pStyle w:val="efcorpodetextoRGS"/>
        <w:spacing w:line="240" w:lineRule="auto"/>
      </w:pPr>
      <w:r>
        <w:t>Durante o ano</w:t>
      </w:r>
      <w:r w:rsidR="004B2492">
        <w:t>,</w:t>
      </w:r>
      <w:r>
        <w:t xml:space="preserve"> a PARVALOREM continuou a sua atividade de recuperação de ativos, tendo transformado créditos, imóveis e ativos financeiro em cash, num total de </w:t>
      </w:r>
      <w:r w:rsidRPr="00106942">
        <w:t xml:space="preserve">€ </w:t>
      </w:r>
      <w:r>
        <w:t>75,7</w:t>
      </w:r>
      <w:r w:rsidRPr="00106942">
        <w:t xml:space="preserve"> milhões</w:t>
      </w:r>
      <w:r>
        <w:t>.</w:t>
      </w:r>
    </w:p>
    <w:p w14:paraId="5CA8F829" w14:textId="77777777" w:rsidR="005053D3" w:rsidRDefault="005053D3" w:rsidP="00DF561C">
      <w:pPr>
        <w:pStyle w:val="efcorpodetextoRGS"/>
        <w:spacing w:line="240" w:lineRule="auto"/>
      </w:pPr>
    </w:p>
    <w:p w14:paraId="4AE4D7B3" w14:textId="0A382ED3" w:rsidR="005053D3" w:rsidRDefault="005053D3" w:rsidP="00DF561C">
      <w:pPr>
        <w:pStyle w:val="efcorpodetextoRGS"/>
        <w:spacing w:line="240" w:lineRule="auto"/>
        <w:rPr>
          <w:rFonts w:eastAsia="Times New Roman"/>
          <w:kern w:val="0"/>
          <w:lang w:eastAsia="pt-PT"/>
        </w:rPr>
      </w:pPr>
      <w:r>
        <w:t xml:space="preserve">No plano financeiro procedeu-se a uma amortização parcial de um mútuo </w:t>
      </w:r>
      <w:r w:rsidR="002D7E01">
        <w:t>junto da</w:t>
      </w:r>
      <w:r w:rsidR="00F00873" w:rsidRPr="00F00873">
        <w:t xml:space="preserve"> </w:t>
      </w:r>
      <w:r w:rsidR="00F00873">
        <w:t>Entidade do Tesouro e Finanças (</w:t>
      </w:r>
      <w:proofErr w:type="spellStart"/>
      <w:r w:rsidR="00F00873">
        <w:t>ex</w:t>
      </w:r>
      <w:proofErr w:type="spellEnd"/>
      <w:r w:rsidR="009E338B">
        <w:t xml:space="preserve"> </w:t>
      </w:r>
      <w:r w:rsidR="00F00873" w:rsidRPr="00E41B0E">
        <w:t>Direção-Geral do Tesouro e Finanças</w:t>
      </w:r>
      <w:r w:rsidR="00F00873">
        <w:t xml:space="preserve">), doravante ETF, </w:t>
      </w:r>
      <w:r>
        <w:t>no valor de € 80 milhões.</w:t>
      </w:r>
    </w:p>
    <w:p w14:paraId="1AB5F51F" w14:textId="77777777" w:rsidR="0014136D" w:rsidRDefault="0014136D" w:rsidP="00DF561C">
      <w:pPr>
        <w:pStyle w:val="efcorpodetextoRGS"/>
        <w:spacing w:line="240" w:lineRule="auto"/>
        <w:rPr>
          <w:rFonts w:eastAsia="Times New Roman"/>
          <w:kern w:val="0"/>
          <w:lang w:eastAsia="pt-PT"/>
        </w:rPr>
      </w:pPr>
    </w:p>
    <w:p w14:paraId="4C04DB49" w14:textId="48316465" w:rsidR="00935396" w:rsidRDefault="00935396" w:rsidP="00935396">
      <w:pPr>
        <w:pStyle w:val="efcorpodetextoRGS"/>
        <w:spacing w:line="240" w:lineRule="auto"/>
      </w:pPr>
      <w:r>
        <w:t>Em 31 de dezembro de 2025,</w:t>
      </w:r>
      <w:r w:rsidRPr="00C73DD5">
        <w:t xml:space="preserve"> através de Deliberação Social Unânime por Escrito</w:t>
      </w:r>
      <w:r>
        <w:t xml:space="preserve">, o acionista </w:t>
      </w:r>
      <w:r w:rsidRPr="00C73DD5">
        <w:t xml:space="preserve">dissolveu a sociedade, iniciando-se a sua liquidação em </w:t>
      </w:r>
      <w:r>
        <w:t>1 de janeiro de 2026</w:t>
      </w:r>
      <w:r w:rsidRPr="00C73DD5">
        <w:t xml:space="preserve"> e término previsto em </w:t>
      </w:r>
      <w:r>
        <w:t>31 de dezembro de 2027. A Comissão Liquidatária (constituída pelos membros do Conselho de Administração) apresentará um Plano de Liquidação que contempla: (i) a identificação dos ativos em balanço, respetivo destino (alienação ou liquidação), e calendarização destas ações; (</w:t>
      </w:r>
      <w:proofErr w:type="spellStart"/>
      <w:r>
        <w:t>ii</w:t>
      </w:r>
      <w:proofErr w:type="spellEnd"/>
      <w:r>
        <w:t>)</w:t>
      </w:r>
      <w:r w:rsidR="006C783C">
        <w:t xml:space="preserve"> a</w:t>
      </w:r>
      <w:r>
        <w:t xml:space="preserve"> identificação dos crédito em carteira, calendarização para a sua recuperação e alternativas disponíveis para os que subsistirem após o período de liquidação, e (</w:t>
      </w:r>
      <w:proofErr w:type="spellStart"/>
      <w:r>
        <w:t>iii</w:t>
      </w:r>
      <w:proofErr w:type="spellEnd"/>
      <w:r>
        <w:t xml:space="preserve">) </w:t>
      </w:r>
      <w:r w:rsidR="006C783C">
        <w:t xml:space="preserve">a </w:t>
      </w:r>
      <w:r>
        <w:t>calendarização da adequação dos recursos humanos à redução de ativos da sociedade.</w:t>
      </w:r>
    </w:p>
    <w:p w14:paraId="00B54AD8" w14:textId="77777777" w:rsidR="008F22B0" w:rsidRPr="00461743" w:rsidRDefault="008F22B0" w:rsidP="00DF561C">
      <w:pPr>
        <w:pStyle w:val="efcorpodetextoRGS"/>
        <w:spacing w:line="240" w:lineRule="auto"/>
        <w:rPr>
          <w:rFonts w:eastAsia="Times New Roman"/>
          <w:kern w:val="0"/>
          <w:lang w:eastAsia="pt-PT"/>
        </w:rPr>
      </w:pPr>
    </w:p>
    <w:p w14:paraId="1637920E" w14:textId="77777777" w:rsidR="004B2492" w:rsidRPr="00B8581D" w:rsidRDefault="004B2492" w:rsidP="00DF561C">
      <w:pPr>
        <w:pStyle w:val="efcorpodetextoRGS"/>
        <w:spacing w:line="240" w:lineRule="auto"/>
        <w:rPr>
          <w:bCs/>
          <w:shd w:val="clear" w:color="auto" w:fill="FFFFFF" w:themeFill="background1"/>
        </w:rPr>
      </w:pPr>
      <w:r>
        <w:rPr>
          <w:rFonts w:eastAsia="Times New Roman"/>
          <w:kern w:val="0"/>
          <w:lang w:eastAsia="pt-PT"/>
        </w:rPr>
        <w:t>Relativamente à</w:t>
      </w:r>
      <w:r w:rsidRPr="008340BA">
        <w:rPr>
          <w:bCs/>
          <w:shd w:val="clear" w:color="auto" w:fill="FFFFFF" w:themeFill="background1"/>
        </w:rPr>
        <w:t xml:space="preserve">s unidades de participação que </w:t>
      </w:r>
      <w:r>
        <w:rPr>
          <w:bCs/>
          <w:shd w:val="clear" w:color="auto" w:fill="FFFFFF" w:themeFill="background1"/>
        </w:rPr>
        <w:t xml:space="preserve">a PARVALOREM </w:t>
      </w:r>
      <w:r w:rsidRPr="008340BA">
        <w:rPr>
          <w:bCs/>
          <w:shd w:val="clear" w:color="auto" w:fill="FFFFFF" w:themeFill="background1"/>
        </w:rPr>
        <w:t xml:space="preserve">detém no fundo </w:t>
      </w:r>
      <w:r>
        <w:rPr>
          <w:bCs/>
          <w:shd w:val="clear" w:color="auto" w:fill="FFFFFF" w:themeFill="background1"/>
        </w:rPr>
        <w:t>IMONEGÓCIOS</w:t>
      </w:r>
      <w:r>
        <w:rPr>
          <w:rFonts w:eastAsia="Times New Roman"/>
          <w:kern w:val="0"/>
          <w:lang w:eastAsia="pt-PT"/>
        </w:rPr>
        <w:t>, e</w:t>
      </w:r>
      <w:r w:rsidRPr="008C75A8">
        <w:rPr>
          <w:bCs/>
          <w:shd w:val="clear" w:color="auto" w:fill="FFFFFF" w:themeFill="background1"/>
        </w:rPr>
        <w:t xml:space="preserve">quaciona-se </w:t>
      </w:r>
      <w:proofErr w:type="gramStart"/>
      <w:r>
        <w:rPr>
          <w:bCs/>
          <w:shd w:val="clear" w:color="auto" w:fill="FFFFFF" w:themeFill="background1"/>
        </w:rPr>
        <w:t>a</w:t>
      </w:r>
      <w:proofErr w:type="gramEnd"/>
      <w:r>
        <w:rPr>
          <w:bCs/>
          <w:shd w:val="clear" w:color="auto" w:fill="FFFFFF" w:themeFill="background1"/>
        </w:rPr>
        <w:t xml:space="preserve"> </w:t>
      </w:r>
      <w:r w:rsidRPr="008340BA">
        <w:rPr>
          <w:bCs/>
          <w:shd w:val="clear" w:color="auto" w:fill="FFFFFF" w:themeFill="background1"/>
        </w:rPr>
        <w:t>vend</w:t>
      </w:r>
      <w:r>
        <w:rPr>
          <w:bCs/>
          <w:shd w:val="clear" w:color="auto" w:fill="FFFFFF" w:themeFill="background1"/>
        </w:rPr>
        <w:t>a</w:t>
      </w:r>
      <w:r w:rsidRPr="008340BA">
        <w:rPr>
          <w:bCs/>
          <w:shd w:val="clear" w:color="auto" w:fill="FFFFFF" w:themeFill="background1"/>
        </w:rPr>
        <w:t xml:space="preserve"> </w:t>
      </w:r>
      <w:r>
        <w:rPr>
          <w:bCs/>
          <w:shd w:val="clear" w:color="auto" w:fill="FFFFFF" w:themeFill="background1"/>
        </w:rPr>
        <w:t xml:space="preserve">das mesmas </w:t>
      </w:r>
      <w:r w:rsidRPr="008340BA">
        <w:rPr>
          <w:bCs/>
          <w:shd w:val="clear" w:color="auto" w:fill="FFFFFF" w:themeFill="background1"/>
        </w:rPr>
        <w:t xml:space="preserve">a um investidor nacional ou internacional, </w:t>
      </w:r>
      <w:r>
        <w:rPr>
          <w:bCs/>
          <w:shd w:val="clear" w:color="auto" w:fill="FFFFFF" w:themeFill="background1"/>
        </w:rPr>
        <w:t xml:space="preserve">ou </w:t>
      </w:r>
      <w:r w:rsidRPr="008C75A8">
        <w:rPr>
          <w:bCs/>
          <w:shd w:val="clear" w:color="auto" w:fill="FFFFFF" w:themeFill="background1"/>
        </w:rPr>
        <w:t xml:space="preserve">a dação </w:t>
      </w:r>
      <w:r w:rsidRPr="007B325F">
        <w:rPr>
          <w:bCs/>
        </w:rPr>
        <w:t>a uma entidade do Estado, mediante redução da dívida à ETF</w:t>
      </w:r>
      <w:r>
        <w:rPr>
          <w:bCs/>
        </w:rPr>
        <w:t xml:space="preserve">, </w:t>
      </w:r>
      <w:r>
        <w:rPr>
          <w:bCs/>
          <w:shd w:val="clear" w:color="auto" w:fill="FFFFFF" w:themeFill="background1"/>
        </w:rPr>
        <w:t xml:space="preserve">e posterior liquidação da sociedade gestora </w:t>
      </w:r>
      <w:r w:rsidRPr="008340BA">
        <w:rPr>
          <w:bCs/>
          <w:shd w:val="clear" w:color="auto" w:fill="FFFFFF" w:themeFill="background1"/>
        </w:rPr>
        <w:t>IMOFUNDOS</w:t>
      </w:r>
      <w:r>
        <w:rPr>
          <w:bCs/>
          <w:shd w:val="clear" w:color="auto" w:fill="FFFFFF" w:themeFill="background1"/>
        </w:rPr>
        <w:t>.</w:t>
      </w:r>
    </w:p>
    <w:p w14:paraId="6CEAEC23" w14:textId="77777777" w:rsidR="004B2492" w:rsidRDefault="004B2492" w:rsidP="00DF561C">
      <w:pPr>
        <w:pStyle w:val="efcorpodetextoRGS"/>
        <w:spacing w:line="240" w:lineRule="auto"/>
        <w:rPr>
          <w:rFonts w:eastAsia="Times New Roman"/>
          <w:kern w:val="0"/>
          <w:lang w:eastAsia="pt-PT"/>
        </w:rPr>
      </w:pPr>
    </w:p>
    <w:p w14:paraId="6F0B82A7" w14:textId="7EBEAC0A" w:rsidR="00461743" w:rsidRPr="00461743" w:rsidRDefault="00461743" w:rsidP="00DF561C">
      <w:pPr>
        <w:pStyle w:val="efcorpodetextoRGS"/>
        <w:spacing w:line="240" w:lineRule="auto"/>
        <w:rPr>
          <w:rFonts w:eastAsia="Times New Roman"/>
          <w:kern w:val="0"/>
          <w:lang w:eastAsia="pt-PT"/>
        </w:rPr>
      </w:pPr>
      <w:r w:rsidRPr="00461743">
        <w:rPr>
          <w:rFonts w:eastAsia="Times New Roman"/>
          <w:kern w:val="0"/>
          <w:lang w:eastAsia="pt-PT"/>
        </w:rPr>
        <w:t>Importa, no triénio que se sucede (2025-2027), promover a liquidação</w:t>
      </w:r>
      <w:r w:rsidR="00935396">
        <w:rPr>
          <w:rFonts w:eastAsia="Times New Roman"/>
          <w:kern w:val="0"/>
          <w:lang w:eastAsia="pt-PT"/>
        </w:rPr>
        <w:t xml:space="preserve"> da Sociedade</w:t>
      </w:r>
      <w:r w:rsidRPr="00461743">
        <w:rPr>
          <w:rFonts w:eastAsia="Times New Roman"/>
          <w:kern w:val="0"/>
          <w:lang w:eastAsia="pt-PT"/>
        </w:rPr>
        <w:t>, reforçando o foco na redução do balanço através da aceleração da recuperação das carteiras de crédito, e alienação dos ativos imobiliários, com manutenção das preocupações de contínua redução de custos e de maximização de valor para o acionista Estado.</w:t>
      </w:r>
    </w:p>
    <w:p w14:paraId="27A03688" w14:textId="77777777" w:rsidR="00461743" w:rsidRPr="00461743" w:rsidRDefault="00461743" w:rsidP="00DF561C">
      <w:pPr>
        <w:pStyle w:val="efcorpodetextoRGS"/>
        <w:spacing w:line="240" w:lineRule="auto"/>
        <w:rPr>
          <w:rFonts w:eastAsia="Times New Roman"/>
          <w:kern w:val="0"/>
          <w:lang w:eastAsia="pt-PT"/>
        </w:rPr>
      </w:pPr>
    </w:p>
    <w:p w14:paraId="4858CE9B" w14:textId="77777777" w:rsidR="00461743" w:rsidRPr="00461743" w:rsidRDefault="00461743" w:rsidP="00DF561C">
      <w:pPr>
        <w:pStyle w:val="efcorpodetextoRGS"/>
        <w:spacing w:line="240" w:lineRule="auto"/>
        <w:rPr>
          <w:rFonts w:eastAsia="Times New Roman"/>
          <w:kern w:val="0"/>
          <w:lang w:eastAsia="pt-PT"/>
        </w:rPr>
      </w:pPr>
      <w:r w:rsidRPr="00461743">
        <w:rPr>
          <w:rFonts w:eastAsia="Times New Roman"/>
          <w:kern w:val="0"/>
          <w:lang w:eastAsia="pt-PT"/>
        </w:rPr>
        <w:lastRenderedPageBreak/>
        <w:t>A par desse caminho, importa também assegurar o destino para a gestão de alguns dos ativos que possam remanescer após o triénio 2025/2027, procurando-se soluções em entidades da esfera do Estado ou Privadas e preparando toda a informação necessária a essa transição.</w:t>
      </w:r>
    </w:p>
    <w:p w14:paraId="11FAE9ED" w14:textId="77777777" w:rsidR="00461743" w:rsidRPr="00461743" w:rsidRDefault="00461743" w:rsidP="00DF561C">
      <w:pPr>
        <w:pStyle w:val="efcorpodetextoRGS"/>
        <w:spacing w:line="240" w:lineRule="auto"/>
        <w:rPr>
          <w:rFonts w:eastAsia="Times New Roman"/>
          <w:kern w:val="0"/>
          <w:lang w:eastAsia="pt-PT"/>
        </w:rPr>
      </w:pPr>
    </w:p>
    <w:p w14:paraId="61ECE5DD" w14:textId="77777777" w:rsidR="00461743" w:rsidRPr="00461743" w:rsidRDefault="00461743" w:rsidP="00DF561C">
      <w:pPr>
        <w:pStyle w:val="efcorpodetextoRGS"/>
        <w:spacing w:line="240" w:lineRule="auto"/>
        <w:rPr>
          <w:rFonts w:eastAsia="Times New Roman"/>
          <w:kern w:val="0"/>
          <w:lang w:eastAsia="pt-PT"/>
        </w:rPr>
      </w:pPr>
      <w:r w:rsidRPr="00461743">
        <w:rPr>
          <w:rFonts w:eastAsia="Times New Roman"/>
          <w:kern w:val="0"/>
          <w:lang w:eastAsia="pt-PT"/>
        </w:rPr>
        <w:t>Reitera-se que a prossecução do objetivo de redução dos custos operacionais constitui preocupação permanente, tendo vindo a ser desenvolvidas iniciativas de racionalização de processos, renegociação de contratos e otimização da utilização de recursos, procurando assegurar a maximização da recuperação dos ativos de crédito e imobiliários e a minimização dos custos.</w:t>
      </w:r>
    </w:p>
    <w:p w14:paraId="47B6BFBF" w14:textId="77777777" w:rsidR="00786C86" w:rsidRDefault="00786C86" w:rsidP="00DF561C">
      <w:pPr>
        <w:jc w:val="both"/>
        <w:rPr>
          <w:rFonts w:asciiTheme="minorHAnsi" w:hAnsiTheme="minorHAnsi" w:cstheme="minorHAnsi"/>
          <w:sz w:val="22"/>
          <w:szCs w:val="22"/>
        </w:rPr>
      </w:pPr>
      <w:bookmarkStart w:id="10" w:name="_Hlk41474170"/>
    </w:p>
    <w:p w14:paraId="35F73673" w14:textId="579F7138" w:rsidR="00015C3F" w:rsidRDefault="00C93B74" w:rsidP="00DF561C">
      <w:pPr>
        <w:jc w:val="both"/>
        <w:rPr>
          <w:rFonts w:asciiTheme="minorHAnsi" w:hAnsiTheme="minorHAnsi" w:cstheme="minorHAnsi"/>
          <w:sz w:val="22"/>
          <w:szCs w:val="22"/>
        </w:rPr>
      </w:pPr>
      <w:r w:rsidRPr="00106942">
        <w:rPr>
          <w:rFonts w:asciiTheme="minorHAnsi" w:hAnsiTheme="minorHAnsi" w:cstheme="minorHAnsi"/>
          <w:sz w:val="22"/>
          <w:szCs w:val="22"/>
        </w:rPr>
        <w:t>Em 202</w:t>
      </w:r>
      <w:r w:rsidR="002D75CC">
        <w:rPr>
          <w:rFonts w:asciiTheme="minorHAnsi" w:hAnsiTheme="minorHAnsi" w:cstheme="minorHAnsi"/>
          <w:sz w:val="22"/>
          <w:szCs w:val="22"/>
        </w:rPr>
        <w:t>5</w:t>
      </w:r>
      <w:r w:rsidRPr="00106942">
        <w:rPr>
          <w:rFonts w:asciiTheme="minorHAnsi" w:hAnsiTheme="minorHAnsi" w:cstheme="minorHAnsi"/>
          <w:sz w:val="22"/>
          <w:szCs w:val="22"/>
        </w:rPr>
        <w:t xml:space="preserve">, a PARVALOREM recuperou ativos </w:t>
      </w:r>
      <w:r w:rsidR="006F6C05">
        <w:rPr>
          <w:rFonts w:asciiTheme="minorHAnsi" w:hAnsiTheme="minorHAnsi" w:cstheme="minorHAnsi"/>
          <w:sz w:val="22"/>
          <w:szCs w:val="22"/>
        </w:rPr>
        <w:t xml:space="preserve">em cash </w:t>
      </w:r>
      <w:r w:rsidRPr="00106942">
        <w:rPr>
          <w:rFonts w:asciiTheme="minorHAnsi" w:hAnsiTheme="minorHAnsi" w:cstheme="minorHAnsi"/>
          <w:sz w:val="22"/>
          <w:szCs w:val="22"/>
        </w:rPr>
        <w:t xml:space="preserve">num total de € </w:t>
      </w:r>
      <w:r w:rsidR="005D1A79">
        <w:rPr>
          <w:rFonts w:asciiTheme="minorHAnsi" w:hAnsiTheme="minorHAnsi" w:cstheme="minorHAnsi"/>
          <w:sz w:val="22"/>
          <w:szCs w:val="22"/>
        </w:rPr>
        <w:t>7</w:t>
      </w:r>
      <w:r w:rsidR="007E5F1E">
        <w:rPr>
          <w:rFonts w:asciiTheme="minorHAnsi" w:hAnsiTheme="minorHAnsi" w:cstheme="minorHAnsi"/>
          <w:sz w:val="22"/>
          <w:szCs w:val="22"/>
        </w:rPr>
        <w:t>5</w:t>
      </w:r>
      <w:r w:rsidR="005D1A79">
        <w:rPr>
          <w:rFonts w:asciiTheme="minorHAnsi" w:hAnsiTheme="minorHAnsi" w:cstheme="minorHAnsi"/>
          <w:sz w:val="22"/>
          <w:szCs w:val="22"/>
        </w:rPr>
        <w:t>,</w:t>
      </w:r>
      <w:r w:rsidR="007E5F1E">
        <w:rPr>
          <w:rFonts w:asciiTheme="minorHAnsi" w:hAnsiTheme="minorHAnsi" w:cstheme="minorHAnsi"/>
          <w:sz w:val="22"/>
          <w:szCs w:val="22"/>
        </w:rPr>
        <w:t>7</w:t>
      </w:r>
      <w:r w:rsidRPr="00106942">
        <w:rPr>
          <w:rFonts w:asciiTheme="minorHAnsi" w:hAnsiTheme="minorHAnsi" w:cstheme="minorHAnsi"/>
          <w:sz w:val="22"/>
          <w:szCs w:val="22"/>
        </w:rPr>
        <w:t xml:space="preserve"> milhões, </w:t>
      </w:r>
      <w:r w:rsidR="005D1A79">
        <w:rPr>
          <w:rFonts w:asciiTheme="minorHAnsi" w:hAnsiTheme="minorHAnsi" w:cstheme="minorHAnsi"/>
          <w:sz w:val="22"/>
          <w:szCs w:val="22"/>
        </w:rPr>
        <w:t>dos quais</w:t>
      </w:r>
      <w:r w:rsidR="005D1A79" w:rsidRPr="00106942">
        <w:rPr>
          <w:rFonts w:asciiTheme="minorHAnsi" w:hAnsiTheme="minorHAnsi" w:cstheme="minorHAnsi"/>
          <w:sz w:val="22"/>
          <w:szCs w:val="22"/>
        </w:rPr>
        <w:t xml:space="preserve"> € </w:t>
      </w:r>
      <w:r w:rsidR="007E5F1E">
        <w:rPr>
          <w:rFonts w:asciiTheme="minorHAnsi" w:hAnsiTheme="minorHAnsi" w:cstheme="minorHAnsi"/>
          <w:sz w:val="22"/>
          <w:szCs w:val="22"/>
        </w:rPr>
        <w:t>2</w:t>
      </w:r>
      <w:r w:rsidR="0075783F">
        <w:rPr>
          <w:rFonts w:asciiTheme="minorHAnsi" w:hAnsiTheme="minorHAnsi" w:cstheme="minorHAnsi"/>
          <w:sz w:val="22"/>
          <w:szCs w:val="22"/>
        </w:rPr>
        <w:t>6</w:t>
      </w:r>
      <w:r w:rsidR="005D1A79">
        <w:rPr>
          <w:rFonts w:asciiTheme="minorHAnsi" w:hAnsiTheme="minorHAnsi" w:cstheme="minorHAnsi"/>
          <w:sz w:val="22"/>
          <w:szCs w:val="22"/>
        </w:rPr>
        <w:t>,</w:t>
      </w:r>
      <w:r w:rsidR="007E5F1E">
        <w:rPr>
          <w:rFonts w:asciiTheme="minorHAnsi" w:hAnsiTheme="minorHAnsi" w:cstheme="minorHAnsi"/>
          <w:sz w:val="22"/>
          <w:szCs w:val="22"/>
        </w:rPr>
        <w:t>4</w:t>
      </w:r>
      <w:r w:rsidR="005D1A79" w:rsidRPr="00106942">
        <w:rPr>
          <w:rFonts w:asciiTheme="minorHAnsi" w:hAnsiTheme="minorHAnsi" w:cstheme="minorHAnsi"/>
          <w:sz w:val="22"/>
          <w:szCs w:val="22"/>
        </w:rPr>
        <w:t xml:space="preserve"> milhões diretamente decorrentes da carteira de contas a receber e adiantamentos a fornecedores</w:t>
      </w:r>
      <w:r w:rsidR="005D1A79">
        <w:rPr>
          <w:rFonts w:asciiTheme="minorHAnsi" w:hAnsiTheme="minorHAnsi" w:cstheme="minorHAnsi"/>
          <w:sz w:val="22"/>
          <w:szCs w:val="22"/>
        </w:rPr>
        <w:t>,</w:t>
      </w:r>
      <w:r w:rsidRPr="00106942">
        <w:rPr>
          <w:rFonts w:asciiTheme="minorHAnsi" w:hAnsiTheme="minorHAnsi" w:cstheme="minorHAnsi"/>
          <w:sz w:val="22"/>
          <w:szCs w:val="22"/>
        </w:rPr>
        <w:t xml:space="preserve"> € </w:t>
      </w:r>
      <w:r w:rsidR="007E5F1E">
        <w:rPr>
          <w:rFonts w:asciiTheme="minorHAnsi" w:hAnsiTheme="minorHAnsi" w:cstheme="minorHAnsi"/>
          <w:sz w:val="22"/>
          <w:szCs w:val="22"/>
        </w:rPr>
        <w:t>34,3</w:t>
      </w:r>
      <w:r w:rsidR="00464510">
        <w:rPr>
          <w:rFonts w:asciiTheme="minorHAnsi" w:hAnsiTheme="minorHAnsi" w:cstheme="minorHAnsi"/>
          <w:sz w:val="22"/>
          <w:szCs w:val="22"/>
        </w:rPr>
        <w:t xml:space="preserve"> </w:t>
      </w:r>
      <w:r w:rsidRPr="00106942">
        <w:rPr>
          <w:rFonts w:asciiTheme="minorHAnsi" w:hAnsiTheme="minorHAnsi" w:cstheme="minorHAnsi"/>
          <w:sz w:val="22"/>
          <w:szCs w:val="22"/>
        </w:rPr>
        <w:t xml:space="preserve">milhões provenientes de ativos financeiros, </w:t>
      </w:r>
      <w:r w:rsidR="005D1A79">
        <w:rPr>
          <w:rFonts w:asciiTheme="minorHAnsi" w:hAnsiTheme="minorHAnsi" w:cstheme="minorHAnsi"/>
          <w:sz w:val="22"/>
          <w:szCs w:val="22"/>
        </w:rPr>
        <w:t xml:space="preserve">e </w:t>
      </w:r>
      <w:r w:rsidRPr="00106942">
        <w:rPr>
          <w:rFonts w:asciiTheme="minorHAnsi" w:hAnsiTheme="minorHAnsi" w:cstheme="minorHAnsi"/>
          <w:sz w:val="22"/>
          <w:szCs w:val="22"/>
        </w:rPr>
        <w:t xml:space="preserve">€ </w:t>
      </w:r>
      <w:r w:rsidR="005D1A79">
        <w:rPr>
          <w:rFonts w:asciiTheme="minorHAnsi" w:hAnsiTheme="minorHAnsi" w:cstheme="minorHAnsi"/>
          <w:sz w:val="22"/>
          <w:szCs w:val="22"/>
        </w:rPr>
        <w:t>1</w:t>
      </w:r>
      <w:r w:rsidR="007E5F1E">
        <w:rPr>
          <w:rFonts w:asciiTheme="minorHAnsi" w:hAnsiTheme="minorHAnsi" w:cstheme="minorHAnsi"/>
          <w:sz w:val="22"/>
          <w:szCs w:val="22"/>
        </w:rPr>
        <w:t>4</w:t>
      </w:r>
      <w:r w:rsidR="005D1A79">
        <w:rPr>
          <w:rFonts w:asciiTheme="minorHAnsi" w:hAnsiTheme="minorHAnsi" w:cstheme="minorHAnsi"/>
          <w:sz w:val="22"/>
          <w:szCs w:val="22"/>
        </w:rPr>
        <w:t>,</w:t>
      </w:r>
      <w:r w:rsidR="007E5F1E">
        <w:rPr>
          <w:rFonts w:asciiTheme="minorHAnsi" w:hAnsiTheme="minorHAnsi" w:cstheme="minorHAnsi"/>
          <w:sz w:val="22"/>
          <w:szCs w:val="22"/>
        </w:rPr>
        <w:t>9</w:t>
      </w:r>
      <w:r w:rsidRPr="00106942">
        <w:rPr>
          <w:rFonts w:asciiTheme="minorHAnsi" w:hAnsiTheme="minorHAnsi" w:cstheme="minorHAnsi"/>
          <w:sz w:val="22"/>
          <w:szCs w:val="22"/>
        </w:rPr>
        <w:t xml:space="preserve"> milhões da atividade imobiliária. </w:t>
      </w:r>
    </w:p>
    <w:p w14:paraId="044976F2" w14:textId="77777777" w:rsidR="008C7D9A" w:rsidRDefault="008C7D9A" w:rsidP="00DF561C">
      <w:pPr>
        <w:jc w:val="both"/>
        <w:rPr>
          <w:rFonts w:asciiTheme="minorHAnsi" w:hAnsiTheme="minorHAnsi" w:cstheme="minorHAnsi"/>
          <w:sz w:val="22"/>
          <w:szCs w:val="22"/>
        </w:rPr>
      </w:pPr>
    </w:p>
    <w:p w14:paraId="01551DE4" w14:textId="05C855F5" w:rsidR="00AC1ADC" w:rsidRDefault="00015C3F" w:rsidP="00DF561C">
      <w:pPr>
        <w:jc w:val="both"/>
        <w:rPr>
          <w:rFonts w:asciiTheme="minorHAnsi" w:hAnsiTheme="minorHAnsi" w:cstheme="minorHAnsi"/>
          <w:bCs/>
          <w:sz w:val="22"/>
          <w:szCs w:val="22"/>
        </w:rPr>
      </w:pPr>
      <w:r w:rsidRPr="008C7D9A">
        <w:rPr>
          <w:rFonts w:asciiTheme="minorHAnsi" w:hAnsiTheme="minorHAnsi" w:cstheme="minorHAnsi"/>
          <w:sz w:val="22"/>
          <w:szCs w:val="22"/>
        </w:rPr>
        <w:t>Adicionalmente</w:t>
      </w:r>
      <w:r w:rsidR="00936D06" w:rsidRPr="008C7D9A">
        <w:rPr>
          <w:rFonts w:asciiTheme="minorHAnsi" w:hAnsiTheme="minorHAnsi" w:cstheme="minorHAnsi"/>
          <w:sz w:val="22"/>
          <w:szCs w:val="22"/>
        </w:rPr>
        <w:t>, fruto da atividade de recuperação da carteira de crédito</w:t>
      </w:r>
      <w:r w:rsidR="00C65C48">
        <w:rPr>
          <w:rFonts w:asciiTheme="minorHAnsi" w:hAnsiTheme="minorHAnsi" w:cstheme="minorHAnsi"/>
          <w:sz w:val="22"/>
          <w:szCs w:val="22"/>
        </w:rPr>
        <w:t xml:space="preserve"> e da liquidação de duas sociedades participadas</w:t>
      </w:r>
      <w:r w:rsidR="00195ED6">
        <w:rPr>
          <w:rFonts w:asciiTheme="minorHAnsi" w:hAnsiTheme="minorHAnsi" w:cstheme="minorHAnsi"/>
          <w:sz w:val="22"/>
          <w:szCs w:val="22"/>
        </w:rPr>
        <w:t>,</w:t>
      </w:r>
      <w:r w:rsidR="00936D06" w:rsidRPr="008C7D9A">
        <w:rPr>
          <w:rFonts w:asciiTheme="minorHAnsi" w:hAnsiTheme="minorHAnsi" w:cstheme="minorHAnsi"/>
          <w:sz w:val="22"/>
          <w:szCs w:val="22"/>
        </w:rPr>
        <w:t xml:space="preserve"> foram ainda internalizados um conjunto de imóveis que totalizaram </w:t>
      </w:r>
      <w:r w:rsidR="00C810D5">
        <w:rPr>
          <w:rFonts w:asciiTheme="minorHAnsi" w:hAnsiTheme="minorHAnsi" w:cstheme="minorHAnsi"/>
          <w:sz w:val="22"/>
          <w:szCs w:val="22"/>
        </w:rPr>
        <w:t xml:space="preserve">€ </w:t>
      </w:r>
      <w:r w:rsidR="007E5F1E">
        <w:rPr>
          <w:rFonts w:asciiTheme="minorHAnsi" w:hAnsiTheme="minorHAnsi" w:cstheme="minorHAnsi"/>
          <w:sz w:val="22"/>
          <w:szCs w:val="22"/>
        </w:rPr>
        <w:t>9</w:t>
      </w:r>
      <w:r w:rsidR="00C810D5">
        <w:rPr>
          <w:rFonts w:asciiTheme="minorHAnsi" w:hAnsiTheme="minorHAnsi" w:cstheme="minorHAnsi"/>
          <w:sz w:val="22"/>
          <w:szCs w:val="22"/>
        </w:rPr>
        <w:t>,7</w:t>
      </w:r>
      <w:r w:rsidR="007973B9" w:rsidRPr="008C7D9A">
        <w:rPr>
          <w:rFonts w:asciiTheme="minorHAnsi" w:hAnsiTheme="minorHAnsi" w:cstheme="minorHAnsi"/>
          <w:sz w:val="22"/>
          <w:szCs w:val="22"/>
        </w:rPr>
        <w:t xml:space="preserve"> </w:t>
      </w:r>
      <w:r w:rsidR="00C810D5">
        <w:rPr>
          <w:rFonts w:asciiTheme="minorHAnsi" w:hAnsiTheme="minorHAnsi" w:cstheme="minorHAnsi"/>
          <w:sz w:val="22"/>
          <w:szCs w:val="22"/>
        </w:rPr>
        <w:t>milhões</w:t>
      </w:r>
      <w:r w:rsidR="002D75CC">
        <w:rPr>
          <w:rFonts w:asciiTheme="minorHAnsi" w:hAnsiTheme="minorHAnsi" w:cstheme="minorHAnsi"/>
          <w:sz w:val="22"/>
          <w:szCs w:val="22"/>
        </w:rPr>
        <w:t>.</w:t>
      </w:r>
    </w:p>
    <w:p w14:paraId="78A12B22" w14:textId="77777777" w:rsidR="00AC1ADC" w:rsidRDefault="00AC1ADC" w:rsidP="00DF561C">
      <w:pPr>
        <w:jc w:val="both"/>
        <w:rPr>
          <w:rFonts w:asciiTheme="minorHAnsi" w:hAnsiTheme="minorHAnsi" w:cstheme="minorHAnsi"/>
          <w:sz w:val="22"/>
          <w:szCs w:val="22"/>
        </w:rPr>
      </w:pPr>
    </w:p>
    <w:p w14:paraId="50DD7607" w14:textId="2B6B8F38" w:rsidR="00C93B74" w:rsidRPr="00106942" w:rsidRDefault="00C93B74" w:rsidP="00DF561C">
      <w:pPr>
        <w:jc w:val="both"/>
        <w:rPr>
          <w:rFonts w:asciiTheme="minorHAnsi" w:hAnsiTheme="minorHAnsi" w:cstheme="minorHAnsi"/>
          <w:sz w:val="22"/>
          <w:szCs w:val="22"/>
        </w:rPr>
      </w:pPr>
      <w:r w:rsidRPr="0075783F">
        <w:rPr>
          <w:rFonts w:asciiTheme="minorHAnsi" w:hAnsiTheme="minorHAnsi" w:cstheme="minorHAnsi"/>
          <w:sz w:val="22"/>
          <w:szCs w:val="22"/>
        </w:rPr>
        <w:t>Desde o início da sua atividade, a PARVALOREM recuperou um total de € 1.</w:t>
      </w:r>
      <w:r w:rsidR="00857261" w:rsidRPr="0075783F">
        <w:rPr>
          <w:rFonts w:asciiTheme="minorHAnsi" w:hAnsiTheme="minorHAnsi" w:cstheme="minorHAnsi"/>
          <w:sz w:val="22"/>
          <w:szCs w:val="22"/>
        </w:rPr>
        <w:t>3</w:t>
      </w:r>
      <w:r w:rsidR="007E5F1E">
        <w:rPr>
          <w:rFonts w:asciiTheme="minorHAnsi" w:hAnsiTheme="minorHAnsi" w:cstheme="minorHAnsi"/>
          <w:sz w:val="22"/>
          <w:szCs w:val="22"/>
        </w:rPr>
        <w:t>97</w:t>
      </w:r>
      <w:r w:rsidR="0075783F" w:rsidRPr="0075783F">
        <w:rPr>
          <w:rFonts w:asciiTheme="minorHAnsi" w:hAnsiTheme="minorHAnsi" w:cstheme="minorHAnsi"/>
          <w:sz w:val="22"/>
          <w:szCs w:val="22"/>
        </w:rPr>
        <w:t>,</w:t>
      </w:r>
      <w:r w:rsidR="007E5F1E">
        <w:rPr>
          <w:rFonts w:asciiTheme="minorHAnsi" w:hAnsiTheme="minorHAnsi" w:cstheme="minorHAnsi"/>
          <w:sz w:val="22"/>
          <w:szCs w:val="22"/>
        </w:rPr>
        <w:t>5</w:t>
      </w:r>
      <w:r w:rsidRPr="0075783F">
        <w:rPr>
          <w:rFonts w:asciiTheme="minorHAnsi" w:hAnsiTheme="minorHAnsi" w:cstheme="minorHAnsi"/>
          <w:sz w:val="22"/>
          <w:szCs w:val="22"/>
        </w:rPr>
        <w:t xml:space="preserve"> milhões, o qual representa </w:t>
      </w:r>
      <w:r w:rsidR="00857261" w:rsidRPr="0075783F">
        <w:rPr>
          <w:rFonts w:asciiTheme="minorHAnsi" w:hAnsiTheme="minorHAnsi" w:cstheme="minorHAnsi"/>
          <w:sz w:val="22"/>
          <w:szCs w:val="22"/>
        </w:rPr>
        <w:t>3</w:t>
      </w:r>
      <w:r w:rsidR="007E5F1E">
        <w:rPr>
          <w:rFonts w:asciiTheme="minorHAnsi" w:hAnsiTheme="minorHAnsi" w:cstheme="minorHAnsi"/>
          <w:sz w:val="22"/>
          <w:szCs w:val="22"/>
        </w:rPr>
        <w:t>5</w:t>
      </w:r>
      <w:r w:rsidR="00857261" w:rsidRPr="0075783F">
        <w:rPr>
          <w:rFonts w:asciiTheme="minorHAnsi" w:hAnsiTheme="minorHAnsi" w:cstheme="minorHAnsi"/>
          <w:sz w:val="22"/>
          <w:szCs w:val="22"/>
        </w:rPr>
        <w:t>,</w:t>
      </w:r>
      <w:r w:rsidR="007E5F1E">
        <w:rPr>
          <w:rFonts w:asciiTheme="minorHAnsi" w:hAnsiTheme="minorHAnsi" w:cstheme="minorHAnsi"/>
          <w:sz w:val="22"/>
          <w:szCs w:val="22"/>
        </w:rPr>
        <w:t>1</w:t>
      </w:r>
      <w:r w:rsidRPr="0075783F">
        <w:rPr>
          <w:rFonts w:asciiTheme="minorHAnsi" w:hAnsiTheme="minorHAnsi" w:cstheme="minorHAnsi"/>
          <w:sz w:val="22"/>
          <w:szCs w:val="22"/>
        </w:rPr>
        <w:t>% do total</w:t>
      </w:r>
      <w:r w:rsidRPr="00106942">
        <w:rPr>
          <w:rFonts w:asciiTheme="minorHAnsi" w:hAnsiTheme="minorHAnsi" w:cstheme="minorHAnsi"/>
          <w:sz w:val="22"/>
          <w:szCs w:val="22"/>
        </w:rPr>
        <w:t xml:space="preserve"> do crédito cedido ao valor nominal, incluindo-se neste montante a transformação em liquidez dos ativos recebidos em dação.</w:t>
      </w:r>
    </w:p>
    <w:p w14:paraId="5B05B95E" w14:textId="77777777" w:rsidR="00C93B74" w:rsidRDefault="00C93B74" w:rsidP="00DF561C">
      <w:pPr>
        <w:jc w:val="both"/>
        <w:rPr>
          <w:rFonts w:asciiTheme="minorHAnsi" w:hAnsiTheme="minorHAnsi" w:cstheme="minorHAnsi"/>
          <w:sz w:val="22"/>
          <w:szCs w:val="22"/>
        </w:rPr>
      </w:pPr>
    </w:p>
    <w:p w14:paraId="05A5284A" w14:textId="29BB2199" w:rsidR="00C93B74" w:rsidRPr="007B325F" w:rsidRDefault="00C93B74" w:rsidP="00DF561C">
      <w:pPr>
        <w:jc w:val="both"/>
        <w:rPr>
          <w:rFonts w:asciiTheme="minorHAnsi" w:hAnsiTheme="minorHAnsi" w:cstheme="minorHAnsi"/>
          <w:sz w:val="22"/>
          <w:szCs w:val="22"/>
        </w:rPr>
      </w:pPr>
      <w:bookmarkStart w:id="11" w:name="_Hlk201324855"/>
      <w:r w:rsidRPr="007B325F">
        <w:rPr>
          <w:rFonts w:asciiTheme="minorHAnsi" w:hAnsiTheme="minorHAnsi" w:cstheme="minorHAnsi"/>
          <w:sz w:val="22"/>
          <w:szCs w:val="22"/>
        </w:rPr>
        <w:t xml:space="preserve">Em termos da análise financeira da atividade, a PARVALOREM teve um </w:t>
      </w:r>
      <w:r w:rsidR="00111FB6">
        <w:rPr>
          <w:rFonts w:asciiTheme="minorHAnsi" w:hAnsiTheme="minorHAnsi" w:cstheme="minorHAnsi"/>
          <w:sz w:val="22"/>
          <w:szCs w:val="22"/>
        </w:rPr>
        <w:t>prejuízo</w:t>
      </w:r>
      <w:r w:rsidRPr="007B325F">
        <w:rPr>
          <w:rFonts w:asciiTheme="minorHAnsi" w:hAnsiTheme="minorHAnsi" w:cstheme="minorHAnsi"/>
          <w:sz w:val="22"/>
          <w:szCs w:val="22"/>
        </w:rPr>
        <w:t xml:space="preserve"> </w:t>
      </w:r>
      <w:r w:rsidR="00416502" w:rsidRPr="007B325F">
        <w:rPr>
          <w:rFonts w:asciiTheme="minorHAnsi" w:hAnsiTheme="minorHAnsi" w:cstheme="minorHAnsi"/>
          <w:sz w:val="22"/>
          <w:szCs w:val="22"/>
        </w:rPr>
        <w:t>n</w:t>
      </w:r>
      <w:r w:rsidRPr="007B325F">
        <w:rPr>
          <w:rFonts w:asciiTheme="minorHAnsi" w:hAnsiTheme="minorHAnsi" w:cstheme="minorHAnsi"/>
          <w:sz w:val="22"/>
          <w:szCs w:val="22"/>
        </w:rPr>
        <w:t>o Exercício, de €</w:t>
      </w:r>
      <w:r w:rsidR="00DB677D" w:rsidRPr="007B325F">
        <w:rPr>
          <w:rFonts w:asciiTheme="minorHAnsi" w:hAnsiTheme="minorHAnsi" w:cstheme="minorHAnsi"/>
          <w:sz w:val="22"/>
          <w:szCs w:val="22"/>
        </w:rPr>
        <w:t> </w:t>
      </w:r>
      <w:r w:rsidR="006C783C">
        <w:rPr>
          <w:rFonts w:asciiTheme="minorHAnsi" w:hAnsiTheme="minorHAnsi" w:cstheme="minorHAnsi"/>
          <w:sz w:val="22"/>
          <w:szCs w:val="22"/>
        </w:rPr>
        <w:t>58,</w:t>
      </w:r>
      <w:r w:rsidR="00521275">
        <w:rPr>
          <w:rFonts w:asciiTheme="minorHAnsi" w:hAnsiTheme="minorHAnsi" w:cstheme="minorHAnsi"/>
          <w:sz w:val="22"/>
          <w:szCs w:val="22"/>
        </w:rPr>
        <w:t>7</w:t>
      </w:r>
      <w:r w:rsidRPr="007B325F">
        <w:rPr>
          <w:rFonts w:asciiTheme="minorHAnsi" w:hAnsiTheme="minorHAnsi" w:cstheme="minorHAnsi"/>
          <w:sz w:val="22"/>
          <w:szCs w:val="22"/>
        </w:rPr>
        <w:t xml:space="preserve"> milhões em 202</w:t>
      </w:r>
      <w:r w:rsidR="002D75CC">
        <w:rPr>
          <w:rFonts w:asciiTheme="minorHAnsi" w:hAnsiTheme="minorHAnsi" w:cstheme="minorHAnsi"/>
          <w:sz w:val="22"/>
          <w:szCs w:val="22"/>
        </w:rPr>
        <w:t>5</w:t>
      </w:r>
      <w:r w:rsidRPr="007B325F">
        <w:rPr>
          <w:rFonts w:asciiTheme="minorHAnsi" w:hAnsiTheme="minorHAnsi" w:cstheme="minorHAnsi"/>
          <w:sz w:val="22"/>
          <w:szCs w:val="22"/>
        </w:rPr>
        <w:t xml:space="preserve"> </w:t>
      </w:r>
      <w:r w:rsidR="00287815" w:rsidRPr="007B325F">
        <w:rPr>
          <w:rFonts w:asciiTheme="minorHAnsi" w:hAnsiTheme="minorHAnsi" w:cstheme="minorHAnsi"/>
          <w:sz w:val="22"/>
          <w:szCs w:val="22"/>
        </w:rPr>
        <w:t>(</w:t>
      </w:r>
      <w:r w:rsidR="00111FB6">
        <w:rPr>
          <w:rFonts w:asciiTheme="minorHAnsi" w:hAnsiTheme="minorHAnsi" w:cstheme="minorHAnsi"/>
          <w:sz w:val="22"/>
          <w:szCs w:val="22"/>
        </w:rPr>
        <w:t>lucr</w:t>
      </w:r>
      <w:r w:rsidR="00D446F7" w:rsidRPr="007B325F">
        <w:rPr>
          <w:rFonts w:asciiTheme="minorHAnsi" w:hAnsiTheme="minorHAnsi" w:cstheme="minorHAnsi"/>
          <w:sz w:val="22"/>
          <w:szCs w:val="22"/>
        </w:rPr>
        <w:t xml:space="preserve">o de </w:t>
      </w:r>
      <w:r w:rsidRPr="007B325F">
        <w:rPr>
          <w:rFonts w:asciiTheme="minorHAnsi" w:hAnsiTheme="minorHAnsi" w:cstheme="minorHAnsi"/>
          <w:sz w:val="22"/>
          <w:szCs w:val="22"/>
        </w:rPr>
        <w:t xml:space="preserve">€ </w:t>
      </w:r>
      <w:r w:rsidR="00111FB6">
        <w:rPr>
          <w:rFonts w:asciiTheme="minorHAnsi" w:hAnsiTheme="minorHAnsi" w:cstheme="minorHAnsi"/>
          <w:sz w:val="22"/>
          <w:szCs w:val="22"/>
        </w:rPr>
        <w:t>13</w:t>
      </w:r>
      <w:r w:rsidRPr="007B325F">
        <w:rPr>
          <w:rFonts w:asciiTheme="minorHAnsi" w:hAnsiTheme="minorHAnsi" w:cstheme="minorHAnsi"/>
          <w:sz w:val="22"/>
          <w:szCs w:val="22"/>
        </w:rPr>
        <w:t>,</w:t>
      </w:r>
      <w:r w:rsidR="00111FB6">
        <w:rPr>
          <w:rFonts w:asciiTheme="minorHAnsi" w:hAnsiTheme="minorHAnsi" w:cstheme="minorHAnsi"/>
          <w:sz w:val="22"/>
          <w:szCs w:val="22"/>
        </w:rPr>
        <w:t>8</w:t>
      </w:r>
      <w:r w:rsidRPr="007B325F">
        <w:rPr>
          <w:rFonts w:asciiTheme="minorHAnsi" w:hAnsiTheme="minorHAnsi" w:cstheme="minorHAnsi"/>
          <w:sz w:val="22"/>
          <w:szCs w:val="22"/>
        </w:rPr>
        <w:t xml:space="preserve"> milhões em 202</w:t>
      </w:r>
      <w:r w:rsidR="00111FB6">
        <w:rPr>
          <w:rFonts w:asciiTheme="minorHAnsi" w:hAnsiTheme="minorHAnsi" w:cstheme="minorHAnsi"/>
          <w:sz w:val="22"/>
          <w:szCs w:val="22"/>
        </w:rPr>
        <w:t>4</w:t>
      </w:r>
      <w:r w:rsidRPr="007B325F">
        <w:rPr>
          <w:rFonts w:asciiTheme="minorHAnsi" w:hAnsiTheme="minorHAnsi" w:cstheme="minorHAnsi"/>
          <w:sz w:val="22"/>
          <w:szCs w:val="22"/>
        </w:rPr>
        <w:t>)</w:t>
      </w:r>
      <w:r w:rsidR="009732C0">
        <w:rPr>
          <w:rFonts w:asciiTheme="minorHAnsi" w:hAnsiTheme="minorHAnsi" w:cstheme="minorHAnsi"/>
          <w:sz w:val="22"/>
          <w:szCs w:val="22"/>
        </w:rPr>
        <w:t>, muito embora o</w:t>
      </w:r>
      <w:r w:rsidRPr="007B325F">
        <w:rPr>
          <w:rFonts w:asciiTheme="minorHAnsi" w:hAnsiTheme="minorHAnsi" w:cstheme="minorHAnsi"/>
          <w:sz w:val="22"/>
          <w:szCs w:val="22"/>
        </w:rPr>
        <w:t xml:space="preserve"> Resultado operacional </w:t>
      </w:r>
      <w:r w:rsidR="009732C0">
        <w:rPr>
          <w:rFonts w:asciiTheme="minorHAnsi" w:hAnsiTheme="minorHAnsi" w:cstheme="minorHAnsi"/>
          <w:sz w:val="22"/>
          <w:szCs w:val="22"/>
        </w:rPr>
        <w:t>tenha sido</w:t>
      </w:r>
      <w:r w:rsidRPr="007B325F">
        <w:rPr>
          <w:rFonts w:asciiTheme="minorHAnsi" w:hAnsiTheme="minorHAnsi" w:cstheme="minorHAnsi"/>
          <w:sz w:val="22"/>
          <w:szCs w:val="22"/>
        </w:rPr>
        <w:t xml:space="preserve"> </w:t>
      </w:r>
      <w:r w:rsidR="00D07C30" w:rsidRPr="007B325F">
        <w:rPr>
          <w:rFonts w:asciiTheme="minorHAnsi" w:hAnsiTheme="minorHAnsi" w:cstheme="minorHAnsi"/>
          <w:sz w:val="22"/>
          <w:szCs w:val="22"/>
        </w:rPr>
        <w:t>posi</w:t>
      </w:r>
      <w:r w:rsidR="00A1084A" w:rsidRPr="007B325F">
        <w:rPr>
          <w:rFonts w:asciiTheme="minorHAnsi" w:hAnsiTheme="minorHAnsi" w:cstheme="minorHAnsi"/>
          <w:sz w:val="22"/>
          <w:szCs w:val="22"/>
        </w:rPr>
        <w:t>tivo</w:t>
      </w:r>
      <w:r w:rsidR="0077717B" w:rsidRPr="007B325F">
        <w:rPr>
          <w:rFonts w:asciiTheme="minorHAnsi" w:hAnsiTheme="minorHAnsi" w:cstheme="minorHAnsi"/>
          <w:sz w:val="22"/>
          <w:szCs w:val="22"/>
        </w:rPr>
        <w:t xml:space="preserve"> em € </w:t>
      </w:r>
      <w:r w:rsidR="006C783C">
        <w:rPr>
          <w:rFonts w:asciiTheme="minorHAnsi" w:hAnsiTheme="minorHAnsi" w:cstheme="minorHAnsi"/>
          <w:sz w:val="22"/>
          <w:szCs w:val="22"/>
        </w:rPr>
        <w:t>6,3</w:t>
      </w:r>
      <w:r w:rsidR="0077717B" w:rsidRPr="007B325F">
        <w:rPr>
          <w:rFonts w:asciiTheme="minorHAnsi" w:hAnsiTheme="minorHAnsi" w:cstheme="minorHAnsi"/>
          <w:sz w:val="22"/>
          <w:szCs w:val="22"/>
        </w:rPr>
        <w:t xml:space="preserve"> milhões</w:t>
      </w:r>
      <w:r w:rsidR="00AC75A4" w:rsidRPr="007B325F">
        <w:rPr>
          <w:rFonts w:asciiTheme="minorHAnsi" w:hAnsiTheme="minorHAnsi" w:cstheme="minorHAnsi"/>
          <w:sz w:val="22"/>
          <w:szCs w:val="22"/>
        </w:rPr>
        <w:t>.</w:t>
      </w:r>
      <w:r w:rsidR="00C050EF" w:rsidRPr="007B325F">
        <w:rPr>
          <w:rFonts w:asciiTheme="minorHAnsi" w:hAnsiTheme="minorHAnsi" w:cstheme="minorHAnsi"/>
          <w:sz w:val="22"/>
          <w:szCs w:val="22"/>
        </w:rPr>
        <w:t xml:space="preserve"> </w:t>
      </w:r>
      <w:r w:rsidR="00CD60D2" w:rsidRPr="007B325F">
        <w:rPr>
          <w:rFonts w:asciiTheme="minorHAnsi" w:hAnsiTheme="minorHAnsi" w:cstheme="minorHAnsi"/>
          <w:sz w:val="22"/>
          <w:szCs w:val="22"/>
        </w:rPr>
        <w:t>O</w:t>
      </w:r>
      <w:r w:rsidRPr="007B325F">
        <w:rPr>
          <w:rFonts w:asciiTheme="minorHAnsi" w:hAnsiTheme="minorHAnsi" w:cstheme="minorHAnsi"/>
          <w:sz w:val="22"/>
          <w:szCs w:val="22"/>
        </w:rPr>
        <w:t xml:space="preserve">s </w:t>
      </w:r>
      <w:r w:rsidR="006C783C">
        <w:rPr>
          <w:rFonts w:asciiTheme="minorHAnsi" w:hAnsiTheme="minorHAnsi" w:cstheme="minorHAnsi"/>
          <w:sz w:val="22"/>
          <w:szCs w:val="22"/>
        </w:rPr>
        <w:t>gastos e perdas</w:t>
      </w:r>
      <w:r w:rsidRPr="007B325F">
        <w:rPr>
          <w:rFonts w:asciiTheme="minorHAnsi" w:hAnsiTheme="minorHAnsi" w:cstheme="minorHAnsi"/>
          <w:sz w:val="22"/>
          <w:szCs w:val="22"/>
        </w:rPr>
        <w:t xml:space="preserve"> </w:t>
      </w:r>
      <w:bookmarkEnd w:id="11"/>
      <w:r w:rsidRPr="007B325F">
        <w:rPr>
          <w:rFonts w:asciiTheme="minorHAnsi" w:hAnsiTheme="minorHAnsi" w:cstheme="minorHAnsi"/>
          <w:sz w:val="22"/>
          <w:szCs w:val="22"/>
        </w:rPr>
        <w:t xml:space="preserve">financeiros foram negativos em € </w:t>
      </w:r>
      <w:r w:rsidR="006C783C">
        <w:rPr>
          <w:rFonts w:asciiTheme="minorHAnsi" w:hAnsiTheme="minorHAnsi" w:cstheme="minorHAnsi"/>
          <w:sz w:val="22"/>
          <w:szCs w:val="22"/>
        </w:rPr>
        <w:t>6</w:t>
      </w:r>
      <w:r w:rsidR="00521275">
        <w:rPr>
          <w:rFonts w:asciiTheme="minorHAnsi" w:hAnsiTheme="minorHAnsi" w:cstheme="minorHAnsi"/>
          <w:sz w:val="22"/>
          <w:szCs w:val="22"/>
        </w:rPr>
        <w:t>6</w:t>
      </w:r>
      <w:r w:rsidR="006C783C">
        <w:rPr>
          <w:rFonts w:asciiTheme="minorHAnsi" w:hAnsiTheme="minorHAnsi" w:cstheme="minorHAnsi"/>
          <w:sz w:val="22"/>
          <w:szCs w:val="22"/>
        </w:rPr>
        <w:t>,</w:t>
      </w:r>
      <w:r w:rsidR="00521275">
        <w:rPr>
          <w:rFonts w:asciiTheme="minorHAnsi" w:hAnsiTheme="minorHAnsi" w:cstheme="minorHAnsi"/>
          <w:sz w:val="22"/>
          <w:szCs w:val="22"/>
        </w:rPr>
        <w:t>6</w:t>
      </w:r>
      <w:r w:rsidRPr="007B325F">
        <w:rPr>
          <w:rFonts w:asciiTheme="minorHAnsi" w:hAnsiTheme="minorHAnsi" w:cstheme="minorHAnsi"/>
          <w:sz w:val="22"/>
          <w:szCs w:val="22"/>
        </w:rPr>
        <w:t xml:space="preserve"> milhões</w:t>
      </w:r>
      <w:r w:rsidR="006C783C">
        <w:rPr>
          <w:rFonts w:asciiTheme="minorHAnsi" w:hAnsiTheme="minorHAnsi" w:cstheme="minorHAnsi"/>
          <w:sz w:val="22"/>
          <w:szCs w:val="22"/>
        </w:rPr>
        <w:t xml:space="preserve">, tendo melhorado </w:t>
      </w:r>
      <w:r w:rsidR="0077717B" w:rsidRPr="007B325F">
        <w:rPr>
          <w:rFonts w:asciiTheme="minorHAnsi" w:hAnsiTheme="minorHAnsi" w:cstheme="minorHAnsi"/>
          <w:sz w:val="22"/>
          <w:szCs w:val="22"/>
        </w:rPr>
        <w:t xml:space="preserve">€ </w:t>
      </w:r>
      <w:r w:rsidR="00521275">
        <w:rPr>
          <w:rFonts w:asciiTheme="minorHAnsi" w:hAnsiTheme="minorHAnsi" w:cstheme="minorHAnsi"/>
          <w:sz w:val="22"/>
          <w:szCs w:val="22"/>
        </w:rPr>
        <w:t>1,6</w:t>
      </w:r>
      <w:r w:rsidR="0077717B" w:rsidRPr="007B325F">
        <w:rPr>
          <w:rFonts w:asciiTheme="minorHAnsi" w:hAnsiTheme="minorHAnsi" w:cstheme="minorHAnsi"/>
          <w:sz w:val="22"/>
          <w:szCs w:val="22"/>
        </w:rPr>
        <w:t xml:space="preserve"> milhões face ao ano anterior</w:t>
      </w:r>
      <w:r w:rsidRPr="007B325F">
        <w:rPr>
          <w:rFonts w:asciiTheme="minorHAnsi" w:hAnsiTheme="minorHAnsi" w:cstheme="minorHAnsi"/>
          <w:sz w:val="22"/>
          <w:szCs w:val="22"/>
        </w:rPr>
        <w:t>.</w:t>
      </w:r>
    </w:p>
    <w:p w14:paraId="2C0749E5" w14:textId="77777777" w:rsidR="00C93B74" w:rsidRPr="007B325F" w:rsidRDefault="00C93B74" w:rsidP="00DF561C">
      <w:pPr>
        <w:jc w:val="both"/>
        <w:rPr>
          <w:rFonts w:asciiTheme="minorHAnsi" w:hAnsiTheme="minorHAnsi" w:cstheme="minorHAnsi"/>
          <w:sz w:val="22"/>
          <w:szCs w:val="22"/>
        </w:rPr>
      </w:pPr>
    </w:p>
    <w:bookmarkEnd w:id="10"/>
    <w:p w14:paraId="27CE507C" w14:textId="649C1D74" w:rsidR="00C93B74" w:rsidRPr="00106942" w:rsidRDefault="00C93B74" w:rsidP="00DF561C">
      <w:pPr>
        <w:jc w:val="both"/>
        <w:rPr>
          <w:rFonts w:asciiTheme="minorHAnsi" w:hAnsiTheme="minorHAnsi" w:cstheme="minorHAnsi"/>
          <w:sz w:val="22"/>
          <w:szCs w:val="22"/>
        </w:rPr>
      </w:pPr>
      <w:r w:rsidRPr="007B325F">
        <w:rPr>
          <w:rFonts w:asciiTheme="minorHAnsi" w:hAnsiTheme="minorHAnsi" w:cstheme="minorHAnsi"/>
          <w:sz w:val="22"/>
          <w:szCs w:val="22"/>
        </w:rPr>
        <w:t xml:space="preserve">O Ativo líquido da Sociedade foi de € </w:t>
      </w:r>
      <w:r w:rsidR="00DF7BAA">
        <w:rPr>
          <w:rFonts w:asciiTheme="minorHAnsi" w:hAnsiTheme="minorHAnsi" w:cstheme="minorHAnsi"/>
          <w:sz w:val="22"/>
          <w:szCs w:val="22"/>
        </w:rPr>
        <w:t>46</w:t>
      </w:r>
      <w:r w:rsidR="00386F2E">
        <w:rPr>
          <w:rFonts w:asciiTheme="minorHAnsi" w:hAnsiTheme="minorHAnsi" w:cstheme="minorHAnsi"/>
          <w:sz w:val="22"/>
          <w:szCs w:val="22"/>
        </w:rPr>
        <w:t>4</w:t>
      </w:r>
      <w:r w:rsidR="00DF7BAA">
        <w:rPr>
          <w:rFonts w:asciiTheme="minorHAnsi" w:hAnsiTheme="minorHAnsi" w:cstheme="minorHAnsi"/>
          <w:sz w:val="22"/>
          <w:szCs w:val="22"/>
        </w:rPr>
        <w:t>,3</w:t>
      </w:r>
      <w:r w:rsidRPr="007B325F">
        <w:rPr>
          <w:rFonts w:asciiTheme="minorHAnsi" w:hAnsiTheme="minorHAnsi" w:cstheme="minorHAnsi"/>
          <w:sz w:val="22"/>
          <w:szCs w:val="22"/>
        </w:rPr>
        <w:t xml:space="preserve"> milhões</w:t>
      </w:r>
      <w:r w:rsidR="0097158A" w:rsidRPr="007B325F">
        <w:rPr>
          <w:rFonts w:asciiTheme="minorHAnsi" w:hAnsiTheme="minorHAnsi" w:cstheme="minorHAnsi"/>
          <w:sz w:val="22"/>
          <w:szCs w:val="22"/>
        </w:rPr>
        <w:t>, e o</w:t>
      </w:r>
      <w:r w:rsidRPr="007B325F">
        <w:rPr>
          <w:rFonts w:asciiTheme="minorHAnsi" w:hAnsiTheme="minorHAnsi" w:cstheme="minorHAnsi"/>
          <w:sz w:val="22"/>
          <w:szCs w:val="22"/>
        </w:rPr>
        <w:t xml:space="preserve"> Passivo totalizou, em 202</w:t>
      </w:r>
      <w:r w:rsidR="00111FB6">
        <w:rPr>
          <w:rFonts w:asciiTheme="minorHAnsi" w:hAnsiTheme="minorHAnsi" w:cstheme="minorHAnsi"/>
          <w:sz w:val="22"/>
          <w:szCs w:val="22"/>
        </w:rPr>
        <w:t>5</w:t>
      </w:r>
      <w:r w:rsidRPr="007B325F">
        <w:rPr>
          <w:rFonts w:asciiTheme="minorHAnsi" w:hAnsiTheme="minorHAnsi" w:cstheme="minorHAnsi"/>
          <w:sz w:val="22"/>
          <w:szCs w:val="22"/>
        </w:rPr>
        <w:t>,</w:t>
      </w:r>
      <w:r w:rsidRPr="00350561">
        <w:rPr>
          <w:rFonts w:asciiTheme="minorHAnsi" w:hAnsiTheme="minorHAnsi" w:cstheme="minorHAnsi"/>
          <w:sz w:val="22"/>
          <w:szCs w:val="22"/>
        </w:rPr>
        <w:t xml:space="preserve"> €</w:t>
      </w:r>
      <w:r w:rsidR="00C8570B">
        <w:rPr>
          <w:rFonts w:asciiTheme="minorHAnsi" w:hAnsiTheme="minorHAnsi" w:cstheme="minorHAnsi"/>
          <w:sz w:val="22"/>
          <w:szCs w:val="22"/>
        </w:rPr>
        <w:t> </w:t>
      </w:r>
      <w:r w:rsidR="00DF7BAA">
        <w:rPr>
          <w:rFonts w:asciiTheme="minorHAnsi" w:hAnsiTheme="minorHAnsi" w:cstheme="minorHAnsi"/>
          <w:sz w:val="22"/>
          <w:szCs w:val="22"/>
        </w:rPr>
        <w:t>5 3</w:t>
      </w:r>
      <w:r w:rsidR="00351BC7">
        <w:rPr>
          <w:rFonts w:asciiTheme="minorHAnsi" w:hAnsiTheme="minorHAnsi" w:cstheme="minorHAnsi"/>
          <w:sz w:val="22"/>
          <w:szCs w:val="22"/>
        </w:rPr>
        <w:t>30</w:t>
      </w:r>
      <w:r w:rsidR="00DF7BAA">
        <w:rPr>
          <w:rFonts w:asciiTheme="minorHAnsi" w:hAnsiTheme="minorHAnsi" w:cstheme="minorHAnsi"/>
          <w:sz w:val="22"/>
          <w:szCs w:val="22"/>
        </w:rPr>
        <w:t>,</w:t>
      </w:r>
      <w:r w:rsidR="00351BC7">
        <w:rPr>
          <w:rFonts w:asciiTheme="minorHAnsi" w:hAnsiTheme="minorHAnsi" w:cstheme="minorHAnsi"/>
          <w:sz w:val="22"/>
          <w:szCs w:val="22"/>
        </w:rPr>
        <w:t>7</w:t>
      </w:r>
      <w:r w:rsidR="00C8570B">
        <w:rPr>
          <w:rFonts w:asciiTheme="minorHAnsi" w:hAnsiTheme="minorHAnsi" w:cstheme="minorHAnsi"/>
          <w:sz w:val="22"/>
          <w:szCs w:val="22"/>
        </w:rPr>
        <w:t> </w:t>
      </w:r>
      <w:r w:rsidRPr="00350561">
        <w:rPr>
          <w:rFonts w:asciiTheme="minorHAnsi" w:hAnsiTheme="minorHAnsi" w:cstheme="minorHAnsi"/>
          <w:sz w:val="22"/>
          <w:szCs w:val="22"/>
        </w:rPr>
        <w:t>milhões</w:t>
      </w:r>
      <w:r w:rsidR="0075783F">
        <w:rPr>
          <w:rFonts w:asciiTheme="minorHAnsi" w:hAnsiTheme="minorHAnsi" w:cstheme="minorHAnsi"/>
          <w:sz w:val="22"/>
          <w:szCs w:val="22"/>
        </w:rPr>
        <w:t>.</w:t>
      </w:r>
      <w:r w:rsidRPr="00350561">
        <w:rPr>
          <w:rFonts w:asciiTheme="minorHAnsi" w:hAnsiTheme="minorHAnsi" w:cstheme="minorHAnsi"/>
          <w:sz w:val="22"/>
          <w:szCs w:val="22"/>
        </w:rPr>
        <w:t xml:space="preserve"> Em 202</w:t>
      </w:r>
      <w:r w:rsidR="00111FB6">
        <w:rPr>
          <w:rFonts w:asciiTheme="minorHAnsi" w:hAnsiTheme="minorHAnsi" w:cstheme="minorHAnsi"/>
          <w:sz w:val="22"/>
          <w:szCs w:val="22"/>
        </w:rPr>
        <w:t>5</w:t>
      </w:r>
      <w:r w:rsidRPr="00350561">
        <w:rPr>
          <w:rFonts w:asciiTheme="minorHAnsi" w:hAnsiTheme="minorHAnsi" w:cstheme="minorHAnsi"/>
          <w:sz w:val="22"/>
          <w:szCs w:val="22"/>
        </w:rPr>
        <w:t xml:space="preserve">, tal como em </w:t>
      </w:r>
      <w:r w:rsidR="00111FB6">
        <w:rPr>
          <w:rFonts w:asciiTheme="minorHAnsi" w:hAnsiTheme="minorHAnsi" w:cstheme="minorHAnsi"/>
          <w:sz w:val="22"/>
          <w:szCs w:val="22"/>
        </w:rPr>
        <w:t xml:space="preserve">2024, </w:t>
      </w:r>
      <w:r w:rsidR="00832D79">
        <w:rPr>
          <w:rFonts w:asciiTheme="minorHAnsi" w:hAnsiTheme="minorHAnsi" w:cstheme="minorHAnsi"/>
          <w:sz w:val="22"/>
          <w:szCs w:val="22"/>
        </w:rPr>
        <w:t xml:space="preserve">2023, </w:t>
      </w:r>
      <w:r w:rsidRPr="00350561">
        <w:rPr>
          <w:rFonts w:asciiTheme="minorHAnsi" w:hAnsiTheme="minorHAnsi" w:cstheme="minorHAnsi"/>
          <w:sz w:val="22"/>
          <w:szCs w:val="22"/>
        </w:rPr>
        <w:t xml:space="preserve">2022, 2021 e 2020, não foi necessária a contratação de novos financiamentos junto da </w:t>
      </w:r>
      <w:r w:rsidR="00C23F31">
        <w:rPr>
          <w:rFonts w:asciiTheme="minorHAnsi" w:hAnsiTheme="minorHAnsi" w:cstheme="minorHAnsi"/>
          <w:sz w:val="22"/>
          <w:szCs w:val="22"/>
        </w:rPr>
        <w:t>E</w:t>
      </w:r>
      <w:r w:rsidR="00832D79">
        <w:rPr>
          <w:rFonts w:asciiTheme="minorHAnsi" w:hAnsiTheme="minorHAnsi" w:cstheme="minorHAnsi"/>
          <w:sz w:val="22"/>
          <w:szCs w:val="22"/>
        </w:rPr>
        <w:t>TF</w:t>
      </w:r>
      <w:r w:rsidRPr="00350561">
        <w:rPr>
          <w:rFonts w:asciiTheme="minorHAnsi" w:hAnsiTheme="minorHAnsi" w:cstheme="minorHAnsi"/>
          <w:sz w:val="22"/>
          <w:szCs w:val="22"/>
        </w:rPr>
        <w:t>, tendo-se, em 202</w:t>
      </w:r>
      <w:r w:rsidR="00111FB6">
        <w:rPr>
          <w:rFonts w:asciiTheme="minorHAnsi" w:hAnsiTheme="minorHAnsi" w:cstheme="minorHAnsi"/>
          <w:sz w:val="22"/>
          <w:szCs w:val="22"/>
        </w:rPr>
        <w:t>5</w:t>
      </w:r>
      <w:r w:rsidRPr="00350561">
        <w:rPr>
          <w:rFonts w:asciiTheme="minorHAnsi" w:hAnsiTheme="minorHAnsi" w:cstheme="minorHAnsi"/>
          <w:sz w:val="22"/>
          <w:szCs w:val="22"/>
        </w:rPr>
        <w:t xml:space="preserve"> efetuado uma amortização parcial de </w:t>
      </w:r>
      <w:r w:rsidRPr="00BB689F">
        <w:rPr>
          <w:rFonts w:asciiTheme="minorHAnsi" w:hAnsiTheme="minorHAnsi" w:cstheme="minorHAnsi"/>
          <w:sz w:val="22"/>
          <w:szCs w:val="22"/>
        </w:rPr>
        <w:t xml:space="preserve">€ </w:t>
      </w:r>
      <w:r w:rsidR="002D75CC">
        <w:rPr>
          <w:rFonts w:asciiTheme="minorHAnsi" w:hAnsiTheme="minorHAnsi" w:cstheme="minorHAnsi"/>
          <w:sz w:val="22"/>
          <w:szCs w:val="22"/>
        </w:rPr>
        <w:t>80</w:t>
      </w:r>
      <w:r w:rsidRPr="00BB689F">
        <w:rPr>
          <w:rFonts w:asciiTheme="minorHAnsi" w:hAnsiTheme="minorHAnsi" w:cstheme="minorHAnsi"/>
          <w:sz w:val="22"/>
          <w:szCs w:val="22"/>
        </w:rPr>
        <w:t xml:space="preserve"> milhões de um mútuo de 2012.</w:t>
      </w:r>
      <w:r w:rsidRPr="00106942">
        <w:rPr>
          <w:rFonts w:asciiTheme="minorHAnsi" w:hAnsiTheme="minorHAnsi" w:cstheme="minorHAnsi"/>
          <w:sz w:val="22"/>
          <w:szCs w:val="22"/>
        </w:rPr>
        <w:t xml:space="preserve"> </w:t>
      </w:r>
      <w:r w:rsidRPr="00106942">
        <w:rPr>
          <w:rFonts w:asciiTheme="minorHAnsi" w:hAnsiTheme="minorHAnsi" w:cstheme="minorHAnsi"/>
          <w:sz w:val="22"/>
          <w:szCs w:val="22"/>
        </w:rPr>
        <w:br w:type="page"/>
      </w:r>
    </w:p>
    <w:p w14:paraId="30F27F1D" w14:textId="5B4B64EC" w:rsidR="00C93B74" w:rsidRPr="00153B0F" w:rsidRDefault="00C93B74" w:rsidP="00C93B74">
      <w:pPr>
        <w:pStyle w:val="Ttulo2"/>
        <w:tabs>
          <w:tab w:val="clear" w:pos="426"/>
          <w:tab w:val="clear" w:pos="567"/>
          <w:tab w:val="clear" w:pos="3969"/>
          <w:tab w:val="clear" w:pos="4962"/>
          <w:tab w:val="clear" w:pos="6096"/>
          <w:tab w:val="clear" w:pos="7230"/>
          <w:tab w:val="clear" w:pos="8222"/>
        </w:tabs>
        <w:ind w:left="0" w:right="-340" w:firstLine="0"/>
        <w:rPr>
          <w:rFonts w:asciiTheme="minorHAnsi" w:hAnsiTheme="minorHAnsi" w:cstheme="minorHAnsi"/>
          <w:bCs/>
          <w:iCs/>
          <w:sz w:val="22"/>
          <w:szCs w:val="22"/>
        </w:rPr>
      </w:pPr>
      <w:bookmarkStart w:id="12" w:name="_Toc163060202"/>
      <w:bookmarkStart w:id="13" w:name="_Toc221618456"/>
      <w:r w:rsidRPr="00BE10BB">
        <w:rPr>
          <w:rFonts w:asciiTheme="minorHAnsi" w:hAnsiTheme="minorHAnsi" w:cstheme="minorHAnsi"/>
          <w:bCs/>
          <w:iCs/>
          <w:sz w:val="22"/>
          <w:szCs w:val="22"/>
        </w:rPr>
        <w:lastRenderedPageBreak/>
        <w:t xml:space="preserve">1.2 </w:t>
      </w:r>
      <w:bookmarkEnd w:id="8"/>
      <w:r w:rsidRPr="00BE10BB">
        <w:rPr>
          <w:rFonts w:asciiTheme="minorHAnsi" w:hAnsiTheme="minorHAnsi" w:cstheme="minorHAnsi"/>
          <w:bCs/>
          <w:iCs/>
          <w:sz w:val="22"/>
          <w:szCs w:val="22"/>
        </w:rPr>
        <w:t>Órgãos Sociais</w:t>
      </w:r>
      <w:bookmarkEnd w:id="12"/>
      <w:bookmarkEnd w:id="13"/>
      <w:r>
        <w:rPr>
          <w:rFonts w:asciiTheme="minorHAnsi" w:hAnsiTheme="minorHAnsi" w:cstheme="minorHAnsi"/>
          <w:bCs/>
          <w:iCs/>
          <w:sz w:val="22"/>
          <w:szCs w:val="22"/>
        </w:rPr>
        <w:t xml:space="preserve">  </w:t>
      </w:r>
    </w:p>
    <w:p w14:paraId="27FC13EB" w14:textId="77777777" w:rsidR="00A168F9" w:rsidRDefault="00A168F9" w:rsidP="00B67D12">
      <w:pPr>
        <w:rPr>
          <w:rFonts w:asciiTheme="minorHAnsi" w:hAnsiTheme="minorHAnsi" w:cstheme="minorHAnsi"/>
          <w:b/>
          <w:sz w:val="16"/>
          <w:szCs w:val="16"/>
          <w:lang w:eastAsia="en-US"/>
        </w:rPr>
      </w:pPr>
    </w:p>
    <w:p w14:paraId="7B3F4004" w14:textId="77777777" w:rsidR="00B67D12" w:rsidRDefault="00B67D12" w:rsidP="00C93B74">
      <w:pPr>
        <w:jc w:val="center"/>
        <w:rPr>
          <w:rFonts w:asciiTheme="minorHAnsi" w:hAnsiTheme="minorHAnsi" w:cstheme="minorHAnsi"/>
          <w:b/>
          <w:sz w:val="22"/>
          <w:szCs w:val="22"/>
          <w:lang w:eastAsia="en-US"/>
        </w:rPr>
      </w:pPr>
    </w:p>
    <w:p w14:paraId="2B1A6F54" w14:textId="77777777" w:rsidR="00B67D12" w:rsidRDefault="00B67D12" w:rsidP="00C93B74">
      <w:pPr>
        <w:jc w:val="center"/>
        <w:rPr>
          <w:rFonts w:asciiTheme="minorHAnsi" w:hAnsiTheme="minorHAnsi" w:cstheme="minorHAnsi"/>
          <w:b/>
          <w:sz w:val="22"/>
          <w:szCs w:val="22"/>
          <w:lang w:eastAsia="en-US"/>
        </w:rPr>
      </w:pPr>
    </w:p>
    <w:p w14:paraId="0108FEA5" w14:textId="4487DC47" w:rsidR="00C93B74" w:rsidRPr="00153B0F" w:rsidRDefault="00C93B74" w:rsidP="00C93B74">
      <w:pPr>
        <w:jc w:val="center"/>
        <w:rPr>
          <w:rFonts w:asciiTheme="minorHAnsi" w:hAnsiTheme="minorHAnsi" w:cstheme="minorHAnsi"/>
          <w:b/>
          <w:sz w:val="22"/>
          <w:szCs w:val="22"/>
          <w:lang w:eastAsia="en-US"/>
        </w:rPr>
      </w:pPr>
      <w:r w:rsidRPr="00153B0F">
        <w:rPr>
          <w:rFonts w:asciiTheme="minorHAnsi" w:hAnsiTheme="minorHAnsi" w:cstheme="minorHAnsi"/>
          <w:b/>
          <w:sz w:val="22"/>
          <w:szCs w:val="22"/>
          <w:lang w:eastAsia="en-US"/>
        </w:rPr>
        <w:t>Mesa da Assembleia Geral</w:t>
      </w:r>
    </w:p>
    <w:p w14:paraId="511DC121" w14:textId="772AF09F" w:rsidR="00C93B74" w:rsidRPr="00153B0F" w:rsidRDefault="00B64F9B" w:rsidP="00C93B74">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SARA ALEXANDRA RIBEIRO PEREIRA SIMÕES DUARTE</w:t>
      </w:r>
      <w:r w:rsidR="00C93B74" w:rsidRPr="00153B0F">
        <w:rPr>
          <w:rFonts w:asciiTheme="minorHAnsi" w:hAnsiTheme="minorHAnsi" w:cstheme="minorHAnsi"/>
          <w:sz w:val="22"/>
          <w:szCs w:val="22"/>
          <w:lang w:eastAsia="en-US"/>
        </w:rPr>
        <w:t xml:space="preserve"> (Presidente)</w:t>
      </w:r>
    </w:p>
    <w:p w14:paraId="7D86E9E0" w14:textId="77777777" w:rsidR="00C93B74" w:rsidRPr="00A808DE" w:rsidRDefault="00C93B74" w:rsidP="00C93B74">
      <w:pPr>
        <w:jc w:val="center"/>
        <w:rPr>
          <w:rFonts w:asciiTheme="minorHAnsi" w:hAnsiTheme="minorHAnsi" w:cstheme="minorHAnsi"/>
          <w:sz w:val="14"/>
          <w:szCs w:val="14"/>
          <w:lang w:eastAsia="en-US"/>
        </w:rPr>
      </w:pPr>
    </w:p>
    <w:p w14:paraId="3BC72857" w14:textId="03E215A7" w:rsidR="00C93B74" w:rsidRPr="00153B0F" w:rsidRDefault="00B64F9B" w:rsidP="00C93B74">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JOAQUIM FERNANDO RIBEIRO MUXAGATA</w:t>
      </w:r>
      <w:r w:rsidR="00C93B74" w:rsidRPr="001D2CE1">
        <w:rPr>
          <w:rFonts w:asciiTheme="minorHAnsi" w:hAnsiTheme="minorHAnsi" w:cstheme="minorHAnsi"/>
          <w:sz w:val="22"/>
          <w:szCs w:val="22"/>
          <w:lang w:eastAsia="en-US"/>
        </w:rPr>
        <w:t xml:space="preserve"> (Secretário)</w:t>
      </w:r>
    </w:p>
    <w:p w14:paraId="62637615" w14:textId="77777777" w:rsidR="00C93B74" w:rsidRPr="00826C19" w:rsidRDefault="00C93B74" w:rsidP="00C93B74">
      <w:pPr>
        <w:jc w:val="both"/>
        <w:rPr>
          <w:rFonts w:asciiTheme="minorHAnsi" w:hAnsiTheme="minorHAnsi" w:cstheme="minorHAnsi"/>
          <w:sz w:val="16"/>
          <w:szCs w:val="16"/>
          <w:lang w:eastAsia="en-US"/>
        </w:rPr>
      </w:pPr>
    </w:p>
    <w:p w14:paraId="1CB5F3B9" w14:textId="77777777" w:rsidR="00C93B74" w:rsidRPr="00071159" w:rsidRDefault="00C93B74" w:rsidP="00C93B74">
      <w:pPr>
        <w:rPr>
          <w:rFonts w:asciiTheme="minorHAnsi" w:hAnsiTheme="minorHAnsi" w:cstheme="minorHAnsi"/>
          <w:sz w:val="20"/>
          <w:szCs w:val="20"/>
          <w:lang w:eastAsia="en-US"/>
        </w:rPr>
      </w:pPr>
      <w:r w:rsidRPr="00071159">
        <w:rPr>
          <w:rFonts w:asciiTheme="minorHAnsi" w:hAnsiTheme="minorHAnsi" w:cstheme="minorHAnsi"/>
          <w:b/>
          <w:i/>
          <w:sz w:val="20"/>
          <w:szCs w:val="20"/>
          <w:lang w:eastAsia="en-US"/>
        </w:rPr>
        <w:t>Mandato dos Membros da Mesa da Assembleia Geral</w:t>
      </w:r>
      <w:r w:rsidRPr="00071159">
        <w:rPr>
          <w:rFonts w:asciiTheme="minorHAnsi" w:hAnsiTheme="minorHAnsi" w:cstheme="minorHAnsi"/>
          <w:sz w:val="20"/>
          <w:szCs w:val="20"/>
          <w:lang w:eastAsia="en-US"/>
        </w:rPr>
        <w:t>:</w:t>
      </w:r>
    </w:p>
    <w:p w14:paraId="0B53CFDC" w14:textId="6D5C35DD" w:rsidR="00C93B74" w:rsidRPr="00AD71B8" w:rsidRDefault="00C93B74" w:rsidP="00C93B74">
      <w:pPr>
        <w:rPr>
          <w:rFonts w:asciiTheme="minorHAnsi" w:hAnsiTheme="minorHAnsi" w:cstheme="minorHAnsi"/>
          <w:sz w:val="18"/>
          <w:szCs w:val="18"/>
          <w:lang w:eastAsia="en-US"/>
        </w:rPr>
      </w:pPr>
      <w:r w:rsidRPr="00AD71B8">
        <w:rPr>
          <w:rFonts w:asciiTheme="minorHAnsi" w:hAnsiTheme="minorHAnsi" w:cstheme="minorHAnsi"/>
          <w:sz w:val="18"/>
          <w:szCs w:val="18"/>
          <w:lang w:eastAsia="en-US"/>
        </w:rPr>
        <w:t>Prazo de duração do mandato: Triénio 20</w:t>
      </w:r>
      <w:r>
        <w:rPr>
          <w:rFonts w:asciiTheme="minorHAnsi" w:hAnsiTheme="minorHAnsi" w:cstheme="minorHAnsi"/>
          <w:sz w:val="18"/>
          <w:szCs w:val="18"/>
          <w:lang w:eastAsia="en-US"/>
        </w:rPr>
        <w:t>2</w:t>
      </w:r>
      <w:r w:rsidR="00B64F9B">
        <w:rPr>
          <w:rFonts w:asciiTheme="minorHAnsi" w:hAnsiTheme="minorHAnsi" w:cstheme="minorHAnsi"/>
          <w:sz w:val="18"/>
          <w:szCs w:val="18"/>
          <w:lang w:eastAsia="en-US"/>
        </w:rPr>
        <w:t>5</w:t>
      </w:r>
      <w:r w:rsidRPr="00AD71B8">
        <w:rPr>
          <w:rFonts w:asciiTheme="minorHAnsi" w:hAnsiTheme="minorHAnsi" w:cstheme="minorHAnsi"/>
          <w:sz w:val="18"/>
          <w:szCs w:val="18"/>
          <w:lang w:eastAsia="en-US"/>
        </w:rPr>
        <w:t>-202</w:t>
      </w:r>
      <w:r w:rsidR="00B64F9B">
        <w:rPr>
          <w:rFonts w:asciiTheme="minorHAnsi" w:hAnsiTheme="minorHAnsi" w:cstheme="minorHAnsi"/>
          <w:sz w:val="18"/>
          <w:szCs w:val="18"/>
          <w:lang w:eastAsia="en-US"/>
        </w:rPr>
        <w:t>7</w:t>
      </w:r>
    </w:p>
    <w:p w14:paraId="2959E19F" w14:textId="27572DD6" w:rsidR="00C93B74" w:rsidRPr="00AD71B8" w:rsidRDefault="00C93B74" w:rsidP="00C93B74">
      <w:pPr>
        <w:rPr>
          <w:rFonts w:asciiTheme="minorHAnsi" w:hAnsiTheme="minorHAnsi" w:cstheme="minorHAnsi"/>
          <w:sz w:val="18"/>
          <w:szCs w:val="18"/>
          <w:lang w:eastAsia="en-US"/>
        </w:rPr>
      </w:pPr>
      <w:r w:rsidRPr="007E11BD">
        <w:rPr>
          <w:rFonts w:asciiTheme="minorHAnsi" w:hAnsiTheme="minorHAnsi" w:cstheme="minorHAnsi"/>
          <w:sz w:val="18"/>
          <w:szCs w:val="18"/>
          <w:lang w:eastAsia="en-US"/>
        </w:rPr>
        <w:t xml:space="preserve">Data da Deliberação Social Unânime por Escrito: </w:t>
      </w:r>
      <w:r>
        <w:rPr>
          <w:rFonts w:asciiTheme="minorHAnsi" w:hAnsiTheme="minorHAnsi" w:cstheme="minorHAnsi"/>
          <w:sz w:val="18"/>
          <w:szCs w:val="18"/>
          <w:lang w:eastAsia="en-US"/>
        </w:rPr>
        <w:t>3</w:t>
      </w:r>
      <w:r w:rsidR="00B64F9B">
        <w:rPr>
          <w:rFonts w:asciiTheme="minorHAnsi" w:hAnsiTheme="minorHAnsi" w:cstheme="minorHAnsi"/>
          <w:sz w:val="18"/>
          <w:szCs w:val="18"/>
          <w:lang w:eastAsia="en-US"/>
        </w:rPr>
        <w:t>1</w:t>
      </w:r>
      <w:r w:rsidRPr="007E11BD">
        <w:rPr>
          <w:rFonts w:asciiTheme="minorHAnsi" w:hAnsiTheme="minorHAnsi" w:cstheme="minorHAnsi"/>
          <w:sz w:val="18"/>
          <w:szCs w:val="18"/>
          <w:lang w:eastAsia="en-US"/>
        </w:rPr>
        <w:t>/0</w:t>
      </w:r>
      <w:r w:rsidR="00B64F9B">
        <w:rPr>
          <w:rFonts w:asciiTheme="minorHAnsi" w:hAnsiTheme="minorHAnsi" w:cstheme="minorHAnsi"/>
          <w:sz w:val="18"/>
          <w:szCs w:val="18"/>
          <w:lang w:eastAsia="en-US"/>
        </w:rPr>
        <w:t>1</w:t>
      </w:r>
      <w:r w:rsidRPr="007E11BD">
        <w:rPr>
          <w:rFonts w:asciiTheme="minorHAnsi" w:hAnsiTheme="minorHAnsi" w:cstheme="minorHAnsi"/>
          <w:sz w:val="18"/>
          <w:szCs w:val="18"/>
          <w:lang w:eastAsia="en-US"/>
        </w:rPr>
        <w:t>/20</w:t>
      </w:r>
      <w:r>
        <w:rPr>
          <w:rFonts w:asciiTheme="minorHAnsi" w:hAnsiTheme="minorHAnsi" w:cstheme="minorHAnsi"/>
          <w:sz w:val="18"/>
          <w:szCs w:val="18"/>
          <w:lang w:eastAsia="en-US"/>
        </w:rPr>
        <w:t>2</w:t>
      </w:r>
      <w:r w:rsidR="00B64F9B">
        <w:rPr>
          <w:rFonts w:asciiTheme="minorHAnsi" w:hAnsiTheme="minorHAnsi" w:cstheme="minorHAnsi"/>
          <w:sz w:val="18"/>
          <w:szCs w:val="18"/>
          <w:lang w:eastAsia="en-US"/>
        </w:rPr>
        <w:t>5</w:t>
      </w:r>
    </w:p>
    <w:p w14:paraId="78315B2A" w14:textId="77777777" w:rsidR="00C93B74" w:rsidRDefault="00C93B74" w:rsidP="00C93B74">
      <w:pPr>
        <w:rPr>
          <w:rFonts w:asciiTheme="minorHAnsi" w:hAnsiTheme="minorHAnsi" w:cstheme="minorHAnsi"/>
          <w:caps/>
          <w:sz w:val="16"/>
          <w:szCs w:val="16"/>
          <w:lang w:eastAsia="en-US"/>
        </w:rPr>
      </w:pPr>
    </w:p>
    <w:p w14:paraId="18834243" w14:textId="77777777" w:rsidR="00C93B74" w:rsidRDefault="00C93B74" w:rsidP="00C93B74">
      <w:pPr>
        <w:rPr>
          <w:rFonts w:asciiTheme="minorHAnsi" w:hAnsiTheme="minorHAnsi" w:cstheme="minorHAnsi"/>
          <w:caps/>
          <w:sz w:val="16"/>
          <w:szCs w:val="16"/>
          <w:lang w:eastAsia="en-US"/>
        </w:rPr>
      </w:pPr>
    </w:p>
    <w:p w14:paraId="7E91BC4F" w14:textId="77777777" w:rsidR="00C93B74" w:rsidRPr="00826C19" w:rsidRDefault="00C93B74" w:rsidP="00C93B74">
      <w:pPr>
        <w:rPr>
          <w:rFonts w:asciiTheme="minorHAnsi" w:hAnsiTheme="minorHAnsi" w:cstheme="minorHAnsi"/>
          <w:caps/>
          <w:sz w:val="16"/>
          <w:szCs w:val="16"/>
          <w:lang w:eastAsia="en-US"/>
        </w:rPr>
      </w:pPr>
    </w:p>
    <w:p w14:paraId="37F216D7" w14:textId="77777777" w:rsidR="00C93B74" w:rsidRPr="00826C19" w:rsidRDefault="00C93B74" w:rsidP="00C93B74">
      <w:pPr>
        <w:rPr>
          <w:rFonts w:asciiTheme="minorHAnsi" w:hAnsiTheme="minorHAnsi" w:cstheme="minorHAnsi"/>
          <w:caps/>
          <w:sz w:val="16"/>
          <w:szCs w:val="16"/>
          <w:lang w:eastAsia="en-US"/>
        </w:rPr>
      </w:pPr>
    </w:p>
    <w:p w14:paraId="5D62FE8F" w14:textId="77777777" w:rsidR="00C93B74" w:rsidRPr="00875FC1" w:rsidRDefault="00C93B74" w:rsidP="00C93B74">
      <w:pPr>
        <w:jc w:val="center"/>
        <w:rPr>
          <w:rFonts w:asciiTheme="minorHAnsi" w:hAnsiTheme="minorHAnsi" w:cstheme="minorHAnsi"/>
          <w:b/>
          <w:sz w:val="22"/>
          <w:szCs w:val="22"/>
          <w:lang w:eastAsia="en-US"/>
        </w:rPr>
      </w:pPr>
      <w:r w:rsidRPr="00875FC1">
        <w:rPr>
          <w:rFonts w:asciiTheme="minorHAnsi" w:hAnsiTheme="minorHAnsi" w:cstheme="minorHAnsi"/>
          <w:b/>
          <w:sz w:val="22"/>
          <w:szCs w:val="22"/>
          <w:lang w:eastAsia="en-US"/>
        </w:rPr>
        <w:t>Conselho de Administração</w:t>
      </w:r>
    </w:p>
    <w:p w14:paraId="39CCA697" w14:textId="77777777" w:rsidR="00C93B74" w:rsidRDefault="00C93B74" w:rsidP="00C93B74">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SOFIA BRÍGIDA CORREIA DOS SANTOS DE MARÇAL TEIXEIRA FURTADO TORRES</w:t>
      </w:r>
    </w:p>
    <w:p w14:paraId="7B1FC53F" w14:textId="77777777" w:rsidR="00C93B74" w:rsidRPr="00875FC1" w:rsidRDefault="00C93B74" w:rsidP="00C93B74">
      <w:pPr>
        <w:jc w:val="center"/>
        <w:rPr>
          <w:rFonts w:asciiTheme="minorHAnsi" w:hAnsiTheme="minorHAnsi" w:cstheme="minorHAnsi"/>
          <w:sz w:val="22"/>
          <w:szCs w:val="22"/>
          <w:lang w:eastAsia="en-US"/>
        </w:rPr>
      </w:pPr>
      <w:r w:rsidRPr="00875FC1">
        <w:rPr>
          <w:rFonts w:asciiTheme="minorHAnsi" w:hAnsiTheme="minorHAnsi" w:cstheme="minorHAnsi"/>
          <w:sz w:val="22"/>
          <w:szCs w:val="22"/>
          <w:lang w:eastAsia="en-US"/>
        </w:rPr>
        <w:t>(Presidente</w:t>
      </w:r>
      <w:r>
        <w:rPr>
          <w:rFonts w:asciiTheme="minorHAnsi" w:hAnsiTheme="minorHAnsi" w:cstheme="minorHAnsi"/>
          <w:sz w:val="22"/>
          <w:szCs w:val="22"/>
          <w:lang w:eastAsia="en-US"/>
        </w:rPr>
        <w:t xml:space="preserve"> Executiva</w:t>
      </w:r>
      <w:r w:rsidRPr="00875FC1">
        <w:rPr>
          <w:rFonts w:asciiTheme="minorHAnsi" w:hAnsiTheme="minorHAnsi" w:cstheme="minorHAnsi"/>
          <w:sz w:val="22"/>
          <w:szCs w:val="22"/>
          <w:lang w:eastAsia="en-US"/>
        </w:rPr>
        <w:t>)</w:t>
      </w:r>
    </w:p>
    <w:p w14:paraId="0CDEEC4A" w14:textId="77777777" w:rsidR="00C93B74" w:rsidRPr="00AD71B8" w:rsidRDefault="00C93B74" w:rsidP="00C93B74">
      <w:pPr>
        <w:jc w:val="center"/>
        <w:rPr>
          <w:rFonts w:asciiTheme="minorHAnsi" w:hAnsiTheme="minorHAnsi" w:cstheme="minorHAnsi"/>
          <w:sz w:val="14"/>
          <w:szCs w:val="14"/>
          <w:lang w:eastAsia="en-US"/>
        </w:rPr>
      </w:pPr>
    </w:p>
    <w:p w14:paraId="5F1B83A9" w14:textId="285F14BD" w:rsidR="00C93B74" w:rsidRDefault="00132A8A" w:rsidP="00C93B74">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JOAQUIM MANUEL DA CRUZ VALENTE</w:t>
      </w:r>
    </w:p>
    <w:p w14:paraId="3D96CDC0" w14:textId="3AA7CD07" w:rsidR="00C93B74" w:rsidRPr="00875FC1" w:rsidRDefault="00C93B74" w:rsidP="00C93B74">
      <w:pPr>
        <w:jc w:val="center"/>
        <w:rPr>
          <w:rFonts w:asciiTheme="minorHAnsi" w:hAnsiTheme="minorHAnsi" w:cstheme="minorHAnsi"/>
          <w:sz w:val="22"/>
          <w:szCs w:val="22"/>
          <w:lang w:eastAsia="en-US"/>
        </w:rPr>
      </w:pPr>
      <w:r w:rsidRPr="00875FC1">
        <w:rPr>
          <w:rFonts w:asciiTheme="minorHAnsi" w:hAnsiTheme="minorHAnsi" w:cstheme="minorHAnsi"/>
          <w:sz w:val="22"/>
          <w:szCs w:val="22"/>
          <w:lang w:eastAsia="en-US"/>
        </w:rPr>
        <w:t>(Vogal</w:t>
      </w:r>
      <w:r>
        <w:rPr>
          <w:rFonts w:asciiTheme="minorHAnsi" w:hAnsiTheme="minorHAnsi" w:cstheme="minorHAnsi"/>
          <w:sz w:val="22"/>
          <w:szCs w:val="22"/>
          <w:lang w:eastAsia="en-US"/>
        </w:rPr>
        <w:t xml:space="preserve"> Executiv</w:t>
      </w:r>
      <w:r w:rsidR="00E7273E">
        <w:rPr>
          <w:rFonts w:asciiTheme="minorHAnsi" w:hAnsiTheme="minorHAnsi" w:cstheme="minorHAnsi"/>
          <w:sz w:val="22"/>
          <w:szCs w:val="22"/>
          <w:lang w:eastAsia="en-US"/>
        </w:rPr>
        <w:t>o</w:t>
      </w:r>
      <w:r w:rsidRPr="00875FC1">
        <w:rPr>
          <w:rFonts w:asciiTheme="minorHAnsi" w:hAnsiTheme="minorHAnsi" w:cstheme="minorHAnsi"/>
          <w:sz w:val="22"/>
          <w:szCs w:val="22"/>
          <w:lang w:eastAsia="en-US"/>
        </w:rPr>
        <w:t>)</w:t>
      </w:r>
    </w:p>
    <w:p w14:paraId="5D60130B" w14:textId="77777777" w:rsidR="00C93B74" w:rsidRDefault="00C93B74" w:rsidP="00C93B74">
      <w:pPr>
        <w:rPr>
          <w:rFonts w:asciiTheme="minorHAnsi" w:hAnsiTheme="minorHAnsi" w:cstheme="minorHAnsi"/>
          <w:sz w:val="16"/>
          <w:szCs w:val="16"/>
          <w:lang w:eastAsia="en-US"/>
        </w:rPr>
      </w:pPr>
    </w:p>
    <w:p w14:paraId="49C77419" w14:textId="747DD710" w:rsidR="00C93B74" w:rsidRDefault="00132A8A" w:rsidP="00C93B74">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ANTÓNIO JOSÉ FONSECA DUARTE</w:t>
      </w:r>
    </w:p>
    <w:p w14:paraId="03BDBA87" w14:textId="1AB08091" w:rsidR="00C93B74" w:rsidRPr="00875FC1" w:rsidRDefault="00C93B74" w:rsidP="00C93B74">
      <w:pPr>
        <w:jc w:val="center"/>
        <w:rPr>
          <w:rFonts w:asciiTheme="minorHAnsi" w:hAnsiTheme="minorHAnsi" w:cstheme="minorHAnsi"/>
          <w:sz w:val="22"/>
          <w:szCs w:val="22"/>
          <w:lang w:eastAsia="en-US"/>
        </w:rPr>
      </w:pPr>
      <w:r w:rsidRPr="00875FC1">
        <w:rPr>
          <w:rFonts w:asciiTheme="minorHAnsi" w:hAnsiTheme="minorHAnsi" w:cstheme="minorHAnsi"/>
          <w:sz w:val="22"/>
          <w:szCs w:val="22"/>
          <w:lang w:eastAsia="en-US"/>
        </w:rPr>
        <w:t>(Vogal</w:t>
      </w:r>
      <w:r>
        <w:rPr>
          <w:rFonts w:asciiTheme="minorHAnsi" w:hAnsiTheme="minorHAnsi" w:cstheme="minorHAnsi"/>
          <w:sz w:val="22"/>
          <w:szCs w:val="22"/>
          <w:lang w:eastAsia="en-US"/>
        </w:rPr>
        <w:t xml:space="preserve"> Executivo</w:t>
      </w:r>
      <w:r w:rsidRPr="00875FC1">
        <w:rPr>
          <w:rFonts w:asciiTheme="minorHAnsi" w:hAnsiTheme="minorHAnsi" w:cstheme="minorHAnsi"/>
          <w:sz w:val="22"/>
          <w:szCs w:val="22"/>
          <w:lang w:eastAsia="en-US"/>
        </w:rPr>
        <w:t>)</w:t>
      </w:r>
    </w:p>
    <w:p w14:paraId="20A97F8C" w14:textId="77777777" w:rsidR="00C93B74" w:rsidRDefault="00C93B74" w:rsidP="00C93B74">
      <w:pPr>
        <w:rPr>
          <w:rFonts w:asciiTheme="minorHAnsi" w:hAnsiTheme="minorHAnsi" w:cstheme="minorHAnsi"/>
          <w:sz w:val="16"/>
          <w:szCs w:val="16"/>
          <w:lang w:eastAsia="en-US"/>
        </w:rPr>
      </w:pPr>
    </w:p>
    <w:p w14:paraId="218EE1AC" w14:textId="77777777" w:rsidR="00C93B74" w:rsidRPr="00071159" w:rsidRDefault="00C93B74" w:rsidP="00C93B74">
      <w:pPr>
        <w:rPr>
          <w:rFonts w:asciiTheme="minorHAnsi" w:hAnsiTheme="minorHAnsi" w:cstheme="minorHAnsi"/>
          <w:b/>
          <w:i/>
          <w:sz w:val="20"/>
          <w:szCs w:val="20"/>
          <w:lang w:eastAsia="en-US"/>
        </w:rPr>
      </w:pPr>
      <w:r w:rsidRPr="00071159">
        <w:rPr>
          <w:rFonts w:asciiTheme="minorHAnsi" w:hAnsiTheme="minorHAnsi" w:cstheme="minorHAnsi"/>
          <w:b/>
          <w:i/>
          <w:sz w:val="20"/>
          <w:szCs w:val="20"/>
          <w:lang w:eastAsia="en-US"/>
        </w:rPr>
        <w:t>Mandato do Conselho Administração:</w:t>
      </w:r>
    </w:p>
    <w:p w14:paraId="017445BA" w14:textId="4C5D9157" w:rsidR="00C93B74" w:rsidRPr="00AD71B8" w:rsidRDefault="00C93B74" w:rsidP="00C93B74">
      <w:pPr>
        <w:rPr>
          <w:rFonts w:asciiTheme="minorHAnsi" w:hAnsiTheme="minorHAnsi" w:cstheme="minorHAnsi"/>
          <w:sz w:val="18"/>
          <w:szCs w:val="18"/>
          <w:lang w:eastAsia="en-US"/>
        </w:rPr>
      </w:pPr>
      <w:r w:rsidRPr="00AD71B8">
        <w:rPr>
          <w:rFonts w:asciiTheme="minorHAnsi" w:hAnsiTheme="minorHAnsi" w:cstheme="minorHAnsi"/>
          <w:sz w:val="18"/>
          <w:szCs w:val="18"/>
          <w:lang w:eastAsia="en-US"/>
        </w:rPr>
        <w:t>Prazo de duração do mandato: Triénio 20</w:t>
      </w:r>
      <w:r>
        <w:rPr>
          <w:rFonts w:asciiTheme="minorHAnsi" w:hAnsiTheme="minorHAnsi" w:cstheme="minorHAnsi"/>
          <w:sz w:val="18"/>
          <w:szCs w:val="18"/>
          <w:lang w:eastAsia="en-US"/>
        </w:rPr>
        <w:t>2</w:t>
      </w:r>
      <w:r w:rsidR="00132A8A">
        <w:rPr>
          <w:rFonts w:asciiTheme="minorHAnsi" w:hAnsiTheme="minorHAnsi" w:cstheme="minorHAnsi"/>
          <w:sz w:val="18"/>
          <w:szCs w:val="18"/>
          <w:lang w:eastAsia="en-US"/>
        </w:rPr>
        <w:t>5</w:t>
      </w:r>
      <w:r w:rsidRPr="00AD71B8">
        <w:rPr>
          <w:rFonts w:asciiTheme="minorHAnsi" w:hAnsiTheme="minorHAnsi" w:cstheme="minorHAnsi"/>
          <w:sz w:val="18"/>
          <w:szCs w:val="18"/>
          <w:lang w:eastAsia="en-US"/>
        </w:rPr>
        <w:t>-202</w:t>
      </w:r>
      <w:r w:rsidR="00132A8A">
        <w:rPr>
          <w:rFonts w:asciiTheme="minorHAnsi" w:hAnsiTheme="minorHAnsi" w:cstheme="minorHAnsi"/>
          <w:sz w:val="18"/>
          <w:szCs w:val="18"/>
          <w:lang w:eastAsia="en-US"/>
        </w:rPr>
        <w:t>7</w:t>
      </w:r>
    </w:p>
    <w:p w14:paraId="64A3938F" w14:textId="5B894DDE" w:rsidR="00C93B74" w:rsidRPr="00AD71B8" w:rsidRDefault="00C93B74" w:rsidP="00C93B74">
      <w:pPr>
        <w:rPr>
          <w:rFonts w:asciiTheme="minorHAnsi" w:hAnsiTheme="minorHAnsi" w:cstheme="minorHAnsi"/>
          <w:sz w:val="18"/>
          <w:szCs w:val="18"/>
          <w:lang w:eastAsia="en-US"/>
        </w:rPr>
      </w:pPr>
      <w:r w:rsidRPr="007E11BD">
        <w:rPr>
          <w:rFonts w:asciiTheme="minorHAnsi" w:hAnsiTheme="minorHAnsi" w:cstheme="minorHAnsi"/>
          <w:sz w:val="18"/>
          <w:szCs w:val="18"/>
          <w:lang w:eastAsia="en-US"/>
        </w:rPr>
        <w:t xml:space="preserve">Data da Deliberação Social Unânime por Escrito: </w:t>
      </w:r>
      <w:r>
        <w:rPr>
          <w:rFonts w:asciiTheme="minorHAnsi" w:hAnsiTheme="minorHAnsi" w:cstheme="minorHAnsi"/>
          <w:sz w:val="18"/>
          <w:szCs w:val="18"/>
          <w:lang w:eastAsia="en-US"/>
        </w:rPr>
        <w:t>3</w:t>
      </w:r>
      <w:r w:rsidR="00132A8A">
        <w:rPr>
          <w:rFonts w:asciiTheme="minorHAnsi" w:hAnsiTheme="minorHAnsi" w:cstheme="minorHAnsi"/>
          <w:sz w:val="18"/>
          <w:szCs w:val="18"/>
          <w:lang w:eastAsia="en-US"/>
        </w:rPr>
        <w:t>1</w:t>
      </w:r>
      <w:r w:rsidRPr="007E11BD">
        <w:rPr>
          <w:rFonts w:asciiTheme="minorHAnsi" w:hAnsiTheme="minorHAnsi" w:cstheme="minorHAnsi"/>
          <w:sz w:val="18"/>
          <w:szCs w:val="18"/>
          <w:lang w:eastAsia="en-US"/>
        </w:rPr>
        <w:t>/0</w:t>
      </w:r>
      <w:r w:rsidR="00132A8A">
        <w:rPr>
          <w:rFonts w:asciiTheme="minorHAnsi" w:hAnsiTheme="minorHAnsi" w:cstheme="minorHAnsi"/>
          <w:sz w:val="18"/>
          <w:szCs w:val="18"/>
          <w:lang w:eastAsia="en-US"/>
        </w:rPr>
        <w:t>1</w:t>
      </w:r>
      <w:r w:rsidRPr="007E11BD">
        <w:rPr>
          <w:rFonts w:asciiTheme="minorHAnsi" w:hAnsiTheme="minorHAnsi" w:cstheme="minorHAnsi"/>
          <w:sz w:val="18"/>
          <w:szCs w:val="18"/>
          <w:lang w:eastAsia="en-US"/>
        </w:rPr>
        <w:t>/20</w:t>
      </w:r>
      <w:r>
        <w:rPr>
          <w:rFonts w:asciiTheme="minorHAnsi" w:hAnsiTheme="minorHAnsi" w:cstheme="minorHAnsi"/>
          <w:sz w:val="18"/>
          <w:szCs w:val="18"/>
          <w:lang w:eastAsia="en-US"/>
        </w:rPr>
        <w:t>2</w:t>
      </w:r>
      <w:r w:rsidR="00132A8A">
        <w:rPr>
          <w:rFonts w:asciiTheme="minorHAnsi" w:hAnsiTheme="minorHAnsi" w:cstheme="minorHAnsi"/>
          <w:sz w:val="18"/>
          <w:szCs w:val="18"/>
          <w:lang w:eastAsia="en-US"/>
        </w:rPr>
        <w:t>5</w:t>
      </w:r>
    </w:p>
    <w:p w14:paraId="7260CE7B" w14:textId="77777777" w:rsidR="00C93B74" w:rsidRDefault="00C93B74" w:rsidP="00C93B74">
      <w:pPr>
        <w:rPr>
          <w:rFonts w:asciiTheme="minorHAnsi" w:hAnsiTheme="minorHAnsi" w:cstheme="minorHAnsi"/>
          <w:sz w:val="16"/>
          <w:szCs w:val="16"/>
          <w:lang w:eastAsia="en-US"/>
        </w:rPr>
      </w:pPr>
    </w:p>
    <w:p w14:paraId="06DE41D1" w14:textId="77777777" w:rsidR="00C93B74" w:rsidRDefault="00C93B74" w:rsidP="00C93B74">
      <w:pPr>
        <w:rPr>
          <w:rFonts w:asciiTheme="minorHAnsi" w:hAnsiTheme="minorHAnsi" w:cstheme="minorHAnsi"/>
          <w:sz w:val="16"/>
          <w:szCs w:val="16"/>
          <w:lang w:eastAsia="en-US"/>
        </w:rPr>
      </w:pPr>
    </w:p>
    <w:p w14:paraId="178FAF97" w14:textId="77777777" w:rsidR="00C93B74" w:rsidRDefault="00C93B74" w:rsidP="00C93B74">
      <w:pPr>
        <w:rPr>
          <w:rFonts w:asciiTheme="minorHAnsi" w:hAnsiTheme="minorHAnsi" w:cstheme="minorHAnsi"/>
          <w:sz w:val="16"/>
          <w:szCs w:val="16"/>
          <w:lang w:eastAsia="en-US"/>
        </w:rPr>
      </w:pPr>
    </w:p>
    <w:p w14:paraId="7E500453" w14:textId="77777777" w:rsidR="00C93B74" w:rsidRPr="00826C19" w:rsidRDefault="00C93B74" w:rsidP="00C93B74">
      <w:pPr>
        <w:rPr>
          <w:rFonts w:asciiTheme="minorHAnsi" w:hAnsiTheme="minorHAnsi" w:cstheme="minorHAnsi"/>
          <w:sz w:val="16"/>
          <w:szCs w:val="16"/>
          <w:lang w:eastAsia="en-US"/>
        </w:rPr>
      </w:pPr>
    </w:p>
    <w:p w14:paraId="5EC2E780" w14:textId="77777777" w:rsidR="00C93B74" w:rsidRPr="00875FC1" w:rsidRDefault="00C93B74" w:rsidP="00C93B74">
      <w:pPr>
        <w:jc w:val="center"/>
        <w:rPr>
          <w:rFonts w:asciiTheme="minorHAnsi" w:hAnsiTheme="minorHAnsi" w:cstheme="minorHAnsi"/>
          <w:b/>
          <w:sz w:val="22"/>
          <w:szCs w:val="22"/>
          <w:lang w:eastAsia="en-US"/>
        </w:rPr>
      </w:pPr>
      <w:r w:rsidRPr="00875FC1">
        <w:rPr>
          <w:rFonts w:asciiTheme="minorHAnsi" w:hAnsiTheme="minorHAnsi" w:cstheme="minorHAnsi"/>
          <w:b/>
          <w:sz w:val="22"/>
          <w:szCs w:val="22"/>
          <w:lang w:eastAsia="en-US"/>
        </w:rPr>
        <w:t>Conselho Fiscal</w:t>
      </w:r>
    </w:p>
    <w:p w14:paraId="7638035F" w14:textId="77777777" w:rsidR="00C93B74" w:rsidRPr="00875FC1" w:rsidRDefault="00C93B74" w:rsidP="00C93B74">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ANA MARIA CELESTINO ALBERTO DOS SANTOS COSTA PEREIRA</w:t>
      </w:r>
      <w:r w:rsidRPr="00875FC1">
        <w:rPr>
          <w:rFonts w:asciiTheme="minorHAnsi" w:hAnsiTheme="minorHAnsi" w:cstheme="minorHAnsi"/>
          <w:sz w:val="22"/>
          <w:szCs w:val="22"/>
          <w:lang w:eastAsia="en-US"/>
        </w:rPr>
        <w:t xml:space="preserve"> (Presidente)</w:t>
      </w:r>
    </w:p>
    <w:p w14:paraId="5DE6469A" w14:textId="77777777" w:rsidR="00C93B74" w:rsidRPr="00AD71B8" w:rsidRDefault="00C93B74" w:rsidP="00C93B74">
      <w:pPr>
        <w:jc w:val="center"/>
        <w:rPr>
          <w:rFonts w:asciiTheme="minorHAnsi" w:hAnsiTheme="minorHAnsi" w:cstheme="minorHAnsi"/>
          <w:sz w:val="14"/>
          <w:szCs w:val="14"/>
          <w:lang w:eastAsia="en-US"/>
        </w:rPr>
      </w:pPr>
    </w:p>
    <w:p w14:paraId="662F5BC8" w14:textId="77777777" w:rsidR="00C93B74" w:rsidRPr="00875FC1" w:rsidRDefault="00C93B74" w:rsidP="00C93B74">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JOSÉ MIGUEL ALECRIM DUARTE</w:t>
      </w:r>
      <w:r w:rsidRPr="00875FC1">
        <w:rPr>
          <w:rFonts w:asciiTheme="minorHAnsi" w:hAnsiTheme="minorHAnsi" w:cstheme="minorHAnsi"/>
          <w:sz w:val="22"/>
          <w:szCs w:val="22"/>
          <w:lang w:eastAsia="en-US"/>
        </w:rPr>
        <w:t xml:space="preserve"> (Vogal)</w:t>
      </w:r>
    </w:p>
    <w:p w14:paraId="41E0FFB1" w14:textId="77777777" w:rsidR="00C93B74" w:rsidRPr="00AD71B8" w:rsidRDefault="00C93B74" w:rsidP="00C93B74">
      <w:pPr>
        <w:jc w:val="center"/>
        <w:rPr>
          <w:rFonts w:asciiTheme="minorHAnsi" w:hAnsiTheme="minorHAnsi" w:cstheme="minorHAnsi"/>
          <w:sz w:val="14"/>
          <w:szCs w:val="14"/>
          <w:lang w:eastAsia="en-US"/>
        </w:rPr>
      </w:pPr>
    </w:p>
    <w:p w14:paraId="6FBE02B0" w14:textId="77777777" w:rsidR="00C93B74" w:rsidRDefault="00C93B74" w:rsidP="00C93B74">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MARIA ONILDA MAIA CONDEÇAS OLIVEIRA SOUSA</w:t>
      </w:r>
      <w:r w:rsidRPr="00875FC1">
        <w:rPr>
          <w:rFonts w:asciiTheme="minorHAnsi" w:hAnsiTheme="minorHAnsi" w:cstheme="minorHAnsi"/>
          <w:sz w:val="22"/>
          <w:szCs w:val="22"/>
          <w:lang w:eastAsia="en-US"/>
        </w:rPr>
        <w:t xml:space="preserve"> (Vogal)</w:t>
      </w:r>
    </w:p>
    <w:p w14:paraId="677A0E86" w14:textId="77777777" w:rsidR="00C93B74" w:rsidRPr="00AD71B8" w:rsidRDefault="00C93B74" w:rsidP="00C93B74">
      <w:pPr>
        <w:jc w:val="center"/>
        <w:rPr>
          <w:rFonts w:asciiTheme="minorHAnsi" w:hAnsiTheme="minorHAnsi" w:cstheme="minorHAnsi"/>
          <w:sz w:val="14"/>
          <w:szCs w:val="14"/>
          <w:lang w:eastAsia="en-US"/>
        </w:rPr>
      </w:pPr>
    </w:p>
    <w:p w14:paraId="508C1CCB" w14:textId="77777777" w:rsidR="00C93B74" w:rsidRPr="00875FC1" w:rsidRDefault="00C93B74" w:rsidP="00C93B74">
      <w:pPr>
        <w:jc w:val="center"/>
        <w:rPr>
          <w:rFonts w:asciiTheme="minorHAnsi" w:hAnsiTheme="minorHAnsi" w:cstheme="minorHAnsi"/>
          <w:sz w:val="22"/>
          <w:szCs w:val="22"/>
          <w:lang w:eastAsia="en-US"/>
        </w:rPr>
      </w:pPr>
      <w:r w:rsidRPr="008F3C77">
        <w:rPr>
          <w:rFonts w:asciiTheme="minorHAnsi" w:hAnsiTheme="minorHAnsi" w:cstheme="minorHAnsi"/>
          <w:sz w:val="22"/>
          <w:szCs w:val="22"/>
          <w:lang w:eastAsia="en-US"/>
        </w:rPr>
        <w:t>NELSON MANUEL COSTA DOS SANTOS (Vogal suplente)</w:t>
      </w:r>
    </w:p>
    <w:p w14:paraId="2A398A17" w14:textId="77777777" w:rsidR="00C93B74" w:rsidRPr="00AD71B8" w:rsidRDefault="00C93B74" w:rsidP="00C93B74">
      <w:pPr>
        <w:jc w:val="center"/>
        <w:rPr>
          <w:rFonts w:asciiTheme="minorHAnsi" w:hAnsiTheme="minorHAnsi" w:cstheme="minorHAnsi"/>
          <w:sz w:val="14"/>
          <w:szCs w:val="14"/>
          <w:lang w:eastAsia="en-US"/>
        </w:rPr>
      </w:pPr>
    </w:p>
    <w:p w14:paraId="7C734EDF" w14:textId="77777777" w:rsidR="00C93B74" w:rsidRPr="00071159" w:rsidRDefault="00C93B74" w:rsidP="00C93B74">
      <w:pPr>
        <w:rPr>
          <w:rFonts w:asciiTheme="minorHAnsi" w:hAnsiTheme="minorHAnsi" w:cstheme="minorHAnsi"/>
          <w:b/>
          <w:i/>
          <w:sz w:val="20"/>
          <w:szCs w:val="20"/>
          <w:lang w:eastAsia="en-US"/>
        </w:rPr>
      </w:pPr>
      <w:r w:rsidRPr="00071159">
        <w:rPr>
          <w:rFonts w:asciiTheme="minorHAnsi" w:hAnsiTheme="minorHAnsi" w:cstheme="minorHAnsi"/>
          <w:b/>
          <w:i/>
          <w:sz w:val="20"/>
          <w:szCs w:val="20"/>
          <w:lang w:eastAsia="en-US"/>
        </w:rPr>
        <w:t>Mandato do Conselho Fiscal:</w:t>
      </w:r>
    </w:p>
    <w:p w14:paraId="6EA5BBE4" w14:textId="443A1613" w:rsidR="00C93B74" w:rsidRPr="00AD71B8" w:rsidRDefault="00C93B74" w:rsidP="00C93B74">
      <w:pPr>
        <w:rPr>
          <w:rFonts w:asciiTheme="minorHAnsi" w:hAnsiTheme="minorHAnsi" w:cstheme="minorHAnsi"/>
          <w:sz w:val="18"/>
          <w:szCs w:val="18"/>
          <w:lang w:eastAsia="en-US"/>
        </w:rPr>
      </w:pPr>
      <w:r w:rsidRPr="00AD71B8">
        <w:rPr>
          <w:rFonts w:asciiTheme="minorHAnsi" w:hAnsiTheme="minorHAnsi" w:cstheme="minorHAnsi"/>
          <w:sz w:val="18"/>
          <w:szCs w:val="18"/>
          <w:lang w:eastAsia="en-US"/>
        </w:rPr>
        <w:t>Prazo de duração do mandato: Triénio 20</w:t>
      </w:r>
      <w:r>
        <w:rPr>
          <w:rFonts w:asciiTheme="minorHAnsi" w:hAnsiTheme="minorHAnsi" w:cstheme="minorHAnsi"/>
          <w:sz w:val="18"/>
          <w:szCs w:val="18"/>
          <w:lang w:eastAsia="en-US"/>
        </w:rPr>
        <w:t>2</w:t>
      </w:r>
      <w:r w:rsidR="0070747C">
        <w:rPr>
          <w:rFonts w:asciiTheme="minorHAnsi" w:hAnsiTheme="minorHAnsi" w:cstheme="minorHAnsi"/>
          <w:sz w:val="18"/>
          <w:szCs w:val="18"/>
          <w:lang w:eastAsia="en-US"/>
        </w:rPr>
        <w:t>5</w:t>
      </w:r>
      <w:r w:rsidRPr="00AD71B8">
        <w:rPr>
          <w:rFonts w:asciiTheme="minorHAnsi" w:hAnsiTheme="minorHAnsi" w:cstheme="minorHAnsi"/>
          <w:sz w:val="18"/>
          <w:szCs w:val="18"/>
          <w:lang w:eastAsia="en-US"/>
        </w:rPr>
        <w:t>-202</w:t>
      </w:r>
      <w:r w:rsidR="0070747C">
        <w:rPr>
          <w:rFonts w:asciiTheme="minorHAnsi" w:hAnsiTheme="minorHAnsi" w:cstheme="minorHAnsi"/>
          <w:sz w:val="18"/>
          <w:szCs w:val="18"/>
          <w:lang w:eastAsia="en-US"/>
        </w:rPr>
        <w:t>7</w:t>
      </w:r>
    </w:p>
    <w:p w14:paraId="672615D5" w14:textId="13B11D24" w:rsidR="00C93B74" w:rsidRPr="00AD71B8" w:rsidRDefault="00C93B74" w:rsidP="00C93B74">
      <w:pPr>
        <w:rPr>
          <w:rFonts w:asciiTheme="minorHAnsi" w:hAnsiTheme="minorHAnsi" w:cstheme="minorHAnsi"/>
          <w:sz w:val="18"/>
          <w:szCs w:val="18"/>
          <w:lang w:eastAsia="en-US"/>
        </w:rPr>
      </w:pPr>
      <w:r w:rsidRPr="007E11BD">
        <w:rPr>
          <w:rFonts w:asciiTheme="minorHAnsi" w:hAnsiTheme="minorHAnsi" w:cstheme="minorHAnsi"/>
          <w:sz w:val="18"/>
          <w:szCs w:val="18"/>
          <w:lang w:eastAsia="en-US"/>
        </w:rPr>
        <w:t xml:space="preserve">Data da Deliberação Social Unânime por Escrito: </w:t>
      </w:r>
      <w:r>
        <w:rPr>
          <w:rFonts w:asciiTheme="minorHAnsi" w:hAnsiTheme="minorHAnsi" w:cstheme="minorHAnsi"/>
          <w:sz w:val="18"/>
          <w:szCs w:val="18"/>
          <w:lang w:eastAsia="en-US"/>
        </w:rPr>
        <w:t>3</w:t>
      </w:r>
      <w:r w:rsidR="0070747C">
        <w:rPr>
          <w:rFonts w:asciiTheme="minorHAnsi" w:hAnsiTheme="minorHAnsi" w:cstheme="minorHAnsi"/>
          <w:sz w:val="18"/>
          <w:szCs w:val="18"/>
          <w:lang w:eastAsia="en-US"/>
        </w:rPr>
        <w:t>1</w:t>
      </w:r>
      <w:r w:rsidRPr="007E11BD">
        <w:rPr>
          <w:rFonts w:asciiTheme="minorHAnsi" w:hAnsiTheme="minorHAnsi" w:cstheme="minorHAnsi"/>
          <w:sz w:val="18"/>
          <w:szCs w:val="18"/>
          <w:lang w:eastAsia="en-US"/>
        </w:rPr>
        <w:t>/0</w:t>
      </w:r>
      <w:r w:rsidR="0070747C">
        <w:rPr>
          <w:rFonts w:asciiTheme="minorHAnsi" w:hAnsiTheme="minorHAnsi" w:cstheme="minorHAnsi"/>
          <w:sz w:val="18"/>
          <w:szCs w:val="18"/>
          <w:lang w:eastAsia="en-US"/>
        </w:rPr>
        <w:t>1</w:t>
      </w:r>
      <w:r w:rsidRPr="007E11BD">
        <w:rPr>
          <w:rFonts w:asciiTheme="minorHAnsi" w:hAnsiTheme="minorHAnsi" w:cstheme="minorHAnsi"/>
          <w:sz w:val="18"/>
          <w:szCs w:val="18"/>
          <w:lang w:eastAsia="en-US"/>
        </w:rPr>
        <w:t>/20</w:t>
      </w:r>
      <w:r>
        <w:rPr>
          <w:rFonts w:asciiTheme="minorHAnsi" w:hAnsiTheme="minorHAnsi" w:cstheme="minorHAnsi"/>
          <w:sz w:val="18"/>
          <w:szCs w:val="18"/>
          <w:lang w:eastAsia="en-US"/>
        </w:rPr>
        <w:t>2</w:t>
      </w:r>
      <w:r w:rsidR="0070747C">
        <w:rPr>
          <w:rFonts w:asciiTheme="minorHAnsi" w:hAnsiTheme="minorHAnsi" w:cstheme="minorHAnsi"/>
          <w:sz w:val="18"/>
          <w:szCs w:val="18"/>
          <w:lang w:eastAsia="en-US"/>
        </w:rPr>
        <w:t>5</w:t>
      </w:r>
    </w:p>
    <w:p w14:paraId="3B207DE5" w14:textId="77777777" w:rsidR="00C93B74" w:rsidRPr="00826C19" w:rsidRDefault="00C93B74" w:rsidP="00C93B74">
      <w:pPr>
        <w:rPr>
          <w:rFonts w:asciiTheme="minorHAnsi" w:hAnsiTheme="minorHAnsi" w:cstheme="minorHAnsi"/>
          <w:sz w:val="16"/>
          <w:szCs w:val="16"/>
          <w:lang w:eastAsia="en-US"/>
        </w:rPr>
      </w:pPr>
    </w:p>
    <w:p w14:paraId="688A9B25" w14:textId="77777777" w:rsidR="00C93B74" w:rsidRDefault="00C93B74" w:rsidP="00C93B74">
      <w:pPr>
        <w:rPr>
          <w:rFonts w:asciiTheme="minorHAnsi" w:hAnsiTheme="minorHAnsi" w:cstheme="minorHAnsi"/>
          <w:sz w:val="16"/>
          <w:szCs w:val="16"/>
          <w:lang w:eastAsia="en-US"/>
        </w:rPr>
      </w:pPr>
    </w:p>
    <w:p w14:paraId="286EDC4B" w14:textId="77777777" w:rsidR="00C93B74" w:rsidRDefault="00C93B74" w:rsidP="00C93B74">
      <w:pPr>
        <w:rPr>
          <w:rFonts w:asciiTheme="minorHAnsi" w:hAnsiTheme="minorHAnsi" w:cstheme="minorHAnsi"/>
          <w:sz w:val="16"/>
          <w:szCs w:val="16"/>
          <w:lang w:eastAsia="en-US"/>
        </w:rPr>
      </w:pPr>
    </w:p>
    <w:p w14:paraId="4005FAC5" w14:textId="77777777" w:rsidR="00C93B74" w:rsidRPr="00826C19" w:rsidRDefault="00C93B74" w:rsidP="00C93B74">
      <w:pPr>
        <w:rPr>
          <w:rFonts w:asciiTheme="minorHAnsi" w:hAnsiTheme="minorHAnsi" w:cstheme="minorHAnsi"/>
          <w:sz w:val="16"/>
          <w:szCs w:val="16"/>
          <w:lang w:eastAsia="en-US"/>
        </w:rPr>
      </w:pPr>
    </w:p>
    <w:p w14:paraId="40722305" w14:textId="77777777" w:rsidR="00C93B74" w:rsidRDefault="00C93B74" w:rsidP="00C93B74">
      <w:pPr>
        <w:jc w:val="center"/>
        <w:rPr>
          <w:rFonts w:asciiTheme="minorHAnsi" w:hAnsiTheme="minorHAnsi" w:cstheme="minorHAnsi"/>
          <w:b/>
          <w:sz w:val="22"/>
          <w:szCs w:val="22"/>
          <w:lang w:eastAsia="en-US"/>
        </w:rPr>
      </w:pPr>
      <w:r w:rsidRPr="00875FC1">
        <w:rPr>
          <w:rFonts w:asciiTheme="minorHAnsi" w:hAnsiTheme="minorHAnsi" w:cstheme="minorHAnsi"/>
          <w:b/>
          <w:sz w:val="22"/>
          <w:szCs w:val="22"/>
          <w:lang w:eastAsia="en-US"/>
        </w:rPr>
        <w:t>Revisor (Efetivo)</w:t>
      </w:r>
    </w:p>
    <w:p w14:paraId="75B64D48" w14:textId="77777777" w:rsidR="00C93B74" w:rsidRPr="00654DDA" w:rsidRDefault="00C93B74" w:rsidP="00C93B74">
      <w:pPr>
        <w:jc w:val="center"/>
        <w:rPr>
          <w:rFonts w:asciiTheme="minorHAnsi" w:hAnsiTheme="minorHAnsi" w:cstheme="minorHAnsi"/>
          <w:sz w:val="22"/>
          <w:szCs w:val="22"/>
          <w:lang w:eastAsia="en-US"/>
        </w:rPr>
      </w:pPr>
      <w:r>
        <w:rPr>
          <w:rFonts w:asciiTheme="minorHAnsi" w:hAnsiTheme="minorHAnsi" w:cstheme="minorHAnsi"/>
          <w:sz w:val="22"/>
          <w:szCs w:val="22"/>
          <w:lang w:eastAsia="en-US"/>
        </w:rPr>
        <w:t>BDO</w:t>
      </w:r>
      <w:r w:rsidRPr="00654DDA">
        <w:rPr>
          <w:rFonts w:asciiTheme="minorHAnsi" w:hAnsiTheme="minorHAnsi" w:cstheme="minorHAnsi"/>
          <w:sz w:val="22"/>
          <w:szCs w:val="22"/>
          <w:lang w:eastAsia="en-US"/>
        </w:rPr>
        <w:t xml:space="preserve"> &amp; ASSOCIADOS, SROC, </w:t>
      </w:r>
      <w:r>
        <w:rPr>
          <w:rFonts w:asciiTheme="minorHAnsi" w:hAnsiTheme="minorHAnsi" w:cstheme="minorHAnsi"/>
          <w:sz w:val="22"/>
          <w:szCs w:val="22"/>
          <w:lang w:eastAsia="en-US"/>
        </w:rPr>
        <w:t>Lda.</w:t>
      </w:r>
    </w:p>
    <w:p w14:paraId="6DBFB485" w14:textId="77777777" w:rsidR="00C93B74" w:rsidRPr="00654DDA" w:rsidRDefault="00C93B74" w:rsidP="00C93B74">
      <w:pPr>
        <w:jc w:val="center"/>
        <w:rPr>
          <w:rFonts w:asciiTheme="minorHAnsi" w:hAnsiTheme="minorHAnsi" w:cstheme="minorHAnsi"/>
          <w:sz w:val="22"/>
          <w:szCs w:val="22"/>
          <w:lang w:eastAsia="en-US"/>
        </w:rPr>
      </w:pPr>
      <w:r w:rsidRPr="00654DDA">
        <w:rPr>
          <w:rFonts w:asciiTheme="minorHAnsi" w:hAnsiTheme="minorHAnsi" w:cstheme="minorHAnsi"/>
          <w:sz w:val="22"/>
          <w:szCs w:val="22"/>
          <w:lang w:eastAsia="en-US"/>
        </w:rPr>
        <w:t xml:space="preserve">Representada por: </w:t>
      </w:r>
      <w:r w:rsidRPr="00411AAE">
        <w:rPr>
          <w:rFonts w:asciiTheme="minorHAnsi" w:hAnsiTheme="minorHAnsi" w:cstheme="minorHAnsi"/>
          <w:sz w:val="22"/>
          <w:szCs w:val="22"/>
          <w:lang w:eastAsia="en-US"/>
        </w:rPr>
        <w:t>ANABELA VAZ BORGES</w:t>
      </w:r>
      <w:r w:rsidRPr="00654DDA">
        <w:rPr>
          <w:rFonts w:asciiTheme="minorHAnsi" w:hAnsiTheme="minorHAnsi" w:cstheme="minorHAnsi"/>
          <w:sz w:val="22"/>
          <w:szCs w:val="22"/>
          <w:lang w:eastAsia="en-US"/>
        </w:rPr>
        <w:t>, ROC n.º 1</w:t>
      </w:r>
      <w:r>
        <w:rPr>
          <w:rFonts w:asciiTheme="minorHAnsi" w:hAnsiTheme="minorHAnsi" w:cstheme="minorHAnsi"/>
          <w:sz w:val="22"/>
          <w:szCs w:val="22"/>
          <w:lang w:eastAsia="en-US"/>
        </w:rPr>
        <w:t>358</w:t>
      </w:r>
    </w:p>
    <w:p w14:paraId="68FF332A" w14:textId="77777777" w:rsidR="00C93B74" w:rsidRPr="00FB294F" w:rsidRDefault="00C93B74" w:rsidP="00C93B74">
      <w:pPr>
        <w:rPr>
          <w:rFonts w:asciiTheme="minorHAnsi" w:hAnsiTheme="minorHAnsi" w:cstheme="minorHAnsi"/>
          <w:b/>
          <w:iCs/>
          <w:sz w:val="20"/>
          <w:szCs w:val="20"/>
          <w:lang w:eastAsia="en-US"/>
        </w:rPr>
      </w:pPr>
    </w:p>
    <w:p w14:paraId="215AB3BE" w14:textId="77777777" w:rsidR="00C93B74" w:rsidRPr="00D537ED" w:rsidRDefault="00C93B74" w:rsidP="00C93B74">
      <w:pPr>
        <w:rPr>
          <w:rFonts w:asciiTheme="minorHAnsi" w:hAnsiTheme="minorHAnsi" w:cstheme="minorHAnsi"/>
          <w:b/>
          <w:i/>
          <w:sz w:val="20"/>
          <w:szCs w:val="20"/>
          <w:lang w:eastAsia="en-US"/>
        </w:rPr>
      </w:pPr>
      <w:bookmarkStart w:id="14" w:name="_Toc417547829"/>
      <w:r w:rsidRPr="00D537ED">
        <w:rPr>
          <w:rFonts w:asciiTheme="minorHAnsi" w:hAnsiTheme="minorHAnsi" w:cstheme="minorHAnsi"/>
          <w:b/>
          <w:i/>
          <w:sz w:val="20"/>
          <w:szCs w:val="20"/>
          <w:lang w:eastAsia="en-US"/>
        </w:rPr>
        <w:t>Mandato do Revisor Oficial de Contas:</w:t>
      </w:r>
    </w:p>
    <w:p w14:paraId="2FAE3F90" w14:textId="77777777" w:rsidR="00C93B74" w:rsidRPr="00D537ED" w:rsidRDefault="00C93B74" w:rsidP="00C93B74">
      <w:pPr>
        <w:ind w:left="142" w:hanging="142"/>
        <w:rPr>
          <w:rFonts w:asciiTheme="minorHAnsi" w:hAnsiTheme="minorHAnsi" w:cstheme="minorHAnsi"/>
          <w:sz w:val="16"/>
          <w:szCs w:val="16"/>
          <w:lang w:eastAsia="en-US"/>
        </w:rPr>
      </w:pPr>
      <w:r w:rsidRPr="00D537ED">
        <w:rPr>
          <w:rFonts w:asciiTheme="minorHAnsi" w:hAnsiTheme="minorHAnsi" w:cstheme="minorHAnsi"/>
          <w:sz w:val="18"/>
          <w:szCs w:val="18"/>
          <w:lang w:eastAsia="en-US"/>
        </w:rPr>
        <w:t>Prazo de duração do mandato: 2023-2025</w:t>
      </w:r>
    </w:p>
    <w:p w14:paraId="4AC9525A" w14:textId="77777777" w:rsidR="00C93B74" w:rsidRPr="00654DDA" w:rsidRDefault="00C93B74" w:rsidP="00C93B74">
      <w:pPr>
        <w:rPr>
          <w:rFonts w:asciiTheme="minorHAnsi" w:hAnsiTheme="minorHAnsi" w:cstheme="minorHAnsi"/>
          <w:sz w:val="18"/>
          <w:szCs w:val="18"/>
          <w:lang w:eastAsia="en-US"/>
        </w:rPr>
      </w:pPr>
      <w:r w:rsidRPr="00D537ED">
        <w:rPr>
          <w:rFonts w:asciiTheme="minorHAnsi" w:hAnsiTheme="minorHAnsi" w:cstheme="minorHAnsi"/>
          <w:sz w:val="18"/>
          <w:szCs w:val="18"/>
          <w:lang w:eastAsia="en-US"/>
        </w:rPr>
        <w:t>Data da deliberação social unânime por escrito do ROC Efetivo: 28/07/2023</w:t>
      </w:r>
    </w:p>
    <w:p w14:paraId="1FAA8B86" w14:textId="77777777" w:rsidR="007D1986" w:rsidRPr="00864065" w:rsidRDefault="007D1986" w:rsidP="007D1986">
      <w:pPr>
        <w:rPr>
          <w:rFonts w:asciiTheme="minorHAnsi" w:hAnsiTheme="minorHAnsi" w:cstheme="minorHAnsi"/>
          <w:sz w:val="18"/>
          <w:szCs w:val="18"/>
          <w:lang w:eastAsia="en-US"/>
        </w:rPr>
      </w:pPr>
      <w:r w:rsidRPr="008274AB">
        <w:rPr>
          <w:rFonts w:asciiTheme="minorHAnsi" w:hAnsiTheme="minorHAnsi" w:cstheme="minorHAnsi"/>
          <w:sz w:val="18"/>
          <w:szCs w:val="18"/>
          <w:lang w:eastAsia="en-US"/>
        </w:rPr>
        <w:t>A nomeação da Revisora Suplente aguarda deliberação do acionista.</w:t>
      </w:r>
    </w:p>
    <w:p w14:paraId="624EADBE" w14:textId="77777777" w:rsidR="00C93B74" w:rsidRDefault="00C93B74" w:rsidP="00C93B74">
      <w:pPr>
        <w:rPr>
          <w:rFonts w:asciiTheme="minorHAnsi" w:hAnsiTheme="minorHAnsi" w:cstheme="minorHAnsi"/>
          <w:vertAlign w:val="superscript"/>
        </w:rPr>
      </w:pPr>
    </w:p>
    <w:p w14:paraId="04EE9B1A" w14:textId="77777777" w:rsidR="00DD6F3A" w:rsidRDefault="00DD6F3A">
      <w:bookmarkStart w:id="15" w:name="_Toc163060203"/>
    </w:p>
    <w:p w14:paraId="1401153C" w14:textId="77777777" w:rsidR="00DD6F3A" w:rsidRDefault="00DD6F3A"/>
    <w:p w14:paraId="7F6C4C9A" w14:textId="7E222377" w:rsidR="00C93B74" w:rsidRPr="00E50831" w:rsidRDefault="00C93B74" w:rsidP="00E50831">
      <w:pPr>
        <w:pStyle w:val="Ttulo22"/>
      </w:pPr>
      <w:bookmarkStart w:id="16" w:name="_Toc221618457"/>
      <w:r w:rsidRPr="00E50831">
        <w:lastRenderedPageBreak/>
        <w:t>1.3 Enquadramento Macroeconómico</w:t>
      </w:r>
      <w:bookmarkEnd w:id="14"/>
      <w:bookmarkEnd w:id="15"/>
      <w:bookmarkEnd w:id="16"/>
    </w:p>
    <w:p w14:paraId="78C3B670" w14:textId="77777777" w:rsidR="00C93B74" w:rsidRPr="00BA1DAA" w:rsidRDefault="00C93B74" w:rsidP="00DF561C">
      <w:pPr>
        <w:jc w:val="both"/>
        <w:rPr>
          <w:rFonts w:asciiTheme="minorHAnsi" w:hAnsiTheme="minorHAnsi" w:cstheme="minorHAnsi"/>
          <w:sz w:val="16"/>
          <w:szCs w:val="16"/>
          <w:u w:val="single"/>
        </w:rPr>
      </w:pPr>
    </w:p>
    <w:p w14:paraId="073AE8B1" w14:textId="77777777" w:rsidR="00C93B74" w:rsidRPr="005154DF" w:rsidRDefault="00C93B74" w:rsidP="00DF561C">
      <w:pPr>
        <w:jc w:val="both"/>
        <w:rPr>
          <w:rFonts w:asciiTheme="minorHAnsi" w:hAnsiTheme="minorHAnsi" w:cstheme="minorHAnsi"/>
          <w:i/>
          <w:sz w:val="22"/>
          <w:szCs w:val="22"/>
        </w:rPr>
      </w:pPr>
      <w:bookmarkStart w:id="17" w:name="_Hlk70368706"/>
      <w:r w:rsidRPr="005154DF">
        <w:rPr>
          <w:rFonts w:asciiTheme="minorHAnsi" w:hAnsiTheme="minorHAnsi" w:cstheme="minorHAnsi"/>
          <w:i/>
          <w:sz w:val="22"/>
          <w:szCs w:val="22"/>
        </w:rPr>
        <w:t>Enquadramento Internacional</w:t>
      </w:r>
    </w:p>
    <w:p w14:paraId="79FD8778" w14:textId="77777777" w:rsidR="00C93B74" w:rsidRDefault="00C93B74" w:rsidP="00DF561C">
      <w:pPr>
        <w:jc w:val="both"/>
        <w:rPr>
          <w:rFonts w:asciiTheme="minorHAnsi" w:hAnsiTheme="minorHAnsi" w:cstheme="minorHAnsi"/>
          <w:sz w:val="22"/>
          <w:szCs w:val="22"/>
        </w:rPr>
      </w:pPr>
    </w:p>
    <w:p w14:paraId="6A4C52B3" w14:textId="77777777" w:rsidR="00074449" w:rsidRDefault="00074449" w:rsidP="00DF561C">
      <w:pPr>
        <w:jc w:val="both"/>
        <w:rPr>
          <w:rFonts w:asciiTheme="minorHAnsi" w:hAnsiTheme="minorHAnsi" w:cstheme="minorHAnsi"/>
          <w:sz w:val="22"/>
          <w:szCs w:val="22"/>
        </w:rPr>
      </w:pPr>
      <w:r w:rsidRPr="00074449">
        <w:rPr>
          <w:rFonts w:asciiTheme="minorHAnsi" w:hAnsiTheme="minorHAnsi" w:cstheme="minorHAnsi"/>
          <w:sz w:val="22"/>
          <w:szCs w:val="22"/>
        </w:rPr>
        <w:t>O ano de 2025 foi caraterizado em termos macroeconómicos por uma redução da inflação face aos anos anteriores, apesar da turbulência causada pela política comercial dos EUA para com uma série de países.</w:t>
      </w:r>
    </w:p>
    <w:p w14:paraId="156119AD" w14:textId="77777777" w:rsidR="00074449" w:rsidRPr="00074449" w:rsidRDefault="00074449" w:rsidP="00DF561C">
      <w:pPr>
        <w:jc w:val="both"/>
        <w:rPr>
          <w:rFonts w:asciiTheme="minorHAnsi" w:hAnsiTheme="minorHAnsi" w:cstheme="minorHAnsi"/>
          <w:sz w:val="22"/>
          <w:szCs w:val="22"/>
        </w:rPr>
      </w:pPr>
    </w:p>
    <w:p w14:paraId="0D0D80AF" w14:textId="4DEA905C" w:rsidR="00074449" w:rsidRDefault="00074449" w:rsidP="00DF561C">
      <w:pPr>
        <w:jc w:val="both"/>
        <w:rPr>
          <w:rFonts w:asciiTheme="minorHAnsi" w:hAnsiTheme="minorHAnsi" w:cstheme="minorHAnsi"/>
          <w:sz w:val="22"/>
          <w:szCs w:val="22"/>
        </w:rPr>
      </w:pPr>
      <w:r w:rsidRPr="00074449">
        <w:rPr>
          <w:rFonts w:asciiTheme="minorHAnsi" w:hAnsiTheme="minorHAnsi" w:cstheme="minorHAnsi"/>
          <w:sz w:val="22"/>
          <w:szCs w:val="22"/>
        </w:rPr>
        <w:t xml:space="preserve">A evolução da inflação possibilitou ao Banco Central Europeu (BCE) e à Reserva Federal Americana (FED) baixar as taxas de juro em 2025 em 1% e 0,75% respetivamente. O ano terminou com a </w:t>
      </w:r>
      <w:proofErr w:type="spellStart"/>
      <w:r w:rsidRPr="00074449">
        <w:rPr>
          <w:rFonts w:asciiTheme="minorHAnsi" w:hAnsiTheme="minorHAnsi" w:cstheme="minorHAnsi"/>
          <w:sz w:val="22"/>
          <w:szCs w:val="22"/>
        </w:rPr>
        <w:t>Refi</w:t>
      </w:r>
      <w:proofErr w:type="spellEnd"/>
      <w:r w:rsidRPr="00074449">
        <w:rPr>
          <w:rFonts w:asciiTheme="minorHAnsi" w:hAnsiTheme="minorHAnsi" w:cstheme="minorHAnsi"/>
          <w:sz w:val="22"/>
          <w:szCs w:val="22"/>
        </w:rPr>
        <w:t xml:space="preserve"> Rate do BCE nos 2,15% e a com a </w:t>
      </w:r>
      <w:proofErr w:type="spellStart"/>
      <w:r w:rsidRPr="00074449">
        <w:rPr>
          <w:rFonts w:asciiTheme="minorHAnsi" w:hAnsiTheme="minorHAnsi" w:cstheme="minorHAnsi"/>
          <w:sz w:val="22"/>
          <w:szCs w:val="22"/>
        </w:rPr>
        <w:t>Fed</w:t>
      </w:r>
      <w:proofErr w:type="spellEnd"/>
      <w:r w:rsidRPr="00074449">
        <w:rPr>
          <w:rFonts w:asciiTheme="minorHAnsi" w:hAnsiTheme="minorHAnsi" w:cstheme="minorHAnsi"/>
          <w:sz w:val="22"/>
          <w:szCs w:val="22"/>
        </w:rPr>
        <w:t xml:space="preserve"> Funds (FED) no intervalo de 3,5% - 3,75%.</w:t>
      </w:r>
    </w:p>
    <w:p w14:paraId="56254535" w14:textId="77777777" w:rsidR="00074449" w:rsidRPr="00074449" w:rsidRDefault="00074449" w:rsidP="00DF561C">
      <w:pPr>
        <w:jc w:val="both"/>
        <w:rPr>
          <w:rFonts w:asciiTheme="minorHAnsi" w:hAnsiTheme="minorHAnsi" w:cstheme="minorHAnsi"/>
          <w:sz w:val="22"/>
          <w:szCs w:val="22"/>
        </w:rPr>
      </w:pPr>
    </w:p>
    <w:p w14:paraId="5A0E8361" w14:textId="77777777" w:rsidR="00074449" w:rsidRDefault="00074449" w:rsidP="00DF561C">
      <w:pPr>
        <w:jc w:val="both"/>
        <w:rPr>
          <w:rFonts w:asciiTheme="minorHAnsi" w:hAnsiTheme="minorHAnsi" w:cstheme="minorHAnsi"/>
          <w:sz w:val="22"/>
          <w:szCs w:val="22"/>
        </w:rPr>
      </w:pPr>
      <w:r w:rsidRPr="00074449">
        <w:rPr>
          <w:rFonts w:asciiTheme="minorHAnsi" w:hAnsiTheme="minorHAnsi" w:cstheme="minorHAnsi"/>
          <w:sz w:val="22"/>
          <w:szCs w:val="22"/>
        </w:rPr>
        <w:t xml:space="preserve">As previsões económicas para os diferentes blocos têm em conta os efeitos da “guerra” tarifária. Segundo os dados do </w:t>
      </w:r>
      <w:proofErr w:type="spellStart"/>
      <w:r w:rsidRPr="00074449">
        <w:rPr>
          <w:rFonts w:asciiTheme="minorHAnsi" w:hAnsiTheme="minorHAnsi" w:cstheme="minorHAnsi"/>
          <w:sz w:val="22"/>
          <w:szCs w:val="22"/>
        </w:rPr>
        <w:t>World</w:t>
      </w:r>
      <w:proofErr w:type="spellEnd"/>
      <w:r w:rsidRPr="00074449">
        <w:rPr>
          <w:rFonts w:asciiTheme="minorHAnsi" w:hAnsiTheme="minorHAnsi" w:cstheme="minorHAnsi"/>
          <w:sz w:val="22"/>
          <w:szCs w:val="22"/>
        </w:rPr>
        <w:t xml:space="preserve"> </w:t>
      </w:r>
      <w:proofErr w:type="spellStart"/>
      <w:r w:rsidRPr="00074449">
        <w:rPr>
          <w:rFonts w:asciiTheme="minorHAnsi" w:hAnsiTheme="minorHAnsi" w:cstheme="minorHAnsi"/>
          <w:sz w:val="22"/>
          <w:szCs w:val="22"/>
        </w:rPr>
        <w:t>Economic</w:t>
      </w:r>
      <w:proofErr w:type="spellEnd"/>
      <w:r w:rsidRPr="00074449">
        <w:rPr>
          <w:rFonts w:asciiTheme="minorHAnsi" w:hAnsiTheme="minorHAnsi" w:cstheme="minorHAnsi"/>
          <w:sz w:val="22"/>
          <w:szCs w:val="22"/>
        </w:rPr>
        <w:t xml:space="preserve"> Outlook de outubro de 2025 do Fundo Monetário Internacional (FMI), o Produto Interno Bruto (PIB) mundial deverá ter crescido 3,2% em 2025, depois de ter progredido 3,3% em 2024.</w:t>
      </w:r>
    </w:p>
    <w:p w14:paraId="0A6D3DFE" w14:textId="77777777" w:rsidR="001D5B01" w:rsidRPr="00074449" w:rsidRDefault="001D5B01" w:rsidP="00DF561C">
      <w:pPr>
        <w:jc w:val="both"/>
        <w:rPr>
          <w:rFonts w:asciiTheme="minorHAnsi" w:hAnsiTheme="minorHAnsi" w:cstheme="minorHAnsi"/>
          <w:sz w:val="22"/>
          <w:szCs w:val="22"/>
        </w:rPr>
      </w:pPr>
    </w:p>
    <w:p w14:paraId="79D2F6DA" w14:textId="77777777" w:rsidR="00074449" w:rsidRDefault="00074449" w:rsidP="00DF561C">
      <w:pPr>
        <w:jc w:val="both"/>
        <w:rPr>
          <w:rFonts w:asciiTheme="minorHAnsi" w:hAnsiTheme="minorHAnsi" w:cstheme="minorHAnsi"/>
          <w:sz w:val="22"/>
          <w:szCs w:val="22"/>
        </w:rPr>
      </w:pPr>
      <w:r w:rsidRPr="00074449">
        <w:rPr>
          <w:rFonts w:asciiTheme="minorHAnsi" w:hAnsiTheme="minorHAnsi" w:cstheme="minorHAnsi"/>
          <w:sz w:val="22"/>
          <w:szCs w:val="22"/>
        </w:rPr>
        <w:t xml:space="preserve">A economia americana deverá ter registado um crescimento de 2,0% em 2025 (abaixo dos 2,8% em 2024) e a economia da zona euro deverá ter crescido no mesmo período 1,2% (acima dos 0,9% em 2024). </w:t>
      </w:r>
    </w:p>
    <w:p w14:paraId="2C305CA8" w14:textId="77777777" w:rsidR="00074449" w:rsidRPr="00074449" w:rsidRDefault="00074449" w:rsidP="00DF561C">
      <w:pPr>
        <w:jc w:val="both"/>
        <w:rPr>
          <w:rFonts w:asciiTheme="minorHAnsi" w:hAnsiTheme="minorHAnsi" w:cstheme="minorHAnsi"/>
          <w:sz w:val="22"/>
          <w:szCs w:val="22"/>
        </w:rPr>
      </w:pPr>
    </w:p>
    <w:p w14:paraId="2D550880" w14:textId="77777777" w:rsidR="00074449" w:rsidRDefault="00074449" w:rsidP="00DF561C">
      <w:pPr>
        <w:jc w:val="both"/>
        <w:rPr>
          <w:rFonts w:asciiTheme="minorHAnsi" w:hAnsiTheme="minorHAnsi" w:cstheme="minorHAnsi"/>
          <w:sz w:val="22"/>
          <w:szCs w:val="22"/>
        </w:rPr>
      </w:pPr>
      <w:r w:rsidRPr="00074449">
        <w:rPr>
          <w:rFonts w:asciiTheme="minorHAnsi" w:hAnsiTheme="minorHAnsi" w:cstheme="minorHAnsi"/>
          <w:sz w:val="22"/>
          <w:szCs w:val="22"/>
        </w:rPr>
        <w:t xml:space="preserve">Na zona euro, a Alemanha continuou a evidenciar grandes dificuldades de crescimento. Após a recessão de -0,3% em 2023, e de -0,5% em 2024, o PIB da maior economia europeia deverá ter crescido apenas 0,2% em 2025. </w:t>
      </w:r>
    </w:p>
    <w:p w14:paraId="60E9B5EF" w14:textId="77777777" w:rsidR="001D5B01" w:rsidRPr="00074449" w:rsidRDefault="001D5B01" w:rsidP="00DF561C">
      <w:pPr>
        <w:jc w:val="both"/>
        <w:rPr>
          <w:rFonts w:asciiTheme="minorHAnsi" w:hAnsiTheme="minorHAnsi" w:cstheme="minorHAnsi"/>
          <w:sz w:val="22"/>
          <w:szCs w:val="22"/>
        </w:rPr>
      </w:pPr>
    </w:p>
    <w:p w14:paraId="3233E15B" w14:textId="77777777" w:rsidR="00074449" w:rsidRDefault="00074449" w:rsidP="00DF561C">
      <w:pPr>
        <w:jc w:val="both"/>
        <w:rPr>
          <w:rFonts w:asciiTheme="minorHAnsi" w:hAnsiTheme="minorHAnsi" w:cstheme="minorHAnsi"/>
          <w:sz w:val="22"/>
          <w:szCs w:val="22"/>
        </w:rPr>
      </w:pPr>
      <w:r w:rsidRPr="00074449">
        <w:rPr>
          <w:rFonts w:asciiTheme="minorHAnsi" w:hAnsiTheme="minorHAnsi" w:cstheme="minorHAnsi"/>
          <w:sz w:val="22"/>
          <w:szCs w:val="22"/>
        </w:rPr>
        <w:t>Aliás as 3 maiores economias europeias, Alemanha, França e Itália, deverão ter crescido abaixo de 1% e as estimativas para 2026 também apontam para esse cenário, o que revela bem as dificuldades de crescimento da zona euro.</w:t>
      </w:r>
    </w:p>
    <w:p w14:paraId="650A4994" w14:textId="77777777" w:rsidR="001D5B01" w:rsidRPr="00074449" w:rsidRDefault="001D5B01" w:rsidP="00DF561C">
      <w:pPr>
        <w:jc w:val="both"/>
        <w:rPr>
          <w:rFonts w:asciiTheme="minorHAnsi" w:hAnsiTheme="minorHAnsi" w:cstheme="minorHAnsi"/>
          <w:sz w:val="22"/>
          <w:szCs w:val="22"/>
        </w:rPr>
      </w:pPr>
    </w:p>
    <w:p w14:paraId="0B592525" w14:textId="77777777" w:rsidR="00074449" w:rsidRDefault="00074449" w:rsidP="00DF561C">
      <w:pPr>
        <w:jc w:val="both"/>
        <w:rPr>
          <w:rFonts w:asciiTheme="minorHAnsi" w:hAnsiTheme="minorHAnsi" w:cstheme="minorHAnsi"/>
          <w:sz w:val="22"/>
          <w:szCs w:val="22"/>
        </w:rPr>
      </w:pPr>
      <w:r w:rsidRPr="00074449">
        <w:rPr>
          <w:rFonts w:asciiTheme="minorHAnsi" w:hAnsiTheme="minorHAnsi" w:cstheme="minorHAnsi"/>
          <w:sz w:val="22"/>
          <w:szCs w:val="22"/>
        </w:rPr>
        <w:t>Somente a Espanha, de entre as maiores economias, deve ter registado um crescimento significativo de 2,9% em 2025 e deverá crescer 2% em 2026.</w:t>
      </w:r>
    </w:p>
    <w:p w14:paraId="11EAC4E4" w14:textId="77777777" w:rsidR="001D5B01" w:rsidRPr="00074449" w:rsidRDefault="001D5B01" w:rsidP="00DF561C">
      <w:pPr>
        <w:jc w:val="both"/>
        <w:rPr>
          <w:rFonts w:asciiTheme="minorHAnsi" w:hAnsiTheme="minorHAnsi" w:cstheme="minorHAnsi"/>
          <w:sz w:val="22"/>
          <w:szCs w:val="22"/>
        </w:rPr>
      </w:pPr>
    </w:p>
    <w:p w14:paraId="75F2C20C" w14:textId="77777777" w:rsidR="00074449" w:rsidRPr="00074449" w:rsidRDefault="00074449" w:rsidP="00DF561C">
      <w:pPr>
        <w:jc w:val="both"/>
        <w:rPr>
          <w:rFonts w:asciiTheme="minorHAnsi" w:hAnsiTheme="minorHAnsi" w:cstheme="minorHAnsi"/>
          <w:sz w:val="22"/>
          <w:szCs w:val="22"/>
        </w:rPr>
      </w:pPr>
      <w:r w:rsidRPr="00074449">
        <w:rPr>
          <w:rFonts w:asciiTheme="minorHAnsi" w:hAnsiTheme="minorHAnsi" w:cstheme="minorHAnsi"/>
          <w:sz w:val="22"/>
          <w:szCs w:val="22"/>
        </w:rPr>
        <w:t>A economia chinesa deverá ter crescido 4,8% em 2025, abaixo dos 5% registados em 2024.</w:t>
      </w:r>
    </w:p>
    <w:p w14:paraId="7B769FFC" w14:textId="77777777" w:rsidR="00CC52BA" w:rsidRDefault="00CC52BA" w:rsidP="00DF561C">
      <w:pPr>
        <w:jc w:val="both"/>
        <w:rPr>
          <w:rFonts w:asciiTheme="minorHAnsi" w:hAnsiTheme="minorHAnsi" w:cstheme="minorHAnsi"/>
          <w:sz w:val="22"/>
          <w:szCs w:val="22"/>
        </w:rPr>
      </w:pPr>
    </w:p>
    <w:p w14:paraId="7D0B3CBE" w14:textId="6E52D9B3" w:rsidR="00074449" w:rsidRDefault="00074449" w:rsidP="00DF561C">
      <w:pPr>
        <w:jc w:val="both"/>
        <w:rPr>
          <w:rFonts w:asciiTheme="minorHAnsi" w:hAnsiTheme="minorHAnsi" w:cstheme="minorHAnsi"/>
          <w:sz w:val="22"/>
          <w:szCs w:val="22"/>
        </w:rPr>
      </w:pPr>
      <w:r w:rsidRPr="00074449">
        <w:rPr>
          <w:rFonts w:asciiTheme="minorHAnsi" w:hAnsiTheme="minorHAnsi" w:cstheme="minorHAnsi"/>
          <w:sz w:val="22"/>
          <w:szCs w:val="22"/>
        </w:rPr>
        <w:t xml:space="preserve">Relativamente aos outros principais países BRIC, o Brasil deverá ter registado um crescimento do PIB de 2,4% em 2025 (3,4% em 2024), a Rússia deverá ter crescido 0,6% (4,3% em 2024) e a Índia deverá ter registado uma evolução positiva de 6,6% (6,5% em 2024). </w:t>
      </w:r>
    </w:p>
    <w:p w14:paraId="10B924E6" w14:textId="77777777" w:rsidR="001D5B01" w:rsidRPr="00074449" w:rsidRDefault="001D5B01" w:rsidP="00DF561C">
      <w:pPr>
        <w:jc w:val="both"/>
        <w:rPr>
          <w:rFonts w:asciiTheme="minorHAnsi" w:hAnsiTheme="minorHAnsi" w:cstheme="minorHAnsi"/>
          <w:sz w:val="22"/>
          <w:szCs w:val="22"/>
        </w:rPr>
      </w:pPr>
    </w:p>
    <w:p w14:paraId="332644ED" w14:textId="77777777" w:rsidR="00074449" w:rsidRDefault="00074449" w:rsidP="00DF561C">
      <w:pPr>
        <w:jc w:val="both"/>
        <w:rPr>
          <w:rFonts w:asciiTheme="minorHAnsi" w:hAnsiTheme="minorHAnsi" w:cstheme="minorHAnsi"/>
          <w:sz w:val="22"/>
          <w:szCs w:val="22"/>
        </w:rPr>
      </w:pPr>
      <w:r w:rsidRPr="00074449">
        <w:rPr>
          <w:rFonts w:asciiTheme="minorHAnsi" w:hAnsiTheme="minorHAnsi" w:cstheme="minorHAnsi"/>
          <w:sz w:val="22"/>
          <w:szCs w:val="22"/>
        </w:rPr>
        <w:t>No que respeita à inflação, esta deverá ter sido de 2,5% em 2025 nas economias desenvolvidas e de 5,3% nas economias emergentes e em desenvolvimento.</w:t>
      </w:r>
    </w:p>
    <w:p w14:paraId="28FCA226" w14:textId="77777777" w:rsidR="001D5B01" w:rsidRPr="00074449" w:rsidRDefault="001D5B01" w:rsidP="00DF561C">
      <w:pPr>
        <w:jc w:val="both"/>
        <w:rPr>
          <w:rFonts w:asciiTheme="minorHAnsi" w:hAnsiTheme="minorHAnsi" w:cstheme="minorHAnsi"/>
          <w:sz w:val="22"/>
          <w:szCs w:val="22"/>
        </w:rPr>
      </w:pPr>
    </w:p>
    <w:p w14:paraId="5E2F1455" w14:textId="77777777" w:rsidR="00074449" w:rsidRDefault="00074449" w:rsidP="00DF561C">
      <w:pPr>
        <w:jc w:val="both"/>
        <w:rPr>
          <w:rFonts w:asciiTheme="minorHAnsi" w:hAnsiTheme="minorHAnsi" w:cstheme="minorHAnsi"/>
          <w:sz w:val="22"/>
          <w:szCs w:val="22"/>
        </w:rPr>
      </w:pPr>
      <w:r w:rsidRPr="00074449">
        <w:rPr>
          <w:rFonts w:asciiTheme="minorHAnsi" w:hAnsiTheme="minorHAnsi" w:cstheme="minorHAnsi"/>
          <w:sz w:val="22"/>
          <w:szCs w:val="22"/>
        </w:rPr>
        <w:t>Para 2026, a estimativa do FMI para a inflação para estes dois grupos de economias é de 2,2% e 4,7%.</w:t>
      </w:r>
    </w:p>
    <w:p w14:paraId="3E76DF46" w14:textId="77777777" w:rsidR="001D5B01" w:rsidRPr="00074449" w:rsidRDefault="001D5B01" w:rsidP="00DF561C">
      <w:pPr>
        <w:jc w:val="both"/>
        <w:rPr>
          <w:rFonts w:asciiTheme="minorHAnsi" w:hAnsiTheme="minorHAnsi" w:cstheme="minorHAnsi"/>
          <w:sz w:val="22"/>
          <w:szCs w:val="22"/>
        </w:rPr>
      </w:pPr>
    </w:p>
    <w:p w14:paraId="4F2BF1B8" w14:textId="77777777" w:rsidR="00074449" w:rsidRPr="00074449" w:rsidRDefault="00074449" w:rsidP="00DF561C">
      <w:pPr>
        <w:jc w:val="both"/>
        <w:rPr>
          <w:rFonts w:asciiTheme="minorHAnsi" w:hAnsiTheme="minorHAnsi" w:cstheme="minorHAnsi"/>
          <w:sz w:val="22"/>
          <w:szCs w:val="22"/>
        </w:rPr>
      </w:pPr>
      <w:r w:rsidRPr="00074449">
        <w:rPr>
          <w:rFonts w:asciiTheme="minorHAnsi" w:hAnsiTheme="minorHAnsi" w:cstheme="minorHAnsi"/>
          <w:sz w:val="22"/>
          <w:szCs w:val="22"/>
        </w:rPr>
        <w:t xml:space="preserve">Isto é, a inflação veio para ficar. Provavelmente, as taxas de juro na Zona Euro já não irão reduzir-se, ficando a </w:t>
      </w:r>
      <w:proofErr w:type="spellStart"/>
      <w:r w:rsidRPr="00074449">
        <w:rPr>
          <w:rFonts w:asciiTheme="minorHAnsi" w:hAnsiTheme="minorHAnsi" w:cstheme="minorHAnsi"/>
          <w:sz w:val="22"/>
          <w:szCs w:val="22"/>
        </w:rPr>
        <w:t>Refi</w:t>
      </w:r>
      <w:proofErr w:type="spellEnd"/>
      <w:r w:rsidRPr="00074449">
        <w:rPr>
          <w:rFonts w:asciiTheme="minorHAnsi" w:hAnsiTheme="minorHAnsi" w:cstheme="minorHAnsi"/>
          <w:sz w:val="22"/>
          <w:szCs w:val="22"/>
        </w:rPr>
        <w:t xml:space="preserve"> Rate nos 2,15% por algum tempo, dependendo da evolução da inflação.</w:t>
      </w:r>
    </w:p>
    <w:p w14:paraId="1731E93A" w14:textId="77777777" w:rsidR="001D5B01" w:rsidRDefault="001D5B01" w:rsidP="00DF561C">
      <w:pPr>
        <w:jc w:val="both"/>
        <w:rPr>
          <w:rFonts w:asciiTheme="minorHAnsi" w:hAnsiTheme="minorHAnsi" w:cstheme="minorHAnsi"/>
          <w:sz w:val="22"/>
          <w:szCs w:val="22"/>
        </w:rPr>
      </w:pPr>
    </w:p>
    <w:p w14:paraId="63E50ED0" w14:textId="716051E0" w:rsidR="00074449" w:rsidRPr="00074449" w:rsidRDefault="00074449" w:rsidP="00DF561C">
      <w:pPr>
        <w:jc w:val="both"/>
        <w:rPr>
          <w:rFonts w:asciiTheme="minorHAnsi" w:hAnsiTheme="minorHAnsi" w:cstheme="minorHAnsi"/>
          <w:sz w:val="22"/>
          <w:szCs w:val="22"/>
        </w:rPr>
      </w:pPr>
      <w:r w:rsidRPr="00074449">
        <w:rPr>
          <w:rFonts w:asciiTheme="minorHAnsi" w:hAnsiTheme="minorHAnsi" w:cstheme="minorHAnsi"/>
          <w:sz w:val="22"/>
          <w:szCs w:val="22"/>
        </w:rPr>
        <w:t xml:space="preserve">Nos EUA, as estimativas no final de 2025, apontavam para dois cortes de 0,25% da </w:t>
      </w:r>
      <w:proofErr w:type="spellStart"/>
      <w:r w:rsidRPr="00074449">
        <w:rPr>
          <w:rFonts w:asciiTheme="minorHAnsi" w:hAnsiTheme="minorHAnsi" w:cstheme="minorHAnsi"/>
          <w:sz w:val="22"/>
          <w:szCs w:val="22"/>
        </w:rPr>
        <w:t>Fed</w:t>
      </w:r>
      <w:proofErr w:type="spellEnd"/>
      <w:r w:rsidRPr="00074449">
        <w:rPr>
          <w:rFonts w:asciiTheme="minorHAnsi" w:hAnsiTheme="minorHAnsi" w:cstheme="minorHAnsi"/>
          <w:sz w:val="22"/>
          <w:szCs w:val="22"/>
        </w:rPr>
        <w:t xml:space="preserve"> Funds, um em 2026 e outro em 2027.</w:t>
      </w:r>
    </w:p>
    <w:p w14:paraId="65761BC6" w14:textId="77777777" w:rsidR="00074449" w:rsidRPr="00074449" w:rsidRDefault="00074449" w:rsidP="00DF561C">
      <w:pPr>
        <w:jc w:val="both"/>
        <w:rPr>
          <w:rFonts w:asciiTheme="minorHAnsi" w:hAnsiTheme="minorHAnsi" w:cstheme="minorHAnsi"/>
          <w:sz w:val="22"/>
          <w:szCs w:val="22"/>
        </w:rPr>
      </w:pPr>
    </w:p>
    <w:p w14:paraId="4F93A6A0" w14:textId="77777777" w:rsidR="006C0F01" w:rsidRDefault="006C0F01" w:rsidP="00DF561C">
      <w:pPr>
        <w:rPr>
          <w:rFonts w:asciiTheme="minorHAnsi" w:hAnsiTheme="minorHAnsi" w:cstheme="minorHAnsi"/>
          <w:sz w:val="22"/>
          <w:szCs w:val="22"/>
        </w:rPr>
      </w:pPr>
      <w:r>
        <w:rPr>
          <w:rFonts w:asciiTheme="minorHAnsi" w:hAnsiTheme="minorHAnsi" w:cstheme="minorHAnsi"/>
          <w:sz w:val="22"/>
          <w:szCs w:val="22"/>
        </w:rPr>
        <w:br w:type="page"/>
      </w:r>
    </w:p>
    <w:p w14:paraId="7F146F71" w14:textId="510F35E6" w:rsidR="00074449" w:rsidRPr="00074449" w:rsidRDefault="00074449" w:rsidP="00DF561C">
      <w:pPr>
        <w:jc w:val="both"/>
        <w:rPr>
          <w:rFonts w:asciiTheme="minorHAnsi" w:hAnsiTheme="minorHAnsi" w:cstheme="minorHAnsi"/>
          <w:sz w:val="22"/>
          <w:szCs w:val="22"/>
        </w:rPr>
      </w:pPr>
      <w:r w:rsidRPr="00074449">
        <w:rPr>
          <w:rFonts w:asciiTheme="minorHAnsi" w:hAnsiTheme="minorHAnsi" w:cstheme="minorHAnsi"/>
          <w:sz w:val="22"/>
          <w:szCs w:val="22"/>
        </w:rPr>
        <w:lastRenderedPageBreak/>
        <w:t>Os dados previstos de evolução do PIB em 2025 e em 2026, segundo o FMI, são os seguintes:</w:t>
      </w:r>
    </w:p>
    <w:p w14:paraId="4E042D33" w14:textId="77777777" w:rsidR="00074449" w:rsidRPr="00074449" w:rsidRDefault="00074449" w:rsidP="00DF561C">
      <w:pPr>
        <w:jc w:val="both"/>
        <w:rPr>
          <w:rFonts w:asciiTheme="minorHAnsi" w:hAnsiTheme="minorHAnsi" w:cstheme="minorHAnsi"/>
          <w:sz w:val="22"/>
          <w:szCs w:val="22"/>
        </w:rPr>
      </w:pPr>
      <w:r w:rsidRPr="00074449">
        <w:rPr>
          <w:rFonts w:asciiTheme="minorHAnsi" w:hAnsiTheme="minorHAnsi" w:cstheme="minorHAnsi"/>
          <w:sz w:val="22"/>
          <w:szCs w:val="22"/>
        </w:rPr>
        <w:t xml:space="preserve"> </w:t>
      </w:r>
    </w:p>
    <w:tbl>
      <w:tblPr>
        <w:tblW w:w="7526" w:type="dxa"/>
        <w:jc w:val="center"/>
        <w:tblCellMar>
          <w:left w:w="70" w:type="dxa"/>
          <w:right w:w="70" w:type="dxa"/>
        </w:tblCellMar>
        <w:tblLook w:val="04A0" w:firstRow="1" w:lastRow="0" w:firstColumn="1" w:lastColumn="0" w:noHBand="0" w:noVBand="1"/>
      </w:tblPr>
      <w:tblGrid>
        <w:gridCol w:w="5822"/>
        <w:gridCol w:w="850"/>
        <w:gridCol w:w="854"/>
      </w:tblGrid>
      <w:tr w:rsidR="00027E89" w:rsidRPr="00E77A69" w14:paraId="0D824BB4" w14:textId="77777777" w:rsidTr="00C459E8">
        <w:trPr>
          <w:trHeight w:hRule="exact" w:val="255"/>
          <w:tblHeader/>
          <w:jc w:val="center"/>
        </w:trPr>
        <w:tc>
          <w:tcPr>
            <w:tcW w:w="7526" w:type="dxa"/>
            <w:gridSpan w:val="3"/>
            <w:noWrap/>
            <w:vAlign w:val="bottom"/>
          </w:tcPr>
          <w:p w14:paraId="112F748D" w14:textId="77777777" w:rsidR="00027E89" w:rsidRPr="00E77A69" w:rsidRDefault="00027E89" w:rsidP="00C459E8">
            <w:pPr>
              <w:jc w:val="both"/>
              <w:rPr>
                <w:rFonts w:asciiTheme="minorHAnsi" w:hAnsiTheme="minorHAnsi" w:cstheme="minorHAnsi"/>
                <w:b/>
                <w:bCs/>
                <w:color w:val="000000"/>
                <w:sz w:val="20"/>
                <w:szCs w:val="20"/>
              </w:rPr>
            </w:pPr>
            <w:r>
              <w:rPr>
                <w:rFonts w:asciiTheme="minorHAnsi" w:hAnsiTheme="minorHAnsi" w:cstheme="minorHAnsi"/>
                <w:sz w:val="22"/>
                <w:szCs w:val="22"/>
              </w:rPr>
              <w:br w:type="page"/>
            </w:r>
            <w:r w:rsidRPr="00E77A69">
              <w:rPr>
                <w:rFonts w:asciiTheme="minorHAnsi" w:hAnsiTheme="minorHAnsi" w:cstheme="minorHAnsi"/>
                <w:b/>
                <w:bCs/>
                <w:color w:val="000000"/>
                <w:sz w:val="20"/>
                <w:szCs w:val="20"/>
              </w:rPr>
              <w:t xml:space="preserve">FMI </w:t>
            </w:r>
            <w:r>
              <w:rPr>
                <w:rFonts w:asciiTheme="minorHAnsi" w:hAnsiTheme="minorHAnsi" w:cstheme="minorHAnsi"/>
                <w:b/>
                <w:bCs/>
                <w:i/>
                <w:iCs/>
                <w:color w:val="000000"/>
                <w:sz w:val="20"/>
                <w:szCs w:val="20"/>
              </w:rPr>
              <w:t>–</w:t>
            </w:r>
            <w:r w:rsidRPr="000C5E44">
              <w:rPr>
                <w:rFonts w:asciiTheme="minorHAnsi" w:hAnsiTheme="minorHAnsi" w:cstheme="minorHAnsi"/>
                <w:b/>
                <w:bCs/>
                <w:i/>
                <w:iCs/>
                <w:color w:val="000000"/>
                <w:sz w:val="20"/>
                <w:szCs w:val="20"/>
              </w:rPr>
              <w:t xml:space="preserve"> </w:t>
            </w:r>
            <w:proofErr w:type="spellStart"/>
            <w:r w:rsidRPr="000C5E44">
              <w:rPr>
                <w:rFonts w:asciiTheme="minorHAnsi" w:hAnsiTheme="minorHAnsi" w:cstheme="minorHAnsi"/>
                <w:b/>
                <w:bCs/>
                <w:i/>
                <w:iCs/>
                <w:color w:val="000000"/>
                <w:sz w:val="20"/>
                <w:szCs w:val="20"/>
              </w:rPr>
              <w:t>World</w:t>
            </w:r>
            <w:proofErr w:type="spellEnd"/>
            <w:r w:rsidRPr="000C5E44">
              <w:rPr>
                <w:rFonts w:asciiTheme="minorHAnsi" w:hAnsiTheme="minorHAnsi" w:cstheme="minorHAnsi"/>
                <w:b/>
                <w:bCs/>
                <w:i/>
                <w:iCs/>
                <w:color w:val="000000"/>
                <w:sz w:val="20"/>
                <w:szCs w:val="20"/>
              </w:rPr>
              <w:t xml:space="preserve"> </w:t>
            </w:r>
            <w:proofErr w:type="spellStart"/>
            <w:r w:rsidRPr="000C5E44">
              <w:rPr>
                <w:rFonts w:asciiTheme="minorHAnsi" w:hAnsiTheme="minorHAnsi" w:cstheme="minorHAnsi"/>
                <w:b/>
                <w:bCs/>
                <w:i/>
                <w:iCs/>
                <w:color w:val="000000"/>
                <w:sz w:val="20"/>
                <w:szCs w:val="20"/>
              </w:rPr>
              <w:t>Economic</w:t>
            </w:r>
            <w:proofErr w:type="spellEnd"/>
            <w:r w:rsidRPr="000C5E44">
              <w:rPr>
                <w:rFonts w:asciiTheme="minorHAnsi" w:hAnsiTheme="minorHAnsi" w:cstheme="minorHAnsi"/>
                <w:b/>
                <w:bCs/>
                <w:i/>
                <w:iCs/>
                <w:color w:val="000000"/>
                <w:sz w:val="20"/>
                <w:szCs w:val="20"/>
              </w:rPr>
              <w:t xml:space="preserve"> Outlook</w:t>
            </w:r>
            <w:r w:rsidRPr="00E77A69">
              <w:rPr>
                <w:rFonts w:asciiTheme="minorHAnsi" w:hAnsiTheme="minorHAnsi" w:cstheme="minorHAnsi"/>
                <w:b/>
                <w:bCs/>
                <w:color w:val="000000"/>
                <w:sz w:val="20"/>
                <w:szCs w:val="20"/>
              </w:rPr>
              <w:t xml:space="preserve"> </w:t>
            </w:r>
            <w:r>
              <w:rPr>
                <w:rFonts w:asciiTheme="minorHAnsi" w:hAnsiTheme="minorHAnsi" w:cstheme="minorHAnsi"/>
                <w:b/>
                <w:bCs/>
                <w:color w:val="000000"/>
                <w:sz w:val="20"/>
                <w:szCs w:val="20"/>
              </w:rPr>
              <w:t>–</w:t>
            </w:r>
            <w:r w:rsidRPr="00E77A69">
              <w:rPr>
                <w:rFonts w:asciiTheme="minorHAnsi" w:hAnsiTheme="minorHAnsi" w:cstheme="minorHAnsi"/>
                <w:b/>
                <w:bCs/>
                <w:color w:val="000000"/>
                <w:sz w:val="20"/>
                <w:szCs w:val="20"/>
              </w:rPr>
              <w:t xml:space="preserve"> Projeções de evolução do PIB (em percentagem)</w:t>
            </w:r>
          </w:p>
          <w:p w14:paraId="6496F001" w14:textId="77777777" w:rsidR="00027E89" w:rsidRPr="00E77A69" w:rsidRDefault="00027E89" w:rsidP="00C459E8">
            <w:pPr>
              <w:jc w:val="both"/>
              <w:rPr>
                <w:rFonts w:asciiTheme="minorHAnsi" w:hAnsiTheme="minorHAnsi" w:cstheme="minorHAnsi"/>
                <w:b/>
                <w:bCs/>
                <w:color w:val="000000"/>
                <w:sz w:val="20"/>
                <w:szCs w:val="20"/>
              </w:rPr>
            </w:pPr>
          </w:p>
        </w:tc>
      </w:tr>
      <w:tr w:rsidR="00027E89" w:rsidRPr="00EE308B" w14:paraId="0A175593" w14:textId="77777777" w:rsidTr="00C459E8">
        <w:trPr>
          <w:trHeight w:hRule="exact" w:val="345"/>
          <w:tblHeader/>
          <w:jc w:val="center"/>
        </w:trPr>
        <w:tc>
          <w:tcPr>
            <w:tcW w:w="5822" w:type="dxa"/>
            <w:shd w:val="clear" w:color="auto" w:fill="9CC2E5" w:themeFill="accent1" w:themeFillTint="99"/>
            <w:noWrap/>
            <w:vAlign w:val="center"/>
            <w:hideMark/>
          </w:tcPr>
          <w:p w14:paraId="5A9EFD19" w14:textId="77777777" w:rsidR="00027E89" w:rsidRPr="00EE308B" w:rsidRDefault="00027E89" w:rsidP="00027E89">
            <w:pPr>
              <w:jc w:val="both"/>
              <w:rPr>
                <w:rFonts w:asciiTheme="minorHAnsi" w:hAnsiTheme="minorHAnsi" w:cstheme="minorHAnsi"/>
                <w:b/>
                <w:bCs/>
                <w:color w:val="000000"/>
                <w:sz w:val="18"/>
                <w:szCs w:val="18"/>
              </w:rPr>
            </w:pPr>
            <w:r w:rsidRPr="00EE308B">
              <w:rPr>
                <w:rFonts w:asciiTheme="minorHAnsi" w:hAnsiTheme="minorHAnsi" w:cstheme="minorHAnsi"/>
                <w:b/>
                <w:bCs/>
                <w:color w:val="000000"/>
                <w:sz w:val="18"/>
                <w:szCs w:val="18"/>
              </w:rPr>
              <w:t>Rubrica</w:t>
            </w:r>
          </w:p>
        </w:tc>
        <w:tc>
          <w:tcPr>
            <w:tcW w:w="850" w:type="dxa"/>
            <w:shd w:val="clear" w:color="auto" w:fill="9CC2E5" w:themeFill="accent1" w:themeFillTint="99"/>
            <w:noWrap/>
            <w:vAlign w:val="center"/>
            <w:hideMark/>
          </w:tcPr>
          <w:p w14:paraId="20609794" w14:textId="05282DEF" w:rsidR="00027E89" w:rsidRPr="00EE308B" w:rsidRDefault="00027E89" w:rsidP="00027E89">
            <w:pPr>
              <w:jc w:val="both"/>
              <w:rPr>
                <w:rFonts w:asciiTheme="minorHAnsi" w:hAnsiTheme="minorHAnsi" w:cstheme="minorHAnsi"/>
                <w:b/>
                <w:bCs/>
                <w:color w:val="000000"/>
                <w:sz w:val="18"/>
                <w:szCs w:val="18"/>
              </w:rPr>
            </w:pPr>
            <w:r w:rsidRPr="00EE308B">
              <w:rPr>
                <w:rFonts w:asciiTheme="minorHAnsi" w:hAnsiTheme="minorHAnsi" w:cstheme="minorHAnsi"/>
                <w:b/>
                <w:bCs/>
                <w:color w:val="000000"/>
                <w:sz w:val="18"/>
                <w:szCs w:val="18"/>
              </w:rPr>
              <w:t>202</w:t>
            </w:r>
            <w:r>
              <w:rPr>
                <w:rFonts w:asciiTheme="minorHAnsi" w:hAnsiTheme="minorHAnsi" w:cstheme="minorHAnsi"/>
                <w:b/>
                <w:bCs/>
                <w:color w:val="000000"/>
                <w:sz w:val="18"/>
                <w:szCs w:val="18"/>
              </w:rPr>
              <w:t>6</w:t>
            </w:r>
          </w:p>
        </w:tc>
        <w:tc>
          <w:tcPr>
            <w:tcW w:w="854" w:type="dxa"/>
            <w:shd w:val="clear" w:color="auto" w:fill="9CC2E5" w:themeFill="accent1" w:themeFillTint="99"/>
            <w:noWrap/>
            <w:vAlign w:val="center"/>
            <w:hideMark/>
          </w:tcPr>
          <w:p w14:paraId="34A3C708" w14:textId="78CD19F9" w:rsidR="00027E89" w:rsidRPr="00EE308B" w:rsidRDefault="00027E89" w:rsidP="00027E89">
            <w:pPr>
              <w:jc w:val="both"/>
              <w:rPr>
                <w:rFonts w:asciiTheme="minorHAnsi" w:hAnsiTheme="minorHAnsi" w:cstheme="minorHAnsi"/>
                <w:b/>
                <w:bCs/>
                <w:color w:val="000000"/>
                <w:sz w:val="18"/>
                <w:szCs w:val="18"/>
              </w:rPr>
            </w:pPr>
            <w:r w:rsidRPr="00EE308B">
              <w:rPr>
                <w:rFonts w:asciiTheme="minorHAnsi" w:hAnsiTheme="minorHAnsi" w:cstheme="minorHAnsi"/>
                <w:b/>
                <w:bCs/>
                <w:color w:val="000000"/>
                <w:sz w:val="18"/>
                <w:szCs w:val="18"/>
              </w:rPr>
              <w:t>202</w:t>
            </w:r>
            <w:r>
              <w:rPr>
                <w:rFonts w:asciiTheme="minorHAnsi" w:hAnsiTheme="minorHAnsi" w:cstheme="minorHAnsi"/>
                <w:b/>
                <w:bCs/>
                <w:color w:val="000000"/>
                <w:sz w:val="18"/>
                <w:szCs w:val="18"/>
              </w:rPr>
              <w:t>5</w:t>
            </w:r>
          </w:p>
        </w:tc>
      </w:tr>
      <w:tr w:rsidR="00027E89" w:rsidRPr="00EE308B" w14:paraId="40D864EE" w14:textId="77777777" w:rsidTr="00C459E8">
        <w:trPr>
          <w:trHeight w:hRule="exact" w:val="255"/>
          <w:jc w:val="center"/>
        </w:trPr>
        <w:tc>
          <w:tcPr>
            <w:tcW w:w="5822" w:type="dxa"/>
            <w:tcBorders>
              <w:bottom w:val="single" w:sz="8" w:space="0" w:color="FFFFFF" w:themeColor="background1"/>
            </w:tcBorders>
            <w:shd w:val="clear" w:color="auto" w:fill="DEEAF6" w:themeFill="accent1" w:themeFillTint="33"/>
            <w:noWrap/>
            <w:vAlign w:val="bottom"/>
            <w:hideMark/>
          </w:tcPr>
          <w:p w14:paraId="3C3AAFCF" w14:textId="77777777" w:rsidR="00027E89" w:rsidRPr="00EE308B" w:rsidRDefault="00027E89" w:rsidP="00027E89">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PIB mundial</w:t>
            </w:r>
          </w:p>
        </w:tc>
        <w:tc>
          <w:tcPr>
            <w:tcW w:w="850" w:type="dxa"/>
            <w:tcBorders>
              <w:bottom w:val="single" w:sz="8" w:space="0" w:color="FFFFFF" w:themeColor="background1"/>
            </w:tcBorders>
            <w:shd w:val="clear" w:color="auto" w:fill="DEEAF6" w:themeFill="accent1" w:themeFillTint="33"/>
            <w:noWrap/>
            <w:hideMark/>
          </w:tcPr>
          <w:p w14:paraId="32777603" w14:textId="75A200D6" w:rsidR="00027E89" w:rsidRPr="00EE308B" w:rsidRDefault="00027E89" w:rsidP="00027E89">
            <w:pPr>
              <w:jc w:val="both"/>
              <w:rPr>
                <w:rFonts w:asciiTheme="minorHAnsi" w:hAnsiTheme="minorHAnsi" w:cstheme="minorHAnsi"/>
                <w:color w:val="000000"/>
                <w:sz w:val="18"/>
                <w:szCs w:val="18"/>
              </w:rPr>
            </w:pPr>
            <w:r w:rsidRPr="00EE308B">
              <w:rPr>
                <w:rFonts w:asciiTheme="minorHAnsi" w:hAnsiTheme="minorHAnsi" w:cstheme="minorHAnsi"/>
                <w:sz w:val="18"/>
                <w:szCs w:val="18"/>
              </w:rPr>
              <w:t>3,</w:t>
            </w:r>
            <w:r>
              <w:rPr>
                <w:rFonts w:asciiTheme="minorHAnsi" w:hAnsiTheme="minorHAnsi" w:cstheme="minorHAnsi"/>
                <w:sz w:val="18"/>
                <w:szCs w:val="18"/>
              </w:rPr>
              <w:t>1</w:t>
            </w:r>
            <w:r w:rsidRPr="00EE308B">
              <w:rPr>
                <w:rFonts w:asciiTheme="minorHAnsi" w:hAnsiTheme="minorHAnsi" w:cstheme="minorHAnsi"/>
                <w:sz w:val="18"/>
                <w:szCs w:val="18"/>
              </w:rPr>
              <w:t>%</w:t>
            </w:r>
          </w:p>
        </w:tc>
        <w:tc>
          <w:tcPr>
            <w:tcW w:w="854" w:type="dxa"/>
            <w:tcBorders>
              <w:bottom w:val="single" w:sz="8" w:space="0" w:color="FFFFFF" w:themeColor="background1"/>
            </w:tcBorders>
            <w:shd w:val="clear" w:color="auto" w:fill="DEEAF6" w:themeFill="accent1" w:themeFillTint="33"/>
            <w:noWrap/>
            <w:hideMark/>
          </w:tcPr>
          <w:p w14:paraId="2BF71474" w14:textId="5CB459A1" w:rsidR="00027E89" w:rsidRPr="00EE308B" w:rsidRDefault="00027E89" w:rsidP="00027E89">
            <w:pPr>
              <w:jc w:val="both"/>
              <w:rPr>
                <w:rFonts w:asciiTheme="minorHAnsi" w:hAnsiTheme="minorHAnsi" w:cstheme="minorHAnsi"/>
                <w:color w:val="000000"/>
                <w:sz w:val="18"/>
                <w:szCs w:val="18"/>
              </w:rPr>
            </w:pPr>
            <w:r w:rsidRPr="00EE308B">
              <w:rPr>
                <w:rFonts w:asciiTheme="minorHAnsi" w:hAnsiTheme="minorHAnsi" w:cstheme="minorHAnsi"/>
                <w:sz w:val="18"/>
                <w:szCs w:val="18"/>
              </w:rPr>
              <w:t>3,</w:t>
            </w:r>
            <w:r>
              <w:rPr>
                <w:rFonts w:asciiTheme="minorHAnsi" w:hAnsiTheme="minorHAnsi" w:cstheme="minorHAnsi"/>
                <w:sz w:val="18"/>
                <w:szCs w:val="18"/>
              </w:rPr>
              <w:t>2</w:t>
            </w:r>
            <w:r w:rsidRPr="00EE308B">
              <w:rPr>
                <w:rFonts w:asciiTheme="minorHAnsi" w:hAnsiTheme="minorHAnsi" w:cstheme="minorHAnsi"/>
                <w:sz w:val="18"/>
                <w:szCs w:val="18"/>
              </w:rPr>
              <w:t>%</w:t>
            </w:r>
          </w:p>
        </w:tc>
      </w:tr>
      <w:tr w:rsidR="00027E89" w:rsidRPr="00EE308B" w14:paraId="58A3137B" w14:textId="77777777" w:rsidTr="00C459E8">
        <w:trPr>
          <w:trHeight w:hRule="exact" w:val="255"/>
          <w:jc w:val="center"/>
        </w:trPr>
        <w:tc>
          <w:tcPr>
            <w:tcW w:w="5822" w:type="dxa"/>
            <w:tcBorders>
              <w:top w:val="single" w:sz="8" w:space="0" w:color="FFFFFF" w:themeColor="background1"/>
              <w:bottom w:val="single" w:sz="8" w:space="0" w:color="FFFFFF" w:themeColor="background1"/>
            </w:tcBorders>
            <w:shd w:val="clear" w:color="auto" w:fill="DEEAF6" w:themeFill="accent1" w:themeFillTint="33"/>
            <w:noWrap/>
            <w:vAlign w:val="bottom"/>
            <w:hideMark/>
          </w:tcPr>
          <w:p w14:paraId="48A4E08B" w14:textId="77777777" w:rsidR="00027E89" w:rsidRPr="00EE308B" w:rsidRDefault="00027E89" w:rsidP="00027E89">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 xml:space="preserve">  Economias desenvolvidas</w:t>
            </w:r>
          </w:p>
        </w:tc>
        <w:tc>
          <w:tcPr>
            <w:tcW w:w="850" w:type="dxa"/>
            <w:tcBorders>
              <w:top w:val="single" w:sz="8" w:space="0" w:color="FFFFFF" w:themeColor="background1"/>
              <w:bottom w:val="single" w:sz="8" w:space="0" w:color="FFFFFF" w:themeColor="background1"/>
            </w:tcBorders>
            <w:shd w:val="clear" w:color="auto" w:fill="DEEAF6" w:themeFill="accent1" w:themeFillTint="33"/>
            <w:noWrap/>
            <w:hideMark/>
          </w:tcPr>
          <w:p w14:paraId="7847056A" w14:textId="1DDE69FA" w:rsidR="00027E89" w:rsidRPr="00EE308B" w:rsidRDefault="00027E89" w:rsidP="00027E89">
            <w:pPr>
              <w:jc w:val="both"/>
              <w:rPr>
                <w:rFonts w:asciiTheme="minorHAnsi" w:hAnsiTheme="minorHAnsi" w:cstheme="minorHAnsi"/>
                <w:color w:val="000000"/>
                <w:sz w:val="18"/>
                <w:szCs w:val="18"/>
              </w:rPr>
            </w:pPr>
            <w:r w:rsidRPr="00EE308B">
              <w:rPr>
                <w:rFonts w:asciiTheme="minorHAnsi" w:hAnsiTheme="minorHAnsi" w:cstheme="minorHAnsi"/>
                <w:sz w:val="18"/>
                <w:szCs w:val="18"/>
              </w:rPr>
              <w:t>1,</w:t>
            </w:r>
            <w:r>
              <w:rPr>
                <w:rFonts w:asciiTheme="minorHAnsi" w:hAnsiTheme="minorHAnsi" w:cstheme="minorHAnsi"/>
                <w:sz w:val="18"/>
                <w:szCs w:val="18"/>
              </w:rPr>
              <w:t>6</w:t>
            </w:r>
            <w:r w:rsidRPr="00EE308B">
              <w:rPr>
                <w:rFonts w:asciiTheme="minorHAnsi" w:hAnsiTheme="minorHAnsi" w:cstheme="minorHAnsi"/>
                <w:sz w:val="18"/>
                <w:szCs w:val="18"/>
              </w:rPr>
              <w:t>%</w:t>
            </w:r>
          </w:p>
        </w:tc>
        <w:tc>
          <w:tcPr>
            <w:tcW w:w="854" w:type="dxa"/>
            <w:tcBorders>
              <w:top w:val="single" w:sz="8" w:space="0" w:color="FFFFFF" w:themeColor="background1"/>
              <w:bottom w:val="single" w:sz="8" w:space="0" w:color="FFFFFF" w:themeColor="background1"/>
            </w:tcBorders>
            <w:shd w:val="clear" w:color="auto" w:fill="DEEAF6" w:themeFill="accent1" w:themeFillTint="33"/>
            <w:noWrap/>
            <w:hideMark/>
          </w:tcPr>
          <w:p w14:paraId="57A7BA4D" w14:textId="5096B928" w:rsidR="00027E89" w:rsidRPr="00EE308B" w:rsidRDefault="00027E89" w:rsidP="00027E89">
            <w:pPr>
              <w:jc w:val="both"/>
              <w:rPr>
                <w:rFonts w:asciiTheme="minorHAnsi" w:hAnsiTheme="minorHAnsi" w:cstheme="minorHAnsi"/>
                <w:color w:val="000000"/>
                <w:sz w:val="18"/>
                <w:szCs w:val="18"/>
              </w:rPr>
            </w:pPr>
            <w:r w:rsidRPr="00EE308B">
              <w:rPr>
                <w:rFonts w:asciiTheme="minorHAnsi" w:hAnsiTheme="minorHAnsi" w:cstheme="minorHAnsi"/>
                <w:sz w:val="18"/>
                <w:szCs w:val="18"/>
              </w:rPr>
              <w:t>1,</w:t>
            </w:r>
            <w:r>
              <w:rPr>
                <w:rFonts w:asciiTheme="minorHAnsi" w:hAnsiTheme="minorHAnsi" w:cstheme="minorHAnsi"/>
                <w:sz w:val="18"/>
                <w:szCs w:val="18"/>
              </w:rPr>
              <w:t>6</w:t>
            </w:r>
            <w:r w:rsidRPr="00EE308B">
              <w:rPr>
                <w:rFonts w:asciiTheme="minorHAnsi" w:hAnsiTheme="minorHAnsi" w:cstheme="minorHAnsi"/>
                <w:sz w:val="18"/>
                <w:szCs w:val="18"/>
              </w:rPr>
              <w:t>%</w:t>
            </w:r>
          </w:p>
        </w:tc>
      </w:tr>
      <w:tr w:rsidR="00027E89" w:rsidRPr="00EE308B" w14:paraId="7112EAA2" w14:textId="77777777" w:rsidTr="00C459E8">
        <w:trPr>
          <w:trHeight w:hRule="exact" w:val="255"/>
          <w:jc w:val="center"/>
        </w:trPr>
        <w:tc>
          <w:tcPr>
            <w:tcW w:w="5822" w:type="dxa"/>
            <w:tcBorders>
              <w:top w:val="single" w:sz="8" w:space="0" w:color="FFFFFF" w:themeColor="background1"/>
              <w:bottom w:val="single" w:sz="8" w:space="0" w:color="FFFFFF" w:themeColor="background1"/>
            </w:tcBorders>
            <w:shd w:val="clear" w:color="auto" w:fill="DEEAF6" w:themeFill="accent1" w:themeFillTint="33"/>
            <w:noWrap/>
            <w:vAlign w:val="bottom"/>
            <w:hideMark/>
          </w:tcPr>
          <w:p w14:paraId="032F4B06" w14:textId="77777777" w:rsidR="00027E89" w:rsidRPr="00EE308B" w:rsidRDefault="00027E89" w:rsidP="00027E89">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 xml:space="preserve">    EUA</w:t>
            </w:r>
          </w:p>
        </w:tc>
        <w:tc>
          <w:tcPr>
            <w:tcW w:w="850" w:type="dxa"/>
            <w:tcBorders>
              <w:top w:val="single" w:sz="8" w:space="0" w:color="FFFFFF" w:themeColor="background1"/>
              <w:bottom w:val="single" w:sz="8" w:space="0" w:color="FFFFFF" w:themeColor="background1"/>
            </w:tcBorders>
            <w:shd w:val="clear" w:color="auto" w:fill="DEEAF6" w:themeFill="accent1" w:themeFillTint="33"/>
            <w:noWrap/>
            <w:hideMark/>
          </w:tcPr>
          <w:p w14:paraId="485DE9E4" w14:textId="7172D193" w:rsidR="00027E89" w:rsidRPr="00EE308B" w:rsidRDefault="00027E89" w:rsidP="00027E89">
            <w:pPr>
              <w:jc w:val="both"/>
              <w:rPr>
                <w:rFonts w:asciiTheme="minorHAnsi" w:hAnsiTheme="minorHAnsi" w:cstheme="minorHAnsi"/>
                <w:color w:val="000000"/>
                <w:sz w:val="18"/>
                <w:szCs w:val="18"/>
              </w:rPr>
            </w:pPr>
            <w:r w:rsidRPr="00EE308B">
              <w:rPr>
                <w:rFonts w:asciiTheme="minorHAnsi" w:hAnsiTheme="minorHAnsi" w:cstheme="minorHAnsi"/>
                <w:sz w:val="18"/>
                <w:szCs w:val="18"/>
              </w:rPr>
              <w:t>2,</w:t>
            </w:r>
            <w:r>
              <w:rPr>
                <w:rFonts w:asciiTheme="minorHAnsi" w:hAnsiTheme="minorHAnsi" w:cstheme="minorHAnsi"/>
                <w:sz w:val="18"/>
                <w:szCs w:val="18"/>
              </w:rPr>
              <w:t>1</w:t>
            </w:r>
            <w:r w:rsidRPr="00EE308B">
              <w:rPr>
                <w:rFonts w:asciiTheme="minorHAnsi" w:hAnsiTheme="minorHAnsi" w:cstheme="minorHAnsi"/>
                <w:sz w:val="18"/>
                <w:szCs w:val="18"/>
              </w:rPr>
              <w:t>%</w:t>
            </w:r>
          </w:p>
        </w:tc>
        <w:tc>
          <w:tcPr>
            <w:tcW w:w="854" w:type="dxa"/>
            <w:tcBorders>
              <w:top w:val="single" w:sz="8" w:space="0" w:color="FFFFFF" w:themeColor="background1"/>
              <w:bottom w:val="single" w:sz="8" w:space="0" w:color="FFFFFF" w:themeColor="background1"/>
            </w:tcBorders>
            <w:shd w:val="clear" w:color="auto" w:fill="DEEAF6" w:themeFill="accent1" w:themeFillTint="33"/>
            <w:noWrap/>
            <w:hideMark/>
          </w:tcPr>
          <w:p w14:paraId="55E298F6" w14:textId="3AF77D09" w:rsidR="00027E89" w:rsidRPr="00EE308B" w:rsidRDefault="00027E89" w:rsidP="00027E89">
            <w:pPr>
              <w:jc w:val="both"/>
              <w:rPr>
                <w:rFonts w:asciiTheme="minorHAnsi" w:hAnsiTheme="minorHAnsi" w:cstheme="minorHAnsi"/>
                <w:color w:val="000000"/>
                <w:sz w:val="18"/>
                <w:szCs w:val="18"/>
              </w:rPr>
            </w:pPr>
            <w:r w:rsidRPr="00EE308B">
              <w:rPr>
                <w:rFonts w:asciiTheme="minorHAnsi" w:hAnsiTheme="minorHAnsi" w:cstheme="minorHAnsi"/>
                <w:sz w:val="18"/>
                <w:szCs w:val="18"/>
              </w:rPr>
              <w:t>2,</w:t>
            </w:r>
            <w:r>
              <w:rPr>
                <w:rFonts w:asciiTheme="minorHAnsi" w:hAnsiTheme="minorHAnsi" w:cstheme="minorHAnsi"/>
                <w:sz w:val="18"/>
                <w:szCs w:val="18"/>
              </w:rPr>
              <w:t>0</w:t>
            </w:r>
            <w:r w:rsidRPr="00EE308B">
              <w:rPr>
                <w:rFonts w:asciiTheme="minorHAnsi" w:hAnsiTheme="minorHAnsi" w:cstheme="minorHAnsi"/>
                <w:sz w:val="18"/>
                <w:szCs w:val="18"/>
              </w:rPr>
              <w:t>%</w:t>
            </w:r>
          </w:p>
        </w:tc>
      </w:tr>
      <w:tr w:rsidR="00027E89" w:rsidRPr="00EE308B" w14:paraId="621DE438" w14:textId="77777777" w:rsidTr="00C459E8">
        <w:trPr>
          <w:trHeight w:hRule="exact" w:val="255"/>
          <w:jc w:val="center"/>
        </w:trPr>
        <w:tc>
          <w:tcPr>
            <w:tcW w:w="5822" w:type="dxa"/>
            <w:tcBorders>
              <w:top w:val="single" w:sz="8" w:space="0" w:color="FFFFFF" w:themeColor="background1"/>
              <w:bottom w:val="single" w:sz="8" w:space="0" w:color="FFFFFF" w:themeColor="background1"/>
            </w:tcBorders>
            <w:shd w:val="clear" w:color="auto" w:fill="DEEAF6" w:themeFill="accent1" w:themeFillTint="33"/>
            <w:noWrap/>
            <w:vAlign w:val="bottom"/>
            <w:hideMark/>
          </w:tcPr>
          <w:p w14:paraId="7DC03DD0" w14:textId="77777777" w:rsidR="00027E89" w:rsidRPr="00EE308B" w:rsidRDefault="00027E89" w:rsidP="00027E89">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 xml:space="preserve">    Zona Euro</w:t>
            </w:r>
          </w:p>
        </w:tc>
        <w:tc>
          <w:tcPr>
            <w:tcW w:w="850" w:type="dxa"/>
            <w:tcBorders>
              <w:top w:val="single" w:sz="8" w:space="0" w:color="FFFFFF" w:themeColor="background1"/>
              <w:bottom w:val="single" w:sz="8" w:space="0" w:color="FFFFFF" w:themeColor="background1"/>
            </w:tcBorders>
            <w:shd w:val="clear" w:color="auto" w:fill="DEEAF6" w:themeFill="accent1" w:themeFillTint="33"/>
            <w:noWrap/>
            <w:hideMark/>
          </w:tcPr>
          <w:p w14:paraId="5310433B" w14:textId="6DC58DCC" w:rsidR="00027E89" w:rsidRPr="00EE308B" w:rsidRDefault="00027E89" w:rsidP="00027E89">
            <w:pPr>
              <w:jc w:val="both"/>
              <w:rPr>
                <w:rFonts w:asciiTheme="minorHAnsi" w:hAnsiTheme="minorHAnsi" w:cstheme="minorHAnsi"/>
                <w:color w:val="000000"/>
                <w:sz w:val="18"/>
                <w:szCs w:val="18"/>
              </w:rPr>
            </w:pPr>
            <w:r>
              <w:rPr>
                <w:rFonts w:asciiTheme="minorHAnsi" w:hAnsiTheme="minorHAnsi" w:cstheme="minorHAnsi"/>
                <w:sz w:val="18"/>
                <w:szCs w:val="18"/>
              </w:rPr>
              <w:t>1</w:t>
            </w:r>
            <w:r w:rsidRPr="00EE308B">
              <w:rPr>
                <w:rFonts w:asciiTheme="minorHAnsi" w:hAnsiTheme="minorHAnsi" w:cstheme="minorHAnsi"/>
                <w:sz w:val="18"/>
                <w:szCs w:val="18"/>
              </w:rPr>
              <w:t>,</w:t>
            </w:r>
            <w:r>
              <w:rPr>
                <w:rFonts w:asciiTheme="minorHAnsi" w:hAnsiTheme="minorHAnsi" w:cstheme="minorHAnsi"/>
                <w:sz w:val="18"/>
                <w:szCs w:val="18"/>
              </w:rPr>
              <w:t>1</w:t>
            </w:r>
            <w:r w:rsidRPr="00EE308B">
              <w:rPr>
                <w:rFonts w:asciiTheme="minorHAnsi" w:hAnsiTheme="minorHAnsi" w:cstheme="minorHAnsi"/>
                <w:sz w:val="18"/>
                <w:szCs w:val="18"/>
              </w:rPr>
              <w:t>%</w:t>
            </w:r>
          </w:p>
        </w:tc>
        <w:tc>
          <w:tcPr>
            <w:tcW w:w="854" w:type="dxa"/>
            <w:tcBorders>
              <w:top w:val="single" w:sz="8" w:space="0" w:color="FFFFFF" w:themeColor="background1"/>
              <w:bottom w:val="single" w:sz="8" w:space="0" w:color="FFFFFF" w:themeColor="background1"/>
            </w:tcBorders>
            <w:shd w:val="clear" w:color="auto" w:fill="DEEAF6" w:themeFill="accent1" w:themeFillTint="33"/>
            <w:noWrap/>
            <w:hideMark/>
          </w:tcPr>
          <w:p w14:paraId="31F01337" w14:textId="5F192C52" w:rsidR="00027E89" w:rsidRPr="00EE308B" w:rsidRDefault="00027E89" w:rsidP="00027E89">
            <w:pPr>
              <w:jc w:val="both"/>
              <w:rPr>
                <w:rFonts w:asciiTheme="minorHAnsi" w:hAnsiTheme="minorHAnsi" w:cstheme="minorHAnsi"/>
                <w:color w:val="000000"/>
                <w:sz w:val="18"/>
                <w:szCs w:val="18"/>
              </w:rPr>
            </w:pPr>
            <w:r>
              <w:rPr>
                <w:rFonts w:asciiTheme="minorHAnsi" w:hAnsiTheme="minorHAnsi" w:cstheme="minorHAnsi"/>
                <w:sz w:val="18"/>
                <w:szCs w:val="18"/>
              </w:rPr>
              <w:t>1</w:t>
            </w:r>
            <w:r w:rsidRPr="00EE308B">
              <w:rPr>
                <w:rFonts w:asciiTheme="minorHAnsi" w:hAnsiTheme="minorHAnsi" w:cstheme="minorHAnsi"/>
                <w:sz w:val="18"/>
                <w:szCs w:val="18"/>
              </w:rPr>
              <w:t>,</w:t>
            </w:r>
            <w:r>
              <w:rPr>
                <w:rFonts w:asciiTheme="minorHAnsi" w:hAnsiTheme="minorHAnsi" w:cstheme="minorHAnsi"/>
                <w:sz w:val="18"/>
                <w:szCs w:val="18"/>
              </w:rPr>
              <w:t>2</w:t>
            </w:r>
            <w:r w:rsidRPr="00EE308B">
              <w:rPr>
                <w:rFonts w:asciiTheme="minorHAnsi" w:hAnsiTheme="minorHAnsi" w:cstheme="minorHAnsi"/>
                <w:sz w:val="18"/>
                <w:szCs w:val="18"/>
              </w:rPr>
              <w:t>%</w:t>
            </w:r>
          </w:p>
        </w:tc>
      </w:tr>
      <w:tr w:rsidR="00027E89" w:rsidRPr="00EE308B" w14:paraId="0E8D2E27" w14:textId="77777777" w:rsidTr="00C459E8">
        <w:trPr>
          <w:trHeight w:hRule="exact" w:val="255"/>
          <w:jc w:val="center"/>
        </w:trPr>
        <w:tc>
          <w:tcPr>
            <w:tcW w:w="5822" w:type="dxa"/>
            <w:tcBorders>
              <w:top w:val="single" w:sz="8" w:space="0" w:color="FFFFFF" w:themeColor="background1"/>
              <w:bottom w:val="single" w:sz="8" w:space="0" w:color="FFFFFF" w:themeColor="background1"/>
            </w:tcBorders>
            <w:shd w:val="clear" w:color="auto" w:fill="DEEAF6" w:themeFill="accent1" w:themeFillTint="33"/>
            <w:noWrap/>
            <w:vAlign w:val="bottom"/>
            <w:hideMark/>
          </w:tcPr>
          <w:p w14:paraId="2FC91DDF" w14:textId="77777777" w:rsidR="00027E89" w:rsidRPr="00EE308B" w:rsidRDefault="00027E89" w:rsidP="00027E89">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 xml:space="preserve">      Alemanha</w:t>
            </w:r>
          </w:p>
        </w:tc>
        <w:tc>
          <w:tcPr>
            <w:tcW w:w="850" w:type="dxa"/>
            <w:tcBorders>
              <w:top w:val="single" w:sz="8" w:space="0" w:color="FFFFFF" w:themeColor="background1"/>
              <w:bottom w:val="single" w:sz="8" w:space="0" w:color="FFFFFF" w:themeColor="background1"/>
            </w:tcBorders>
            <w:shd w:val="clear" w:color="auto" w:fill="DEEAF6" w:themeFill="accent1" w:themeFillTint="33"/>
            <w:noWrap/>
            <w:hideMark/>
          </w:tcPr>
          <w:p w14:paraId="518BD292" w14:textId="2D1875E2" w:rsidR="00027E89" w:rsidRPr="00EE308B" w:rsidRDefault="00027E89" w:rsidP="00027E89">
            <w:pPr>
              <w:jc w:val="both"/>
              <w:rPr>
                <w:rFonts w:asciiTheme="minorHAnsi" w:hAnsiTheme="minorHAnsi" w:cstheme="minorHAnsi"/>
                <w:color w:val="000000"/>
                <w:sz w:val="18"/>
                <w:szCs w:val="18"/>
              </w:rPr>
            </w:pPr>
            <w:r w:rsidRPr="00EE308B">
              <w:rPr>
                <w:rFonts w:asciiTheme="minorHAnsi" w:hAnsiTheme="minorHAnsi" w:cstheme="minorHAnsi"/>
                <w:sz w:val="18"/>
                <w:szCs w:val="18"/>
              </w:rPr>
              <w:t>0,</w:t>
            </w:r>
            <w:r>
              <w:rPr>
                <w:rFonts w:asciiTheme="minorHAnsi" w:hAnsiTheme="minorHAnsi" w:cstheme="minorHAnsi"/>
                <w:sz w:val="18"/>
                <w:szCs w:val="18"/>
              </w:rPr>
              <w:t>9</w:t>
            </w:r>
            <w:r w:rsidRPr="00EE308B">
              <w:rPr>
                <w:rFonts w:asciiTheme="minorHAnsi" w:hAnsiTheme="minorHAnsi" w:cstheme="minorHAnsi"/>
                <w:sz w:val="18"/>
                <w:szCs w:val="18"/>
              </w:rPr>
              <w:t>%</w:t>
            </w:r>
          </w:p>
        </w:tc>
        <w:tc>
          <w:tcPr>
            <w:tcW w:w="854" w:type="dxa"/>
            <w:tcBorders>
              <w:top w:val="single" w:sz="8" w:space="0" w:color="FFFFFF" w:themeColor="background1"/>
              <w:bottom w:val="single" w:sz="8" w:space="0" w:color="FFFFFF" w:themeColor="background1"/>
            </w:tcBorders>
            <w:shd w:val="clear" w:color="auto" w:fill="DEEAF6" w:themeFill="accent1" w:themeFillTint="33"/>
            <w:noWrap/>
            <w:hideMark/>
          </w:tcPr>
          <w:p w14:paraId="7C1A0DB7" w14:textId="2E5A2CB7" w:rsidR="00027E89" w:rsidRPr="00EE308B" w:rsidRDefault="00027E89" w:rsidP="00027E89">
            <w:pPr>
              <w:jc w:val="both"/>
              <w:rPr>
                <w:rFonts w:asciiTheme="minorHAnsi" w:hAnsiTheme="minorHAnsi" w:cstheme="minorHAnsi"/>
                <w:color w:val="000000"/>
                <w:sz w:val="18"/>
                <w:szCs w:val="18"/>
              </w:rPr>
            </w:pPr>
            <w:r w:rsidRPr="00EE308B">
              <w:rPr>
                <w:rFonts w:asciiTheme="minorHAnsi" w:hAnsiTheme="minorHAnsi" w:cstheme="minorHAnsi"/>
                <w:sz w:val="18"/>
                <w:szCs w:val="18"/>
              </w:rPr>
              <w:t>0,</w:t>
            </w:r>
            <w:r>
              <w:rPr>
                <w:rFonts w:asciiTheme="minorHAnsi" w:hAnsiTheme="minorHAnsi" w:cstheme="minorHAnsi"/>
                <w:sz w:val="18"/>
                <w:szCs w:val="18"/>
              </w:rPr>
              <w:t>2</w:t>
            </w:r>
            <w:r w:rsidRPr="00EE308B">
              <w:rPr>
                <w:rFonts w:asciiTheme="minorHAnsi" w:hAnsiTheme="minorHAnsi" w:cstheme="minorHAnsi"/>
                <w:sz w:val="18"/>
                <w:szCs w:val="18"/>
              </w:rPr>
              <w:t>%</w:t>
            </w:r>
          </w:p>
        </w:tc>
      </w:tr>
      <w:tr w:rsidR="00027E89" w:rsidRPr="00EE308B" w14:paraId="2E188C44" w14:textId="77777777" w:rsidTr="00C459E8">
        <w:trPr>
          <w:trHeight w:hRule="exact" w:val="255"/>
          <w:jc w:val="center"/>
        </w:trPr>
        <w:tc>
          <w:tcPr>
            <w:tcW w:w="5822" w:type="dxa"/>
            <w:tcBorders>
              <w:top w:val="single" w:sz="8" w:space="0" w:color="FFFFFF" w:themeColor="background1"/>
              <w:bottom w:val="single" w:sz="8" w:space="0" w:color="FFFFFF" w:themeColor="background1"/>
            </w:tcBorders>
            <w:shd w:val="clear" w:color="auto" w:fill="DEEAF6" w:themeFill="accent1" w:themeFillTint="33"/>
            <w:noWrap/>
            <w:vAlign w:val="bottom"/>
            <w:hideMark/>
          </w:tcPr>
          <w:p w14:paraId="59304DA2" w14:textId="77777777" w:rsidR="00027E89" w:rsidRPr="00EE308B" w:rsidRDefault="00027E89" w:rsidP="00027E89">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 xml:space="preserve">      França</w:t>
            </w:r>
          </w:p>
        </w:tc>
        <w:tc>
          <w:tcPr>
            <w:tcW w:w="850" w:type="dxa"/>
            <w:tcBorders>
              <w:top w:val="single" w:sz="8" w:space="0" w:color="FFFFFF" w:themeColor="background1"/>
              <w:bottom w:val="single" w:sz="8" w:space="0" w:color="FFFFFF" w:themeColor="background1"/>
            </w:tcBorders>
            <w:shd w:val="clear" w:color="auto" w:fill="DEEAF6" w:themeFill="accent1" w:themeFillTint="33"/>
            <w:noWrap/>
            <w:hideMark/>
          </w:tcPr>
          <w:p w14:paraId="2D1F13EC" w14:textId="713576F5" w:rsidR="00027E89" w:rsidRPr="00EE308B" w:rsidRDefault="00027E89" w:rsidP="00027E89">
            <w:pPr>
              <w:jc w:val="both"/>
              <w:rPr>
                <w:rFonts w:asciiTheme="minorHAnsi" w:hAnsiTheme="minorHAnsi" w:cstheme="minorHAnsi"/>
                <w:color w:val="000000"/>
                <w:sz w:val="18"/>
                <w:szCs w:val="18"/>
              </w:rPr>
            </w:pPr>
            <w:r>
              <w:rPr>
                <w:rFonts w:asciiTheme="minorHAnsi" w:hAnsiTheme="minorHAnsi" w:cstheme="minorHAnsi"/>
                <w:sz w:val="18"/>
                <w:szCs w:val="18"/>
              </w:rPr>
              <w:t>0</w:t>
            </w:r>
            <w:r w:rsidRPr="00EE308B">
              <w:rPr>
                <w:rFonts w:asciiTheme="minorHAnsi" w:hAnsiTheme="minorHAnsi" w:cstheme="minorHAnsi"/>
                <w:sz w:val="18"/>
                <w:szCs w:val="18"/>
              </w:rPr>
              <w:t>,</w:t>
            </w:r>
            <w:r>
              <w:rPr>
                <w:rFonts w:asciiTheme="minorHAnsi" w:hAnsiTheme="minorHAnsi" w:cstheme="minorHAnsi"/>
                <w:sz w:val="18"/>
                <w:szCs w:val="18"/>
              </w:rPr>
              <w:t>9</w:t>
            </w:r>
            <w:r w:rsidRPr="00EE308B">
              <w:rPr>
                <w:rFonts w:asciiTheme="minorHAnsi" w:hAnsiTheme="minorHAnsi" w:cstheme="minorHAnsi"/>
                <w:sz w:val="18"/>
                <w:szCs w:val="18"/>
              </w:rPr>
              <w:t>%</w:t>
            </w:r>
          </w:p>
        </w:tc>
        <w:tc>
          <w:tcPr>
            <w:tcW w:w="854" w:type="dxa"/>
            <w:tcBorders>
              <w:top w:val="single" w:sz="8" w:space="0" w:color="FFFFFF" w:themeColor="background1"/>
              <w:bottom w:val="single" w:sz="8" w:space="0" w:color="FFFFFF" w:themeColor="background1"/>
            </w:tcBorders>
            <w:shd w:val="clear" w:color="auto" w:fill="DEEAF6" w:themeFill="accent1" w:themeFillTint="33"/>
            <w:noWrap/>
            <w:hideMark/>
          </w:tcPr>
          <w:p w14:paraId="1C4C16EF" w14:textId="683CC26A" w:rsidR="00027E89" w:rsidRPr="00EE308B" w:rsidRDefault="00027E89" w:rsidP="00027E89">
            <w:pPr>
              <w:jc w:val="both"/>
              <w:rPr>
                <w:rFonts w:asciiTheme="minorHAnsi" w:hAnsiTheme="minorHAnsi" w:cstheme="minorHAnsi"/>
                <w:color w:val="000000"/>
                <w:sz w:val="18"/>
                <w:szCs w:val="18"/>
              </w:rPr>
            </w:pPr>
            <w:r>
              <w:rPr>
                <w:rFonts w:asciiTheme="minorHAnsi" w:hAnsiTheme="minorHAnsi" w:cstheme="minorHAnsi"/>
                <w:sz w:val="18"/>
                <w:szCs w:val="18"/>
              </w:rPr>
              <w:t>0</w:t>
            </w:r>
            <w:r w:rsidRPr="00EE308B">
              <w:rPr>
                <w:rFonts w:asciiTheme="minorHAnsi" w:hAnsiTheme="minorHAnsi" w:cstheme="minorHAnsi"/>
                <w:sz w:val="18"/>
                <w:szCs w:val="18"/>
              </w:rPr>
              <w:t>,</w:t>
            </w:r>
            <w:r>
              <w:rPr>
                <w:rFonts w:asciiTheme="minorHAnsi" w:hAnsiTheme="minorHAnsi" w:cstheme="minorHAnsi"/>
                <w:sz w:val="18"/>
                <w:szCs w:val="18"/>
              </w:rPr>
              <w:t>7</w:t>
            </w:r>
            <w:r w:rsidRPr="00EE308B">
              <w:rPr>
                <w:rFonts w:asciiTheme="minorHAnsi" w:hAnsiTheme="minorHAnsi" w:cstheme="minorHAnsi"/>
                <w:sz w:val="18"/>
                <w:szCs w:val="18"/>
              </w:rPr>
              <w:t>%</w:t>
            </w:r>
          </w:p>
        </w:tc>
      </w:tr>
      <w:tr w:rsidR="00027E89" w:rsidRPr="00EE308B" w14:paraId="38794E61" w14:textId="77777777" w:rsidTr="00C459E8">
        <w:trPr>
          <w:trHeight w:hRule="exact" w:val="255"/>
          <w:jc w:val="center"/>
        </w:trPr>
        <w:tc>
          <w:tcPr>
            <w:tcW w:w="5822" w:type="dxa"/>
            <w:tcBorders>
              <w:top w:val="single" w:sz="8" w:space="0" w:color="FFFFFF" w:themeColor="background1"/>
              <w:bottom w:val="single" w:sz="8" w:space="0" w:color="FFFFFF" w:themeColor="background1"/>
            </w:tcBorders>
            <w:shd w:val="clear" w:color="auto" w:fill="DEEAF6" w:themeFill="accent1" w:themeFillTint="33"/>
            <w:noWrap/>
            <w:vAlign w:val="bottom"/>
            <w:hideMark/>
          </w:tcPr>
          <w:p w14:paraId="7EC9E471" w14:textId="77777777" w:rsidR="00027E89" w:rsidRPr="00EE308B" w:rsidRDefault="00027E89" w:rsidP="00027E89">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 xml:space="preserve">      Itália</w:t>
            </w:r>
          </w:p>
        </w:tc>
        <w:tc>
          <w:tcPr>
            <w:tcW w:w="850" w:type="dxa"/>
            <w:tcBorders>
              <w:top w:val="single" w:sz="8" w:space="0" w:color="FFFFFF" w:themeColor="background1"/>
              <w:bottom w:val="single" w:sz="8" w:space="0" w:color="FFFFFF" w:themeColor="background1"/>
            </w:tcBorders>
            <w:shd w:val="clear" w:color="auto" w:fill="DEEAF6" w:themeFill="accent1" w:themeFillTint="33"/>
            <w:noWrap/>
            <w:hideMark/>
          </w:tcPr>
          <w:p w14:paraId="224DB7CB" w14:textId="77777777" w:rsidR="00027E89" w:rsidRPr="00EE308B" w:rsidRDefault="00027E89" w:rsidP="00027E89">
            <w:pPr>
              <w:jc w:val="both"/>
              <w:rPr>
                <w:rFonts w:asciiTheme="minorHAnsi" w:hAnsiTheme="minorHAnsi" w:cstheme="minorHAnsi"/>
                <w:color w:val="000000"/>
                <w:sz w:val="18"/>
                <w:szCs w:val="18"/>
              </w:rPr>
            </w:pPr>
            <w:r w:rsidRPr="00EE308B">
              <w:rPr>
                <w:rFonts w:asciiTheme="minorHAnsi" w:hAnsiTheme="minorHAnsi" w:cstheme="minorHAnsi"/>
                <w:sz w:val="18"/>
                <w:szCs w:val="18"/>
              </w:rPr>
              <w:t>0,</w:t>
            </w:r>
            <w:r>
              <w:rPr>
                <w:rFonts w:asciiTheme="minorHAnsi" w:hAnsiTheme="minorHAnsi" w:cstheme="minorHAnsi"/>
                <w:sz w:val="18"/>
                <w:szCs w:val="18"/>
              </w:rPr>
              <w:t>8</w:t>
            </w:r>
            <w:r w:rsidRPr="00EE308B">
              <w:rPr>
                <w:rFonts w:asciiTheme="minorHAnsi" w:hAnsiTheme="minorHAnsi" w:cstheme="minorHAnsi"/>
                <w:sz w:val="18"/>
                <w:szCs w:val="18"/>
              </w:rPr>
              <w:t>%</w:t>
            </w:r>
          </w:p>
        </w:tc>
        <w:tc>
          <w:tcPr>
            <w:tcW w:w="854" w:type="dxa"/>
            <w:tcBorders>
              <w:top w:val="single" w:sz="8" w:space="0" w:color="FFFFFF" w:themeColor="background1"/>
              <w:bottom w:val="single" w:sz="8" w:space="0" w:color="FFFFFF" w:themeColor="background1"/>
            </w:tcBorders>
            <w:shd w:val="clear" w:color="auto" w:fill="DEEAF6" w:themeFill="accent1" w:themeFillTint="33"/>
            <w:noWrap/>
            <w:hideMark/>
          </w:tcPr>
          <w:p w14:paraId="1A909A39" w14:textId="0D7E1E9E" w:rsidR="00027E89" w:rsidRPr="00EE308B" w:rsidRDefault="00027E89" w:rsidP="00027E89">
            <w:pPr>
              <w:jc w:val="both"/>
              <w:rPr>
                <w:rFonts w:asciiTheme="minorHAnsi" w:hAnsiTheme="minorHAnsi" w:cstheme="minorHAnsi"/>
                <w:color w:val="000000"/>
                <w:sz w:val="18"/>
                <w:szCs w:val="18"/>
              </w:rPr>
            </w:pPr>
            <w:r w:rsidRPr="00EE308B">
              <w:rPr>
                <w:rFonts w:asciiTheme="minorHAnsi" w:hAnsiTheme="minorHAnsi" w:cstheme="minorHAnsi"/>
                <w:sz w:val="18"/>
                <w:szCs w:val="18"/>
              </w:rPr>
              <w:t>0,</w:t>
            </w:r>
            <w:r>
              <w:rPr>
                <w:rFonts w:asciiTheme="minorHAnsi" w:hAnsiTheme="minorHAnsi" w:cstheme="minorHAnsi"/>
                <w:sz w:val="18"/>
                <w:szCs w:val="18"/>
              </w:rPr>
              <w:t>5</w:t>
            </w:r>
            <w:r w:rsidRPr="00EE308B">
              <w:rPr>
                <w:rFonts w:asciiTheme="minorHAnsi" w:hAnsiTheme="minorHAnsi" w:cstheme="minorHAnsi"/>
                <w:sz w:val="18"/>
                <w:szCs w:val="18"/>
              </w:rPr>
              <w:t>%</w:t>
            </w:r>
          </w:p>
        </w:tc>
      </w:tr>
      <w:tr w:rsidR="00027E89" w:rsidRPr="00EE308B" w14:paraId="723A97C5" w14:textId="77777777" w:rsidTr="00C459E8">
        <w:trPr>
          <w:trHeight w:hRule="exact" w:val="255"/>
          <w:jc w:val="center"/>
        </w:trPr>
        <w:tc>
          <w:tcPr>
            <w:tcW w:w="5822" w:type="dxa"/>
            <w:tcBorders>
              <w:top w:val="single" w:sz="8" w:space="0" w:color="FFFFFF" w:themeColor="background1"/>
              <w:bottom w:val="single" w:sz="8" w:space="0" w:color="FFFFFF" w:themeColor="background1"/>
            </w:tcBorders>
            <w:shd w:val="clear" w:color="auto" w:fill="DEEAF6" w:themeFill="accent1" w:themeFillTint="33"/>
            <w:noWrap/>
            <w:vAlign w:val="bottom"/>
            <w:hideMark/>
          </w:tcPr>
          <w:p w14:paraId="20C0B8A1" w14:textId="77777777" w:rsidR="00027E89" w:rsidRPr="00EE308B" w:rsidRDefault="00027E89" w:rsidP="00027E89">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 xml:space="preserve">      Espanha</w:t>
            </w:r>
          </w:p>
        </w:tc>
        <w:tc>
          <w:tcPr>
            <w:tcW w:w="850" w:type="dxa"/>
            <w:tcBorders>
              <w:top w:val="single" w:sz="8" w:space="0" w:color="FFFFFF" w:themeColor="background1"/>
              <w:bottom w:val="single" w:sz="8" w:space="0" w:color="FFFFFF" w:themeColor="background1"/>
            </w:tcBorders>
            <w:shd w:val="clear" w:color="auto" w:fill="DEEAF6" w:themeFill="accent1" w:themeFillTint="33"/>
            <w:noWrap/>
            <w:hideMark/>
          </w:tcPr>
          <w:p w14:paraId="1C77C6B7" w14:textId="4303FCF6" w:rsidR="00027E89" w:rsidRPr="00EE308B" w:rsidRDefault="00027E89" w:rsidP="00027E89">
            <w:pPr>
              <w:jc w:val="both"/>
              <w:rPr>
                <w:rFonts w:asciiTheme="minorHAnsi" w:hAnsiTheme="minorHAnsi" w:cstheme="minorHAnsi"/>
                <w:color w:val="000000"/>
                <w:sz w:val="18"/>
                <w:szCs w:val="18"/>
              </w:rPr>
            </w:pPr>
            <w:r>
              <w:rPr>
                <w:rFonts w:asciiTheme="minorHAnsi" w:hAnsiTheme="minorHAnsi" w:cstheme="minorHAnsi"/>
                <w:sz w:val="18"/>
                <w:szCs w:val="18"/>
              </w:rPr>
              <w:t>2</w:t>
            </w:r>
            <w:r w:rsidRPr="00EE308B">
              <w:rPr>
                <w:rFonts w:asciiTheme="minorHAnsi" w:hAnsiTheme="minorHAnsi" w:cstheme="minorHAnsi"/>
                <w:sz w:val="18"/>
                <w:szCs w:val="18"/>
              </w:rPr>
              <w:t>,</w:t>
            </w:r>
            <w:r>
              <w:rPr>
                <w:rFonts w:asciiTheme="minorHAnsi" w:hAnsiTheme="minorHAnsi" w:cstheme="minorHAnsi"/>
                <w:sz w:val="18"/>
                <w:szCs w:val="18"/>
              </w:rPr>
              <w:t>0</w:t>
            </w:r>
            <w:r w:rsidRPr="00EE308B">
              <w:rPr>
                <w:rFonts w:asciiTheme="minorHAnsi" w:hAnsiTheme="minorHAnsi" w:cstheme="minorHAnsi"/>
                <w:sz w:val="18"/>
                <w:szCs w:val="18"/>
              </w:rPr>
              <w:t>%</w:t>
            </w:r>
          </w:p>
        </w:tc>
        <w:tc>
          <w:tcPr>
            <w:tcW w:w="854" w:type="dxa"/>
            <w:tcBorders>
              <w:top w:val="single" w:sz="8" w:space="0" w:color="FFFFFF" w:themeColor="background1"/>
              <w:bottom w:val="single" w:sz="8" w:space="0" w:color="FFFFFF" w:themeColor="background1"/>
            </w:tcBorders>
            <w:shd w:val="clear" w:color="auto" w:fill="DEEAF6" w:themeFill="accent1" w:themeFillTint="33"/>
            <w:noWrap/>
            <w:hideMark/>
          </w:tcPr>
          <w:p w14:paraId="3A0F263C" w14:textId="2FCE4598" w:rsidR="00027E89" w:rsidRPr="00EE308B" w:rsidRDefault="00027E89" w:rsidP="00027E89">
            <w:pPr>
              <w:jc w:val="both"/>
              <w:rPr>
                <w:rFonts w:asciiTheme="minorHAnsi" w:hAnsiTheme="minorHAnsi" w:cstheme="minorHAnsi"/>
                <w:color w:val="000000"/>
                <w:sz w:val="18"/>
                <w:szCs w:val="18"/>
              </w:rPr>
            </w:pPr>
            <w:r>
              <w:rPr>
                <w:rFonts w:asciiTheme="minorHAnsi" w:hAnsiTheme="minorHAnsi" w:cstheme="minorHAnsi"/>
                <w:sz w:val="18"/>
                <w:szCs w:val="18"/>
              </w:rPr>
              <w:t>2</w:t>
            </w:r>
            <w:r w:rsidRPr="00EE308B">
              <w:rPr>
                <w:rFonts w:asciiTheme="minorHAnsi" w:hAnsiTheme="minorHAnsi" w:cstheme="minorHAnsi"/>
                <w:sz w:val="18"/>
                <w:szCs w:val="18"/>
              </w:rPr>
              <w:t>,</w:t>
            </w:r>
            <w:r>
              <w:rPr>
                <w:rFonts w:asciiTheme="minorHAnsi" w:hAnsiTheme="minorHAnsi" w:cstheme="minorHAnsi"/>
                <w:sz w:val="18"/>
                <w:szCs w:val="18"/>
              </w:rPr>
              <w:t>9</w:t>
            </w:r>
            <w:r w:rsidRPr="00EE308B">
              <w:rPr>
                <w:rFonts w:asciiTheme="minorHAnsi" w:hAnsiTheme="minorHAnsi" w:cstheme="minorHAnsi"/>
                <w:sz w:val="18"/>
                <w:szCs w:val="18"/>
              </w:rPr>
              <w:t>%</w:t>
            </w:r>
          </w:p>
        </w:tc>
      </w:tr>
      <w:tr w:rsidR="00027E89" w:rsidRPr="00EE308B" w14:paraId="6CC4E465" w14:textId="77777777" w:rsidTr="00C459E8">
        <w:trPr>
          <w:trHeight w:hRule="exact" w:val="255"/>
          <w:jc w:val="center"/>
        </w:trPr>
        <w:tc>
          <w:tcPr>
            <w:tcW w:w="5822" w:type="dxa"/>
            <w:tcBorders>
              <w:top w:val="single" w:sz="8" w:space="0" w:color="FFFFFF" w:themeColor="background1"/>
              <w:bottom w:val="single" w:sz="8" w:space="0" w:color="FFFFFF" w:themeColor="background1"/>
            </w:tcBorders>
            <w:shd w:val="clear" w:color="auto" w:fill="DEEAF6" w:themeFill="accent1" w:themeFillTint="33"/>
            <w:noWrap/>
            <w:vAlign w:val="bottom"/>
            <w:hideMark/>
          </w:tcPr>
          <w:p w14:paraId="4CDD67D0" w14:textId="77777777" w:rsidR="00027E89" w:rsidRPr="00EE308B" w:rsidRDefault="00027E89" w:rsidP="00027E89">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 xml:space="preserve">    Japão</w:t>
            </w:r>
          </w:p>
        </w:tc>
        <w:tc>
          <w:tcPr>
            <w:tcW w:w="850" w:type="dxa"/>
            <w:tcBorders>
              <w:top w:val="single" w:sz="8" w:space="0" w:color="FFFFFF" w:themeColor="background1"/>
              <w:bottom w:val="single" w:sz="8" w:space="0" w:color="FFFFFF" w:themeColor="background1"/>
            </w:tcBorders>
            <w:shd w:val="clear" w:color="auto" w:fill="DEEAF6" w:themeFill="accent1" w:themeFillTint="33"/>
            <w:noWrap/>
            <w:hideMark/>
          </w:tcPr>
          <w:p w14:paraId="64E46B28" w14:textId="6F4611A9" w:rsidR="00027E89" w:rsidRPr="00EE308B" w:rsidRDefault="00027E89" w:rsidP="00027E89">
            <w:pPr>
              <w:jc w:val="both"/>
              <w:rPr>
                <w:rFonts w:asciiTheme="minorHAnsi" w:hAnsiTheme="minorHAnsi" w:cstheme="minorHAnsi"/>
                <w:color w:val="000000"/>
                <w:sz w:val="18"/>
                <w:szCs w:val="18"/>
              </w:rPr>
            </w:pPr>
            <w:r>
              <w:rPr>
                <w:rFonts w:asciiTheme="minorHAnsi" w:hAnsiTheme="minorHAnsi" w:cstheme="minorHAnsi"/>
                <w:sz w:val="18"/>
                <w:szCs w:val="18"/>
              </w:rPr>
              <w:t>0</w:t>
            </w:r>
            <w:r w:rsidRPr="00EE308B">
              <w:rPr>
                <w:rFonts w:asciiTheme="minorHAnsi" w:hAnsiTheme="minorHAnsi" w:cstheme="minorHAnsi"/>
                <w:sz w:val="18"/>
                <w:szCs w:val="18"/>
              </w:rPr>
              <w:t>,</w:t>
            </w:r>
            <w:r>
              <w:rPr>
                <w:rFonts w:asciiTheme="minorHAnsi" w:hAnsiTheme="minorHAnsi" w:cstheme="minorHAnsi"/>
                <w:sz w:val="18"/>
                <w:szCs w:val="18"/>
              </w:rPr>
              <w:t>6</w:t>
            </w:r>
            <w:r w:rsidRPr="00EE308B">
              <w:rPr>
                <w:rFonts w:asciiTheme="minorHAnsi" w:hAnsiTheme="minorHAnsi" w:cstheme="minorHAnsi"/>
                <w:sz w:val="18"/>
                <w:szCs w:val="18"/>
              </w:rPr>
              <w:t>%</w:t>
            </w:r>
          </w:p>
        </w:tc>
        <w:tc>
          <w:tcPr>
            <w:tcW w:w="854" w:type="dxa"/>
            <w:tcBorders>
              <w:top w:val="single" w:sz="8" w:space="0" w:color="FFFFFF" w:themeColor="background1"/>
              <w:bottom w:val="single" w:sz="8" w:space="0" w:color="FFFFFF" w:themeColor="background1"/>
            </w:tcBorders>
            <w:shd w:val="clear" w:color="auto" w:fill="DEEAF6" w:themeFill="accent1" w:themeFillTint="33"/>
            <w:noWrap/>
            <w:hideMark/>
          </w:tcPr>
          <w:p w14:paraId="29EFBA25" w14:textId="4CA67770" w:rsidR="00027E89" w:rsidRPr="00EE308B" w:rsidRDefault="00027E89" w:rsidP="00027E89">
            <w:pPr>
              <w:jc w:val="both"/>
              <w:rPr>
                <w:rFonts w:asciiTheme="minorHAnsi" w:hAnsiTheme="minorHAnsi" w:cstheme="minorHAnsi"/>
                <w:color w:val="000000"/>
                <w:sz w:val="18"/>
                <w:szCs w:val="18"/>
              </w:rPr>
            </w:pPr>
            <w:r>
              <w:rPr>
                <w:rFonts w:asciiTheme="minorHAnsi" w:hAnsiTheme="minorHAnsi" w:cstheme="minorHAnsi"/>
                <w:sz w:val="18"/>
                <w:szCs w:val="18"/>
              </w:rPr>
              <w:t>1</w:t>
            </w:r>
            <w:r w:rsidRPr="00EE308B">
              <w:rPr>
                <w:rFonts w:asciiTheme="minorHAnsi" w:hAnsiTheme="minorHAnsi" w:cstheme="minorHAnsi"/>
                <w:sz w:val="18"/>
                <w:szCs w:val="18"/>
              </w:rPr>
              <w:t>,</w:t>
            </w:r>
            <w:r>
              <w:rPr>
                <w:rFonts w:asciiTheme="minorHAnsi" w:hAnsiTheme="minorHAnsi" w:cstheme="minorHAnsi"/>
                <w:sz w:val="18"/>
                <w:szCs w:val="18"/>
              </w:rPr>
              <w:t>1</w:t>
            </w:r>
            <w:r w:rsidRPr="00EE308B">
              <w:rPr>
                <w:rFonts w:asciiTheme="minorHAnsi" w:hAnsiTheme="minorHAnsi" w:cstheme="minorHAnsi"/>
                <w:sz w:val="18"/>
                <w:szCs w:val="18"/>
              </w:rPr>
              <w:t>%</w:t>
            </w:r>
          </w:p>
        </w:tc>
      </w:tr>
      <w:tr w:rsidR="00027E89" w:rsidRPr="00EE308B" w14:paraId="4FD8FB46" w14:textId="77777777" w:rsidTr="00C459E8">
        <w:trPr>
          <w:trHeight w:hRule="exact" w:val="255"/>
          <w:jc w:val="center"/>
        </w:trPr>
        <w:tc>
          <w:tcPr>
            <w:tcW w:w="5822" w:type="dxa"/>
            <w:tcBorders>
              <w:top w:val="single" w:sz="8" w:space="0" w:color="FFFFFF" w:themeColor="background1"/>
              <w:bottom w:val="single" w:sz="8" w:space="0" w:color="FFFFFF" w:themeColor="background1"/>
            </w:tcBorders>
            <w:shd w:val="clear" w:color="auto" w:fill="DEEAF6" w:themeFill="accent1" w:themeFillTint="33"/>
            <w:noWrap/>
            <w:vAlign w:val="bottom"/>
            <w:hideMark/>
          </w:tcPr>
          <w:p w14:paraId="587AF76B" w14:textId="77777777" w:rsidR="00027E89" w:rsidRPr="00EE308B" w:rsidRDefault="00027E89" w:rsidP="00027E89">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 xml:space="preserve">    Reino Unido</w:t>
            </w:r>
          </w:p>
        </w:tc>
        <w:tc>
          <w:tcPr>
            <w:tcW w:w="850" w:type="dxa"/>
            <w:tcBorders>
              <w:top w:val="single" w:sz="8" w:space="0" w:color="FFFFFF" w:themeColor="background1"/>
              <w:bottom w:val="single" w:sz="8" w:space="0" w:color="FFFFFF" w:themeColor="background1"/>
            </w:tcBorders>
            <w:shd w:val="clear" w:color="auto" w:fill="DEEAF6" w:themeFill="accent1" w:themeFillTint="33"/>
            <w:noWrap/>
            <w:hideMark/>
          </w:tcPr>
          <w:p w14:paraId="0072A01D" w14:textId="6EC46CFB" w:rsidR="00027E89" w:rsidRPr="00EE308B" w:rsidRDefault="00027E89" w:rsidP="00027E89">
            <w:pPr>
              <w:jc w:val="both"/>
              <w:rPr>
                <w:rFonts w:asciiTheme="minorHAnsi" w:hAnsiTheme="minorHAnsi" w:cstheme="minorHAnsi"/>
                <w:color w:val="000000"/>
                <w:sz w:val="18"/>
                <w:szCs w:val="18"/>
              </w:rPr>
            </w:pPr>
            <w:r>
              <w:rPr>
                <w:rFonts w:asciiTheme="minorHAnsi" w:hAnsiTheme="minorHAnsi" w:cstheme="minorHAnsi"/>
                <w:sz w:val="18"/>
                <w:szCs w:val="18"/>
              </w:rPr>
              <w:t>1</w:t>
            </w:r>
            <w:r w:rsidRPr="00EE308B">
              <w:rPr>
                <w:rFonts w:asciiTheme="minorHAnsi" w:hAnsiTheme="minorHAnsi" w:cstheme="minorHAnsi"/>
                <w:sz w:val="18"/>
                <w:szCs w:val="18"/>
              </w:rPr>
              <w:t>,</w:t>
            </w:r>
            <w:r>
              <w:rPr>
                <w:rFonts w:asciiTheme="minorHAnsi" w:hAnsiTheme="minorHAnsi" w:cstheme="minorHAnsi"/>
                <w:sz w:val="18"/>
                <w:szCs w:val="18"/>
              </w:rPr>
              <w:t>3</w:t>
            </w:r>
            <w:r w:rsidRPr="00EE308B">
              <w:rPr>
                <w:rFonts w:asciiTheme="minorHAnsi" w:hAnsiTheme="minorHAnsi" w:cstheme="minorHAnsi"/>
                <w:sz w:val="18"/>
                <w:szCs w:val="18"/>
              </w:rPr>
              <w:t>%</w:t>
            </w:r>
          </w:p>
        </w:tc>
        <w:tc>
          <w:tcPr>
            <w:tcW w:w="854" w:type="dxa"/>
            <w:tcBorders>
              <w:top w:val="single" w:sz="8" w:space="0" w:color="FFFFFF" w:themeColor="background1"/>
              <w:bottom w:val="single" w:sz="8" w:space="0" w:color="FFFFFF" w:themeColor="background1"/>
            </w:tcBorders>
            <w:shd w:val="clear" w:color="auto" w:fill="DEEAF6" w:themeFill="accent1" w:themeFillTint="33"/>
            <w:noWrap/>
            <w:hideMark/>
          </w:tcPr>
          <w:p w14:paraId="48751CA7" w14:textId="39C8AA16" w:rsidR="00027E89" w:rsidRPr="00EE308B" w:rsidRDefault="00027E89" w:rsidP="00027E89">
            <w:pPr>
              <w:jc w:val="both"/>
              <w:rPr>
                <w:rFonts w:asciiTheme="minorHAnsi" w:hAnsiTheme="minorHAnsi" w:cstheme="minorHAnsi"/>
                <w:color w:val="000000"/>
                <w:sz w:val="18"/>
                <w:szCs w:val="18"/>
              </w:rPr>
            </w:pPr>
            <w:r>
              <w:rPr>
                <w:rFonts w:asciiTheme="minorHAnsi" w:hAnsiTheme="minorHAnsi" w:cstheme="minorHAnsi"/>
                <w:sz w:val="18"/>
                <w:szCs w:val="18"/>
              </w:rPr>
              <w:t>1</w:t>
            </w:r>
            <w:r w:rsidRPr="00EE308B">
              <w:rPr>
                <w:rFonts w:asciiTheme="minorHAnsi" w:hAnsiTheme="minorHAnsi" w:cstheme="minorHAnsi"/>
                <w:sz w:val="18"/>
                <w:szCs w:val="18"/>
              </w:rPr>
              <w:t>,</w:t>
            </w:r>
            <w:r>
              <w:rPr>
                <w:rFonts w:asciiTheme="minorHAnsi" w:hAnsiTheme="minorHAnsi" w:cstheme="minorHAnsi"/>
                <w:sz w:val="18"/>
                <w:szCs w:val="18"/>
              </w:rPr>
              <w:t>3</w:t>
            </w:r>
            <w:r w:rsidRPr="00EE308B">
              <w:rPr>
                <w:rFonts w:asciiTheme="minorHAnsi" w:hAnsiTheme="minorHAnsi" w:cstheme="minorHAnsi"/>
                <w:sz w:val="18"/>
                <w:szCs w:val="18"/>
              </w:rPr>
              <w:t>%</w:t>
            </w:r>
          </w:p>
        </w:tc>
      </w:tr>
      <w:tr w:rsidR="00027E89" w:rsidRPr="00EE308B" w14:paraId="29EA42FD" w14:textId="77777777" w:rsidTr="00C459E8">
        <w:trPr>
          <w:trHeight w:hRule="exact" w:val="255"/>
          <w:jc w:val="center"/>
        </w:trPr>
        <w:tc>
          <w:tcPr>
            <w:tcW w:w="5822" w:type="dxa"/>
            <w:tcBorders>
              <w:top w:val="single" w:sz="8" w:space="0" w:color="FFFFFF" w:themeColor="background1"/>
              <w:bottom w:val="single" w:sz="8" w:space="0" w:color="FFFFFF" w:themeColor="background1"/>
            </w:tcBorders>
            <w:shd w:val="clear" w:color="auto" w:fill="DEEAF6" w:themeFill="accent1" w:themeFillTint="33"/>
            <w:noWrap/>
            <w:vAlign w:val="bottom"/>
            <w:hideMark/>
          </w:tcPr>
          <w:p w14:paraId="522C921B" w14:textId="77777777" w:rsidR="00027E89" w:rsidRPr="00EE308B" w:rsidRDefault="00027E89" w:rsidP="00027E89">
            <w:pPr>
              <w:jc w:val="both"/>
              <w:rPr>
                <w:rFonts w:asciiTheme="minorHAnsi" w:hAnsiTheme="minorHAnsi" w:cstheme="minorHAnsi"/>
                <w:sz w:val="18"/>
                <w:szCs w:val="18"/>
              </w:rPr>
            </w:pPr>
            <w:r w:rsidRPr="00EE308B">
              <w:rPr>
                <w:rFonts w:asciiTheme="minorHAnsi" w:hAnsiTheme="minorHAnsi" w:cstheme="minorHAnsi"/>
                <w:sz w:val="18"/>
                <w:szCs w:val="18"/>
              </w:rPr>
              <w:t xml:space="preserve">    Canadá</w:t>
            </w:r>
          </w:p>
        </w:tc>
        <w:tc>
          <w:tcPr>
            <w:tcW w:w="850" w:type="dxa"/>
            <w:tcBorders>
              <w:top w:val="single" w:sz="8" w:space="0" w:color="FFFFFF" w:themeColor="background1"/>
              <w:bottom w:val="single" w:sz="8" w:space="0" w:color="FFFFFF" w:themeColor="background1"/>
            </w:tcBorders>
            <w:shd w:val="clear" w:color="auto" w:fill="DEEAF6" w:themeFill="accent1" w:themeFillTint="33"/>
            <w:noWrap/>
            <w:hideMark/>
          </w:tcPr>
          <w:p w14:paraId="12EE024F" w14:textId="3DC461CE" w:rsidR="00027E89" w:rsidRPr="00EE308B" w:rsidRDefault="00027E89" w:rsidP="00027E89">
            <w:pPr>
              <w:jc w:val="both"/>
              <w:rPr>
                <w:rFonts w:asciiTheme="minorHAnsi" w:hAnsiTheme="minorHAnsi" w:cstheme="minorHAnsi"/>
                <w:sz w:val="18"/>
                <w:szCs w:val="18"/>
              </w:rPr>
            </w:pPr>
            <w:r>
              <w:rPr>
                <w:rFonts w:asciiTheme="minorHAnsi" w:hAnsiTheme="minorHAnsi" w:cstheme="minorHAnsi"/>
                <w:sz w:val="18"/>
                <w:szCs w:val="18"/>
              </w:rPr>
              <w:t>1</w:t>
            </w:r>
            <w:r w:rsidRPr="00EE308B">
              <w:rPr>
                <w:rFonts w:asciiTheme="minorHAnsi" w:hAnsiTheme="minorHAnsi" w:cstheme="minorHAnsi"/>
                <w:sz w:val="18"/>
                <w:szCs w:val="18"/>
              </w:rPr>
              <w:t>,</w:t>
            </w:r>
            <w:r>
              <w:rPr>
                <w:rFonts w:asciiTheme="minorHAnsi" w:hAnsiTheme="minorHAnsi" w:cstheme="minorHAnsi"/>
                <w:sz w:val="18"/>
                <w:szCs w:val="18"/>
              </w:rPr>
              <w:t>5</w:t>
            </w:r>
            <w:r w:rsidRPr="00EE308B">
              <w:rPr>
                <w:rFonts w:asciiTheme="minorHAnsi" w:hAnsiTheme="minorHAnsi" w:cstheme="minorHAnsi"/>
                <w:sz w:val="18"/>
                <w:szCs w:val="18"/>
              </w:rPr>
              <w:t>%</w:t>
            </w:r>
          </w:p>
        </w:tc>
        <w:tc>
          <w:tcPr>
            <w:tcW w:w="854" w:type="dxa"/>
            <w:tcBorders>
              <w:top w:val="single" w:sz="8" w:space="0" w:color="FFFFFF" w:themeColor="background1"/>
              <w:bottom w:val="single" w:sz="8" w:space="0" w:color="FFFFFF" w:themeColor="background1"/>
            </w:tcBorders>
            <w:shd w:val="clear" w:color="auto" w:fill="DEEAF6" w:themeFill="accent1" w:themeFillTint="33"/>
            <w:noWrap/>
            <w:hideMark/>
          </w:tcPr>
          <w:p w14:paraId="4FDB44C6" w14:textId="4E75BCE3" w:rsidR="00027E89" w:rsidRPr="00EE308B" w:rsidRDefault="00027E89" w:rsidP="00027E89">
            <w:pPr>
              <w:jc w:val="both"/>
              <w:rPr>
                <w:rFonts w:asciiTheme="minorHAnsi" w:hAnsiTheme="minorHAnsi" w:cstheme="minorHAnsi"/>
                <w:sz w:val="18"/>
                <w:szCs w:val="18"/>
              </w:rPr>
            </w:pPr>
            <w:r>
              <w:rPr>
                <w:rFonts w:asciiTheme="minorHAnsi" w:hAnsiTheme="minorHAnsi" w:cstheme="minorHAnsi"/>
                <w:sz w:val="18"/>
                <w:szCs w:val="18"/>
              </w:rPr>
              <w:t>1</w:t>
            </w:r>
            <w:r w:rsidRPr="00EE308B">
              <w:rPr>
                <w:rFonts w:asciiTheme="minorHAnsi" w:hAnsiTheme="minorHAnsi" w:cstheme="minorHAnsi"/>
                <w:sz w:val="18"/>
                <w:szCs w:val="18"/>
              </w:rPr>
              <w:t>,</w:t>
            </w:r>
            <w:r>
              <w:rPr>
                <w:rFonts w:asciiTheme="minorHAnsi" w:hAnsiTheme="minorHAnsi" w:cstheme="minorHAnsi"/>
                <w:sz w:val="18"/>
                <w:szCs w:val="18"/>
              </w:rPr>
              <w:t>2</w:t>
            </w:r>
            <w:r w:rsidRPr="00EE308B">
              <w:rPr>
                <w:rFonts w:asciiTheme="minorHAnsi" w:hAnsiTheme="minorHAnsi" w:cstheme="minorHAnsi"/>
                <w:sz w:val="18"/>
                <w:szCs w:val="18"/>
              </w:rPr>
              <w:t>%</w:t>
            </w:r>
          </w:p>
        </w:tc>
      </w:tr>
      <w:tr w:rsidR="00027E89" w:rsidRPr="00EE308B" w14:paraId="583335EA" w14:textId="77777777" w:rsidTr="00C459E8">
        <w:trPr>
          <w:trHeight w:hRule="exact" w:val="255"/>
          <w:jc w:val="center"/>
        </w:trPr>
        <w:tc>
          <w:tcPr>
            <w:tcW w:w="5822" w:type="dxa"/>
            <w:tcBorders>
              <w:top w:val="single" w:sz="8" w:space="0" w:color="FFFFFF" w:themeColor="background1"/>
              <w:bottom w:val="single" w:sz="8" w:space="0" w:color="FFFFFF" w:themeColor="background1"/>
            </w:tcBorders>
            <w:shd w:val="clear" w:color="auto" w:fill="DEEAF6" w:themeFill="accent1" w:themeFillTint="33"/>
            <w:noWrap/>
            <w:vAlign w:val="bottom"/>
            <w:hideMark/>
          </w:tcPr>
          <w:p w14:paraId="1B189C55" w14:textId="77777777" w:rsidR="00027E89" w:rsidRPr="00EE308B" w:rsidRDefault="00027E89" w:rsidP="00027E89">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 xml:space="preserve">  Economias emergentes e em vias de desenvolvimento</w:t>
            </w:r>
          </w:p>
        </w:tc>
        <w:tc>
          <w:tcPr>
            <w:tcW w:w="850" w:type="dxa"/>
            <w:tcBorders>
              <w:top w:val="single" w:sz="8" w:space="0" w:color="FFFFFF" w:themeColor="background1"/>
              <w:bottom w:val="single" w:sz="8" w:space="0" w:color="FFFFFF" w:themeColor="background1"/>
            </w:tcBorders>
            <w:shd w:val="clear" w:color="auto" w:fill="DEEAF6" w:themeFill="accent1" w:themeFillTint="33"/>
            <w:noWrap/>
            <w:hideMark/>
          </w:tcPr>
          <w:p w14:paraId="1A323A1B" w14:textId="52C51CCB" w:rsidR="00027E89" w:rsidRPr="00EE308B" w:rsidRDefault="00027E89" w:rsidP="00027E89">
            <w:pPr>
              <w:jc w:val="both"/>
              <w:rPr>
                <w:rFonts w:asciiTheme="minorHAnsi" w:hAnsiTheme="minorHAnsi" w:cstheme="minorHAnsi"/>
                <w:color w:val="000000"/>
                <w:sz w:val="18"/>
                <w:szCs w:val="18"/>
              </w:rPr>
            </w:pPr>
            <w:r w:rsidRPr="00EE308B">
              <w:rPr>
                <w:rFonts w:asciiTheme="minorHAnsi" w:hAnsiTheme="minorHAnsi" w:cstheme="minorHAnsi"/>
                <w:sz w:val="18"/>
                <w:szCs w:val="18"/>
              </w:rPr>
              <w:t>4,</w:t>
            </w:r>
            <w:r>
              <w:rPr>
                <w:rFonts w:asciiTheme="minorHAnsi" w:hAnsiTheme="minorHAnsi" w:cstheme="minorHAnsi"/>
                <w:sz w:val="18"/>
                <w:szCs w:val="18"/>
              </w:rPr>
              <w:t>0</w:t>
            </w:r>
            <w:r w:rsidRPr="00EE308B">
              <w:rPr>
                <w:rFonts w:asciiTheme="minorHAnsi" w:hAnsiTheme="minorHAnsi" w:cstheme="minorHAnsi"/>
                <w:sz w:val="18"/>
                <w:szCs w:val="18"/>
              </w:rPr>
              <w:t>%</w:t>
            </w:r>
          </w:p>
        </w:tc>
        <w:tc>
          <w:tcPr>
            <w:tcW w:w="854" w:type="dxa"/>
            <w:tcBorders>
              <w:top w:val="single" w:sz="8" w:space="0" w:color="FFFFFF" w:themeColor="background1"/>
              <w:bottom w:val="single" w:sz="8" w:space="0" w:color="FFFFFF" w:themeColor="background1"/>
            </w:tcBorders>
            <w:shd w:val="clear" w:color="auto" w:fill="DEEAF6" w:themeFill="accent1" w:themeFillTint="33"/>
            <w:noWrap/>
            <w:hideMark/>
          </w:tcPr>
          <w:p w14:paraId="13EBCD64" w14:textId="6381180A" w:rsidR="00027E89" w:rsidRPr="00EE308B" w:rsidRDefault="00027E89" w:rsidP="00027E89">
            <w:pPr>
              <w:jc w:val="both"/>
              <w:rPr>
                <w:rFonts w:asciiTheme="minorHAnsi" w:hAnsiTheme="minorHAnsi" w:cstheme="minorHAnsi"/>
                <w:color w:val="000000"/>
                <w:sz w:val="18"/>
                <w:szCs w:val="18"/>
              </w:rPr>
            </w:pPr>
            <w:r w:rsidRPr="00EE308B">
              <w:rPr>
                <w:rFonts w:asciiTheme="minorHAnsi" w:hAnsiTheme="minorHAnsi" w:cstheme="minorHAnsi"/>
                <w:sz w:val="18"/>
                <w:szCs w:val="18"/>
              </w:rPr>
              <w:t>4,</w:t>
            </w:r>
            <w:r>
              <w:rPr>
                <w:rFonts w:asciiTheme="minorHAnsi" w:hAnsiTheme="minorHAnsi" w:cstheme="minorHAnsi"/>
                <w:sz w:val="18"/>
                <w:szCs w:val="18"/>
              </w:rPr>
              <w:t>2</w:t>
            </w:r>
            <w:r w:rsidRPr="00EE308B">
              <w:rPr>
                <w:rFonts w:asciiTheme="minorHAnsi" w:hAnsiTheme="minorHAnsi" w:cstheme="minorHAnsi"/>
                <w:sz w:val="18"/>
                <w:szCs w:val="18"/>
              </w:rPr>
              <w:t>%</w:t>
            </w:r>
          </w:p>
        </w:tc>
      </w:tr>
      <w:tr w:rsidR="00027E89" w:rsidRPr="00EE308B" w14:paraId="1036BA74" w14:textId="77777777" w:rsidTr="00C459E8">
        <w:trPr>
          <w:trHeight w:hRule="exact" w:val="255"/>
          <w:jc w:val="center"/>
        </w:trPr>
        <w:tc>
          <w:tcPr>
            <w:tcW w:w="5822" w:type="dxa"/>
            <w:tcBorders>
              <w:top w:val="single" w:sz="8" w:space="0" w:color="FFFFFF" w:themeColor="background1"/>
              <w:bottom w:val="single" w:sz="8" w:space="0" w:color="FFFFFF" w:themeColor="background1"/>
            </w:tcBorders>
            <w:shd w:val="clear" w:color="auto" w:fill="DEEAF6" w:themeFill="accent1" w:themeFillTint="33"/>
            <w:noWrap/>
            <w:vAlign w:val="bottom"/>
            <w:hideMark/>
          </w:tcPr>
          <w:p w14:paraId="3FA841E0" w14:textId="77777777" w:rsidR="00027E89" w:rsidRPr="00EE308B" w:rsidRDefault="00027E89" w:rsidP="00027E89">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 xml:space="preserve">    Rússia  </w:t>
            </w:r>
          </w:p>
        </w:tc>
        <w:tc>
          <w:tcPr>
            <w:tcW w:w="850" w:type="dxa"/>
            <w:tcBorders>
              <w:top w:val="single" w:sz="8" w:space="0" w:color="FFFFFF" w:themeColor="background1"/>
              <w:bottom w:val="single" w:sz="8" w:space="0" w:color="FFFFFF" w:themeColor="background1"/>
            </w:tcBorders>
            <w:shd w:val="clear" w:color="auto" w:fill="DEEAF6" w:themeFill="accent1" w:themeFillTint="33"/>
            <w:noWrap/>
          </w:tcPr>
          <w:p w14:paraId="34F40F7C" w14:textId="4EB04055" w:rsidR="00027E89" w:rsidRPr="00EE308B" w:rsidRDefault="00027E89" w:rsidP="00027E89">
            <w:pPr>
              <w:jc w:val="both"/>
              <w:rPr>
                <w:rFonts w:asciiTheme="minorHAnsi" w:hAnsiTheme="minorHAnsi" w:cstheme="minorHAnsi"/>
                <w:color w:val="000000"/>
                <w:sz w:val="18"/>
                <w:szCs w:val="18"/>
              </w:rPr>
            </w:pPr>
            <w:r>
              <w:rPr>
                <w:rFonts w:asciiTheme="minorHAnsi" w:hAnsiTheme="minorHAnsi" w:cstheme="minorHAnsi"/>
                <w:sz w:val="18"/>
                <w:szCs w:val="18"/>
              </w:rPr>
              <w:t>1</w:t>
            </w:r>
            <w:r w:rsidRPr="00EE308B">
              <w:rPr>
                <w:rFonts w:asciiTheme="minorHAnsi" w:hAnsiTheme="minorHAnsi" w:cstheme="minorHAnsi"/>
                <w:sz w:val="18"/>
                <w:szCs w:val="18"/>
              </w:rPr>
              <w:t>,</w:t>
            </w:r>
            <w:r>
              <w:rPr>
                <w:rFonts w:asciiTheme="minorHAnsi" w:hAnsiTheme="minorHAnsi" w:cstheme="minorHAnsi"/>
                <w:sz w:val="18"/>
                <w:szCs w:val="18"/>
              </w:rPr>
              <w:t>0</w:t>
            </w:r>
            <w:r w:rsidRPr="00EE308B">
              <w:rPr>
                <w:rFonts w:asciiTheme="minorHAnsi" w:hAnsiTheme="minorHAnsi" w:cstheme="minorHAnsi"/>
                <w:sz w:val="18"/>
                <w:szCs w:val="18"/>
              </w:rPr>
              <w:t>%</w:t>
            </w:r>
          </w:p>
        </w:tc>
        <w:tc>
          <w:tcPr>
            <w:tcW w:w="854" w:type="dxa"/>
            <w:tcBorders>
              <w:top w:val="single" w:sz="8" w:space="0" w:color="FFFFFF" w:themeColor="background1"/>
              <w:bottom w:val="single" w:sz="8" w:space="0" w:color="FFFFFF" w:themeColor="background1"/>
            </w:tcBorders>
            <w:shd w:val="clear" w:color="auto" w:fill="DEEAF6" w:themeFill="accent1" w:themeFillTint="33"/>
            <w:noWrap/>
          </w:tcPr>
          <w:p w14:paraId="1202CB1C" w14:textId="60192C12" w:rsidR="00027E89" w:rsidRPr="00EE308B" w:rsidRDefault="00027E89" w:rsidP="00027E89">
            <w:pPr>
              <w:jc w:val="both"/>
              <w:rPr>
                <w:rFonts w:asciiTheme="minorHAnsi" w:hAnsiTheme="minorHAnsi" w:cstheme="minorHAnsi"/>
                <w:color w:val="000000"/>
                <w:sz w:val="18"/>
                <w:szCs w:val="18"/>
              </w:rPr>
            </w:pPr>
            <w:r>
              <w:rPr>
                <w:rFonts w:asciiTheme="minorHAnsi" w:hAnsiTheme="minorHAnsi" w:cstheme="minorHAnsi"/>
                <w:sz w:val="18"/>
                <w:szCs w:val="18"/>
              </w:rPr>
              <w:t>0</w:t>
            </w:r>
            <w:r w:rsidRPr="00EE308B">
              <w:rPr>
                <w:rFonts w:asciiTheme="minorHAnsi" w:hAnsiTheme="minorHAnsi" w:cstheme="minorHAnsi"/>
                <w:sz w:val="18"/>
                <w:szCs w:val="18"/>
              </w:rPr>
              <w:t>,</w:t>
            </w:r>
            <w:r>
              <w:rPr>
                <w:rFonts w:asciiTheme="minorHAnsi" w:hAnsiTheme="minorHAnsi" w:cstheme="minorHAnsi"/>
                <w:sz w:val="18"/>
                <w:szCs w:val="18"/>
              </w:rPr>
              <w:t>6</w:t>
            </w:r>
            <w:r w:rsidRPr="00EE308B">
              <w:rPr>
                <w:rFonts w:asciiTheme="minorHAnsi" w:hAnsiTheme="minorHAnsi" w:cstheme="minorHAnsi"/>
                <w:sz w:val="18"/>
                <w:szCs w:val="18"/>
              </w:rPr>
              <w:t>%</w:t>
            </w:r>
          </w:p>
        </w:tc>
      </w:tr>
      <w:tr w:rsidR="00027E89" w:rsidRPr="00EE308B" w14:paraId="59C45499" w14:textId="77777777" w:rsidTr="00C459E8">
        <w:trPr>
          <w:trHeight w:hRule="exact" w:val="255"/>
          <w:jc w:val="center"/>
        </w:trPr>
        <w:tc>
          <w:tcPr>
            <w:tcW w:w="5822" w:type="dxa"/>
            <w:tcBorders>
              <w:top w:val="single" w:sz="8" w:space="0" w:color="FFFFFF" w:themeColor="background1"/>
              <w:bottom w:val="single" w:sz="8" w:space="0" w:color="FFFFFF" w:themeColor="background1"/>
            </w:tcBorders>
            <w:shd w:val="clear" w:color="auto" w:fill="DEEAF6" w:themeFill="accent1" w:themeFillTint="33"/>
            <w:noWrap/>
            <w:vAlign w:val="bottom"/>
            <w:hideMark/>
          </w:tcPr>
          <w:p w14:paraId="1E9BC058" w14:textId="77777777" w:rsidR="00027E89" w:rsidRPr="00EE308B" w:rsidRDefault="00027E89" w:rsidP="00027E89">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 xml:space="preserve">    China</w:t>
            </w:r>
          </w:p>
        </w:tc>
        <w:tc>
          <w:tcPr>
            <w:tcW w:w="850" w:type="dxa"/>
            <w:tcBorders>
              <w:top w:val="single" w:sz="8" w:space="0" w:color="FFFFFF" w:themeColor="background1"/>
              <w:bottom w:val="single" w:sz="8" w:space="0" w:color="FFFFFF" w:themeColor="background1"/>
            </w:tcBorders>
            <w:shd w:val="clear" w:color="auto" w:fill="DEEAF6" w:themeFill="accent1" w:themeFillTint="33"/>
            <w:noWrap/>
          </w:tcPr>
          <w:p w14:paraId="582EBF64" w14:textId="69768A33" w:rsidR="00027E89" w:rsidRPr="00EE308B" w:rsidRDefault="00027E89" w:rsidP="00027E89">
            <w:pPr>
              <w:jc w:val="both"/>
              <w:rPr>
                <w:rFonts w:asciiTheme="minorHAnsi" w:hAnsiTheme="minorHAnsi" w:cstheme="minorHAnsi"/>
                <w:color w:val="000000"/>
                <w:sz w:val="18"/>
                <w:szCs w:val="18"/>
              </w:rPr>
            </w:pPr>
            <w:r w:rsidRPr="00EE308B">
              <w:rPr>
                <w:rFonts w:asciiTheme="minorHAnsi" w:hAnsiTheme="minorHAnsi" w:cstheme="minorHAnsi"/>
                <w:sz w:val="18"/>
                <w:szCs w:val="18"/>
              </w:rPr>
              <w:t>4,</w:t>
            </w:r>
            <w:r>
              <w:rPr>
                <w:rFonts w:asciiTheme="minorHAnsi" w:hAnsiTheme="minorHAnsi" w:cstheme="minorHAnsi"/>
                <w:sz w:val="18"/>
                <w:szCs w:val="18"/>
              </w:rPr>
              <w:t>2</w:t>
            </w:r>
            <w:r w:rsidRPr="00EE308B">
              <w:rPr>
                <w:rFonts w:asciiTheme="minorHAnsi" w:hAnsiTheme="minorHAnsi" w:cstheme="minorHAnsi"/>
                <w:sz w:val="18"/>
                <w:szCs w:val="18"/>
              </w:rPr>
              <w:t>%</w:t>
            </w:r>
          </w:p>
        </w:tc>
        <w:tc>
          <w:tcPr>
            <w:tcW w:w="854" w:type="dxa"/>
            <w:tcBorders>
              <w:top w:val="single" w:sz="8" w:space="0" w:color="FFFFFF" w:themeColor="background1"/>
              <w:bottom w:val="single" w:sz="8" w:space="0" w:color="FFFFFF" w:themeColor="background1"/>
            </w:tcBorders>
            <w:shd w:val="clear" w:color="auto" w:fill="DEEAF6" w:themeFill="accent1" w:themeFillTint="33"/>
            <w:noWrap/>
          </w:tcPr>
          <w:p w14:paraId="14714DDA" w14:textId="19329C0C" w:rsidR="00027E89" w:rsidRPr="00EE308B" w:rsidRDefault="00027E89" w:rsidP="00027E89">
            <w:pPr>
              <w:jc w:val="both"/>
              <w:rPr>
                <w:rFonts w:asciiTheme="minorHAnsi" w:hAnsiTheme="minorHAnsi" w:cstheme="minorHAnsi"/>
                <w:color w:val="000000"/>
                <w:sz w:val="18"/>
                <w:szCs w:val="18"/>
              </w:rPr>
            </w:pPr>
            <w:r w:rsidRPr="00EE308B">
              <w:rPr>
                <w:rFonts w:asciiTheme="minorHAnsi" w:hAnsiTheme="minorHAnsi" w:cstheme="minorHAnsi"/>
                <w:sz w:val="18"/>
                <w:szCs w:val="18"/>
              </w:rPr>
              <w:t>4,</w:t>
            </w:r>
            <w:r>
              <w:rPr>
                <w:rFonts w:asciiTheme="minorHAnsi" w:hAnsiTheme="minorHAnsi" w:cstheme="minorHAnsi"/>
                <w:sz w:val="18"/>
                <w:szCs w:val="18"/>
              </w:rPr>
              <w:t>8</w:t>
            </w:r>
            <w:r w:rsidRPr="00EE308B">
              <w:rPr>
                <w:rFonts w:asciiTheme="minorHAnsi" w:hAnsiTheme="minorHAnsi" w:cstheme="minorHAnsi"/>
                <w:sz w:val="18"/>
                <w:szCs w:val="18"/>
              </w:rPr>
              <w:t>%</w:t>
            </w:r>
          </w:p>
        </w:tc>
      </w:tr>
      <w:tr w:rsidR="00027E89" w:rsidRPr="00EE308B" w14:paraId="44A397FE" w14:textId="77777777" w:rsidTr="00C459E8">
        <w:trPr>
          <w:trHeight w:hRule="exact" w:val="255"/>
          <w:jc w:val="center"/>
        </w:trPr>
        <w:tc>
          <w:tcPr>
            <w:tcW w:w="5822" w:type="dxa"/>
            <w:tcBorders>
              <w:top w:val="single" w:sz="8" w:space="0" w:color="FFFFFF" w:themeColor="background1"/>
              <w:bottom w:val="single" w:sz="8" w:space="0" w:color="FFFFFF" w:themeColor="background1"/>
            </w:tcBorders>
            <w:shd w:val="clear" w:color="auto" w:fill="DEEAF6" w:themeFill="accent1" w:themeFillTint="33"/>
            <w:noWrap/>
            <w:vAlign w:val="bottom"/>
            <w:hideMark/>
          </w:tcPr>
          <w:p w14:paraId="5BEE5875" w14:textId="77777777" w:rsidR="00027E89" w:rsidRPr="00EE308B" w:rsidRDefault="00027E89" w:rsidP="00027E89">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 xml:space="preserve">    Índia</w:t>
            </w:r>
          </w:p>
        </w:tc>
        <w:tc>
          <w:tcPr>
            <w:tcW w:w="850" w:type="dxa"/>
            <w:tcBorders>
              <w:top w:val="single" w:sz="8" w:space="0" w:color="FFFFFF" w:themeColor="background1"/>
              <w:bottom w:val="single" w:sz="8" w:space="0" w:color="FFFFFF" w:themeColor="background1"/>
            </w:tcBorders>
            <w:shd w:val="clear" w:color="auto" w:fill="DEEAF6" w:themeFill="accent1" w:themeFillTint="33"/>
            <w:noWrap/>
          </w:tcPr>
          <w:p w14:paraId="61C46967" w14:textId="48C41350" w:rsidR="00027E89" w:rsidRPr="00EE308B" w:rsidRDefault="00027E89" w:rsidP="00027E89">
            <w:pPr>
              <w:jc w:val="both"/>
              <w:rPr>
                <w:rFonts w:asciiTheme="minorHAnsi" w:hAnsiTheme="minorHAnsi" w:cstheme="minorHAnsi"/>
                <w:color w:val="000000"/>
                <w:sz w:val="18"/>
                <w:szCs w:val="18"/>
              </w:rPr>
            </w:pPr>
            <w:r w:rsidRPr="00EE308B">
              <w:rPr>
                <w:rFonts w:asciiTheme="minorHAnsi" w:hAnsiTheme="minorHAnsi" w:cstheme="minorHAnsi"/>
                <w:sz w:val="18"/>
                <w:szCs w:val="18"/>
              </w:rPr>
              <w:t>6,</w:t>
            </w:r>
            <w:r>
              <w:rPr>
                <w:rFonts w:asciiTheme="minorHAnsi" w:hAnsiTheme="minorHAnsi" w:cstheme="minorHAnsi"/>
                <w:sz w:val="18"/>
                <w:szCs w:val="18"/>
              </w:rPr>
              <w:t>2</w:t>
            </w:r>
            <w:r w:rsidRPr="00EE308B">
              <w:rPr>
                <w:rFonts w:asciiTheme="minorHAnsi" w:hAnsiTheme="minorHAnsi" w:cstheme="minorHAnsi"/>
                <w:sz w:val="18"/>
                <w:szCs w:val="18"/>
              </w:rPr>
              <w:t>%</w:t>
            </w:r>
          </w:p>
        </w:tc>
        <w:tc>
          <w:tcPr>
            <w:tcW w:w="854" w:type="dxa"/>
            <w:tcBorders>
              <w:top w:val="single" w:sz="8" w:space="0" w:color="FFFFFF" w:themeColor="background1"/>
              <w:bottom w:val="single" w:sz="8" w:space="0" w:color="FFFFFF" w:themeColor="background1"/>
            </w:tcBorders>
            <w:shd w:val="clear" w:color="auto" w:fill="DEEAF6" w:themeFill="accent1" w:themeFillTint="33"/>
            <w:noWrap/>
          </w:tcPr>
          <w:p w14:paraId="470C79A5" w14:textId="49EA7B68" w:rsidR="00027E89" w:rsidRPr="00EE308B" w:rsidRDefault="00027E89" w:rsidP="00027E89">
            <w:pPr>
              <w:jc w:val="both"/>
              <w:rPr>
                <w:rFonts w:asciiTheme="minorHAnsi" w:hAnsiTheme="minorHAnsi" w:cstheme="minorHAnsi"/>
                <w:color w:val="000000"/>
                <w:sz w:val="18"/>
                <w:szCs w:val="18"/>
              </w:rPr>
            </w:pPr>
            <w:r w:rsidRPr="00EE308B">
              <w:rPr>
                <w:rFonts w:asciiTheme="minorHAnsi" w:hAnsiTheme="minorHAnsi" w:cstheme="minorHAnsi"/>
                <w:sz w:val="18"/>
                <w:szCs w:val="18"/>
              </w:rPr>
              <w:t>6,</w:t>
            </w:r>
            <w:r>
              <w:rPr>
                <w:rFonts w:asciiTheme="minorHAnsi" w:hAnsiTheme="minorHAnsi" w:cstheme="minorHAnsi"/>
                <w:sz w:val="18"/>
                <w:szCs w:val="18"/>
              </w:rPr>
              <w:t>6</w:t>
            </w:r>
            <w:r w:rsidRPr="00EE308B">
              <w:rPr>
                <w:rFonts w:asciiTheme="minorHAnsi" w:hAnsiTheme="minorHAnsi" w:cstheme="minorHAnsi"/>
                <w:sz w:val="18"/>
                <w:szCs w:val="18"/>
              </w:rPr>
              <w:t>%</w:t>
            </w:r>
          </w:p>
        </w:tc>
      </w:tr>
      <w:tr w:rsidR="00027E89" w:rsidRPr="00EE308B" w14:paraId="746A39E2" w14:textId="77777777" w:rsidTr="00C459E8">
        <w:trPr>
          <w:trHeight w:hRule="exact" w:val="255"/>
          <w:jc w:val="center"/>
        </w:trPr>
        <w:tc>
          <w:tcPr>
            <w:tcW w:w="5822" w:type="dxa"/>
            <w:tcBorders>
              <w:top w:val="single" w:sz="8" w:space="0" w:color="FFFFFF" w:themeColor="background1"/>
              <w:bottom w:val="single" w:sz="8" w:space="0" w:color="FFFFFF" w:themeColor="background1"/>
            </w:tcBorders>
            <w:shd w:val="clear" w:color="auto" w:fill="DEEAF6" w:themeFill="accent1" w:themeFillTint="33"/>
            <w:noWrap/>
            <w:vAlign w:val="bottom"/>
            <w:hideMark/>
          </w:tcPr>
          <w:p w14:paraId="530AB813" w14:textId="77777777" w:rsidR="00027E89" w:rsidRPr="00EE308B" w:rsidRDefault="00027E89" w:rsidP="00027E89">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 xml:space="preserve">    Brasil</w:t>
            </w:r>
          </w:p>
        </w:tc>
        <w:tc>
          <w:tcPr>
            <w:tcW w:w="850" w:type="dxa"/>
            <w:tcBorders>
              <w:top w:val="single" w:sz="8" w:space="0" w:color="FFFFFF" w:themeColor="background1"/>
              <w:bottom w:val="single" w:sz="8" w:space="0" w:color="FFFFFF" w:themeColor="background1"/>
            </w:tcBorders>
            <w:shd w:val="clear" w:color="auto" w:fill="DEEAF6" w:themeFill="accent1" w:themeFillTint="33"/>
            <w:noWrap/>
          </w:tcPr>
          <w:p w14:paraId="5D4491B5" w14:textId="5EE7900B" w:rsidR="00027E89" w:rsidRPr="00EE308B" w:rsidRDefault="00027E89" w:rsidP="00027E89">
            <w:pPr>
              <w:jc w:val="both"/>
              <w:rPr>
                <w:rFonts w:asciiTheme="minorHAnsi" w:hAnsiTheme="minorHAnsi" w:cstheme="minorHAnsi"/>
                <w:color w:val="000000"/>
                <w:sz w:val="18"/>
                <w:szCs w:val="18"/>
              </w:rPr>
            </w:pPr>
            <w:r>
              <w:rPr>
                <w:rFonts w:asciiTheme="minorHAnsi" w:hAnsiTheme="minorHAnsi" w:cstheme="minorHAnsi"/>
                <w:color w:val="000000"/>
                <w:sz w:val="18"/>
                <w:szCs w:val="18"/>
              </w:rPr>
              <w:t>1</w:t>
            </w:r>
            <w:r w:rsidRPr="00EE308B">
              <w:rPr>
                <w:rFonts w:asciiTheme="minorHAnsi" w:hAnsiTheme="minorHAnsi" w:cstheme="minorHAnsi"/>
                <w:color w:val="000000"/>
                <w:sz w:val="18"/>
                <w:szCs w:val="18"/>
              </w:rPr>
              <w:t>,</w:t>
            </w:r>
            <w:r>
              <w:rPr>
                <w:rFonts w:asciiTheme="minorHAnsi" w:hAnsiTheme="minorHAnsi" w:cstheme="minorHAnsi"/>
                <w:color w:val="000000"/>
                <w:sz w:val="18"/>
                <w:szCs w:val="18"/>
              </w:rPr>
              <w:t>9</w:t>
            </w:r>
            <w:r w:rsidRPr="00EE308B">
              <w:rPr>
                <w:rFonts w:asciiTheme="minorHAnsi" w:hAnsiTheme="minorHAnsi" w:cstheme="minorHAnsi"/>
                <w:color w:val="000000"/>
                <w:sz w:val="18"/>
                <w:szCs w:val="18"/>
              </w:rPr>
              <w:t>%</w:t>
            </w:r>
          </w:p>
        </w:tc>
        <w:tc>
          <w:tcPr>
            <w:tcW w:w="854" w:type="dxa"/>
            <w:tcBorders>
              <w:top w:val="single" w:sz="8" w:space="0" w:color="FFFFFF" w:themeColor="background1"/>
              <w:bottom w:val="single" w:sz="8" w:space="0" w:color="FFFFFF" w:themeColor="background1"/>
            </w:tcBorders>
            <w:shd w:val="clear" w:color="auto" w:fill="DEEAF6" w:themeFill="accent1" w:themeFillTint="33"/>
            <w:noWrap/>
          </w:tcPr>
          <w:p w14:paraId="2A96C0AB" w14:textId="7F7695E5" w:rsidR="00027E89" w:rsidRPr="00EE308B" w:rsidRDefault="00027E89" w:rsidP="00027E89">
            <w:pPr>
              <w:jc w:val="both"/>
              <w:rPr>
                <w:rFonts w:asciiTheme="minorHAnsi" w:hAnsiTheme="minorHAnsi" w:cstheme="minorHAnsi"/>
                <w:color w:val="000000"/>
                <w:sz w:val="18"/>
                <w:szCs w:val="18"/>
              </w:rPr>
            </w:pPr>
            <w:r>
              <w:rPr>
                <w:rFonts w:asciiTheme="minorHAnsi" w:hAnsiTheme="minorHAnsi" w:cstheme="minorHAnsi"/>
                <w:color w:val="000000"/>
                <w:sz w:val="18"/>
                <w:szCs w:val="18"/>
              </w:rPr>
              <w:t>2</w:t>
            </w:r>
            <w:r w:rsidRPr="00EE308B">
              <w:rPr>
                <w:rFonts w:asciiTheme="minorHAnsi" w:hAnsiTheme="minorHAnsi" w:cstheme="minorHAnsi"/>
                <w:color w:val="000000"/>
                <w:sz w:val="18"/>
                <w:szCs w:val="18"/>
              </w:rPr>
              <w:t>,</w:t>
            </w:r>
            <w:r>
              <w:rPr>
                <w:rFonts w:asciiTheme="minorHAnsi" w:hAnsiTheme="minorHAnsi" w:cstheme="minorHAnsi"/>
                <w:color w:val="000000"/>
                <w:sz w:val="18"/>
                <w:szCs w:val="18"/>
              </w:rPr>
              <w:t>4</w:t>
            </w:r>
            <w:r w:rsidRPr="00EE308B">
              <w:rPr>
                <w:rFonts w:asciiTheme="minorHAnsi" w:hAnsiTheme="minorHAnsi" w:cstheme="minorHAnsi"/>
                <w:color w:val="000000"/>
                <w:sz w:val="18"/>
                <w:szCs w:val="18"/>
              </w:rPr>
              <w:t>%</w:t>
            </w:r>
          </w:p>
        </w:tc>
      </w:tr>
      <w:tr w:rsidR="00027E89" w:rsidRPr="00EE308B" w14:paraId="19C52D0F" w14:textId="77777777" w:rsidTr="00C459E8">
        <w:trPr>
          <w:trHeight w:hRule="exact" w:val="255"/>
          <w:jc w:val="center"/>
        </w:trPr>
        <w:tc>
          <w:tcPr>
            <w:tcW w:w="5822" w:type="dxa"/>
            <w:tcBorders>
              <w:top w:val="single" w:sz="8" w:space="0" w:color="FFFFFF" w:themeColor="background1"/>
              <w:bottom w:val="single" w:sz="8" w:space="0" w:color="FFFFFF" w:themeColor="background1"/>
            </w:tcBorders>
            <w:noWrap/>
            <w:vAlign w:val="bottom"/>
          </w:tcPr>
          <w:p w14:paraId="2A3B842C" w14:textId="5DCE22B4" w:rsidR="00027E89" w:rsidRPr="00EE308B" w:rsidRDefault="00027E89" w:rsidP="00C459E8">
            <w:pPr>
              <w:jc w:val="both"/>
              <w:rPr>
                <w:rFonts w:asciiTheme="minorHAnsi" w:hAnsiTheme="minorHAnsi" w:cstheme="minorHAnsi"/>
                <w:color w:val="000000"/>
                <w:sz w:val="16"/>
                <w:szCs w:val="16"/>
              </w:rPr>
            </w:pPr>
            <w:r w:rsidRPr="00EE308B">
              <w:rPr>
                <w:rFonts w:ascii="Calibri" w:hAnsi="Calibri" w:cs="Calibri"/>
                <w:color w:val="000000"/>
                <w:sz w:val="16"/>
                <w:szCs w:val="16"/>
              </w:rPr>
              <w:t xml:space="preserve">Fonte: </w:t>
            </w:r>
            <w:r w:rsidRPr="00EE308B">
              <w:rPr>
                <w:rFonts w:ascii="Calibri" w:hAnsi="Calibri" w:cs="Calibri"/>
                <w:i/>
                <w:iCs/>
                <w:color w:val="000000"/>
                <w:sz w:val="16"/>
                <w:szCs w:val="16"/>
              </w:rPr>
              <w:t>Outlook</w:t>
            </w:r>
            <w:r>
              <w:rPr>
                <w:rFonts w:ascii="Calibri" w:hAnsi="Calibri" w:cs="Calibri"/>
                <w:i/>
                <w:iCs/>
                <w:color w:val="000000"/>
                <w:sz w:val="16"/>
                <w:szCs w:val="16"/>
              </w:rPr>
              <w:t xml:space="preserve"> </w:t>
            </w:r>
            <w:r w:rsidRPr="00EE308B">
              <w:rPr>
                <w:rFonts w:ascii="Calibri" w:hAnsi="Calibri" w:cs="Calibri"/>
                <w:color w:val="000000"/>
                <w:sz w:val="16"/>
                <w:szCs w:val="16"/>
              </w:rPr>
              <w:t>o</w:t>
            </w:r>
            <w:r>
              <w:rPr>
                <w:rFonts w:ascii="Calibri" w:hAnsi="Calibri" w:cs="Calibri"/>
                <w:color w:val="000000"/>
                <w:sz w:val="16"/>
                <w:szCs w:val="16"/>
              </w:rPr>
              <w:t>utubro</w:t>
            </w:r>
            <w:r w:rsidRPr="00EE308B">
              <w:rPr>
                <w:rFonts w:ascii="Calibri" w:hAnsi="Calibri" w:cs="Calibri"/>
                <w:color w:val="000000"/>
                <w:sz w:val="16"/>
                <w:szCs w:val="16"/>
              </w:rPr>
              <w:t xml:space="preserve"> 202</w:t>
            </w:r>
            <w:r w:rsidR="00776E05">
              <w:rPr>
                <w:rFonts w:ascii="Calibri" w:hAnsi="Calibri" w:cs="Calibri"/>
                <w:color w:val="000000"/>
                <w:sz w:val="16"/>
                <w:szCs w:val="16"/>
              </w:rPr>
              <w:t>5</w:t>
            </w:r>
          </w:p>
        </w:tc>
        <w:tc>
          <w:tcPr>
            <w:tcW w:w="850" w:type="dxa"/>
            <w:tcBorders>
              <w:top w:val="single" w:sz="8" w:space="0" w:color="FFFFFF" w:themeColor="background1"/>
              <w:bottom w:val="single" w:sz="8" w:space="0" w:color="FFFFFF" w:themeColor="background1"/>
            </w:tcBorders>
            <w:noWrap/>
          </w:tcPr>
          <w:p w14:paraId="484A4335" w14:textId="77777777" w:rsidR="00027E89" w:rsidRPr="00EE308B" w:rsidRDefault="00027E89" w:rsidP="00C459E8">
            <w:pPr>
              <w:jc w:val="both"/>
              <w:rPr>
                <w:rFonts w:asciiTheme="minorHAnsi" w:hAnsiTheme="minorHAnsi" w:cstheme="minorHAnsi"/>
                <w:color w:val="000000"/>
                <w:sz w:val="16"/>
                <w:szCs w:val="16"/>
              </w:rPr>
            </w:pPr>
          </w:p>
        </w:tc>
        <w:tc>
          <w:tcPr>
            <w:tcW w:w="854" w:type="dxa"/>
            <w:tcBorders>
              <w:top w:val="single" w:sz="8" w:space="0" w:color="FFFFFF" w:themeColor="background1"/>
              <w:bottom w:val="single" w:sz="8" w:space="0" w:color="FFFFFF" w:themeColor="background1"/>
            </w:tcBorders>
            <w:noWrap/>
          </w:tcPr>
          <w:p w14:paraId="64011D12" w14:textId="77777777" w:rsidR="00027E89" w:rsidRPr="00EE308B" w:rsidRDefault="00027E89" w:rsidP="00C459E8">
            <w:pPr>
              <w:jc w:val="both"/>
              <w:rPr>
                <w:rFonts w:asciiTheme="minorHAnsi" w:hAnsiTheme="minorHAnsi" w:cstheme="minorHAnsi"/>
                <w:color w:val="000000"/>
                <w:sz w:val="16"/>
                <w:szCs w:val="16"/>
              </w:rPr>
            </w:pPr>
          </w:p>
        </w:tc>
      </w:tr>
    </w:tbl>
    <w:p w14:paraId="1E16E5A8" w14:textId="77777777" w:rsidR="00027E89" w:rsidRDefault="00027E89" w:rsidP="00074449">
      <w:pPr>
        <w:jc w:val="both"/>
        <w:rPr>
          <w:rFonts w:asciiTheme="minorHAnsi" w:hAnsiTheme="minorHAnsi" w:cstheme="minorHAnsi"/>
          <w:sz w:val="22"/>
          <w:szCs w:val="22"/>
        </w:rPr>
      </w:pPr>
    </w:p>
    <w:p w14:paraId="79C98A3D" w14:textId="77777777" w:rsidR="00074449" w:rsidRDefault="00074449" w:rsidP="00C93B74">
      <w:pPr>
        <w:jc w:val="both"/>
        <w:rPr>
          <w:rFonts w:asciiTheme="minorHAnsi" w:hAnsiTheme="minorHAnsi" w:cstheme="minorHAnsi"/>
          <w:sz w:val="22"/>
          <w:szCs w:val="22"/>
        </w:rPr>
      </w:pPr>
    </w:p>
    <w:p w14:paraId="3D51593E" w14:textId="77777777" w:rsidR="00482E94" w:rsidRPr="00482E94" w:rsidRDefault="00482E94" w:rsidP="00DF561C">
      <w:pPr>
        <w:jc w:val="both"/>
        <w:rPr>
          <w:rFonts w:asciiTheme="minorHAnsi" w:hAnsiTheme="minorHAnsi" w:cstheme="minorHAnsi"/>
          <w:sz w:val="22"/>
          <w:szCs w:val="22"/>
        </w:rPr>
      </w:pPr>
      <w:r w:rsidRPr="00482E94">
        <w:rPr>
          <w:rFonts w:asciiTheme="minorHAnsi" w:hAnsiTheme="minorHAnsi" w:cstheme="minorHAnsi"/>
          <w:sz w:val="22"/>
          <w:szCs w:val="22"/>
        </w:rPr>
        <w:t xml:space="preserve">Para 2026, os fatores de risco a ter em atenção são a maior dificuldade em trazer a inflação para o objetivo dos 2%, a continuação do protecionismo comercial vivido em 2025 e a continuação da guerra da Rússia / Ucrânia. </w:t>
      </w:r>
    </w:p>
    <w:p w14:paraId="69541F62" w14:textId="77777777" w:rsidR="00482E94" w:rsidRDefault="00482E94" w:rsidP="00DF561C">
      <w:pPr>
        <w:jc w:val="both"/>
        <w:rPr>
          <w:rFonts w:asciiTheme="minorHAnsi" w:hAnsiTheme="minorHAnsi" w:cstheme="minorHAnsi"/>
          <w:sz w:val="22"/>
          <w:szCs w:val="22"/>
        </w:rPr>
      </w:pPr>
    </w:p>
    <w:p w14:paraId="7EDE9D9C" w14:textId="77777777" w:rsidR="00482E94" w:rsidRPr="00CE2C66" w:rsidRDefault="00482E94" w:rsidP="00DF561C">
      <w:pPr>
        <w:jc w:val="both"/>
        <w:rPr>
          <w:rFonts w:asciiTheme="minorHAnsi" w:hAnsiTheme="minorHAnsi" w:cstheme="minorHAnsi"/>
          <w:sz w:val="22"/>
          <w:szCs w:val="22"/>
        </w:rPr>
      </w:pPr>
    </w:p>
    <w:p w14:paraId="7D2E6303" w14:textId="77777777" w:rsidR="001211DF" w:rsidRDefault="001211DF" w:rsidP="00DF561C">
      <w:pPr>
        <w:jc w:val="both"/>
        <w:rPr>
          <w:rFonts w:asciiTheme="minorHAnsi" w:hAnsiTheme="minorHAnsi" w:cstheme="minorHAnsi"/>
          <w:i/>
          <w:sz w:val="22"/>
          <w:szCs w:val="22"/>
        </w:rPr>
      </w:pPr>
    </w:p>
    <w:p w14:paraId="1E69DFF3" w14:textId="470DF2F4" w:rsidR="00C93B74" w:rsidRPr="009A4260" w:rsidRDefault="00C93B74" w:rsidP="00DF561C">
      <w:pPr>
        <w:jc w:val="both"/>
        <w:rPr>
          <w:rFonts w:asciiTheme="minorHAnsi" w:hAnsiTheme="minorHAnsi" w:cstheme="minorHAnsi"/>
          <w:i/>
          <w:sz w:val="22"/>
          <w:szCs w:val="22"/>
        </w:rPr>
      </w:pPr>
      <w:r w:rsidRPr="009A4260">
        <w:rPr>
          <w:rFonts w:asciiTheme="minorHAnsi" w:hAnsiTheme="minorHAnsi" w:cstheme="minorHAnsi"/>
          <w:i/>
          <w:sz w:val="22"/>
          <w:szCs w:val="22"/>
        </w:rPr>
        <w:t xml:space="preserve">Economia </w:t>
      </w:r>
      <w:proofErr w:type="gramStart"/>
      <w:r w:rsidRPr="009A4260">
        <w:rPr>
          <w:rFonts w:asciiTheme="minorHAnsi" w:hAnsiTheme="minorHAnsi" w:cstheme="minorHAnsi"/>
          <w:i/>
          <w:sz w:val="22"/>
          <w:szCs w:val="22"/>
        </w:rPr>
        <w:t>Portuguesa</w:t>
      </w:r>
      <w:proofErr w:type="gramEnd"/>
    </w:p>
    <w:p w14:paraId="5EC13608" w14:textId="77777777" w:rsidR="00C93B74" w:rsidRDefault="00C93B74" w:rsidP="00DF561C">
      <w:pPr>
        <w:jc w:val="both"/>
        <w:rPr>
          <w:rFonts w:asciiTheme="minorHAnsi" w:hAnsiTheme="minorHAnsi" w:cstheme="minorHAnsi"/>
          <w:sz w:val="22"/>
          <w:szCs w:val="22"/>
        </w:rPr>
      </w:pPr>
    </w:p>
    <w:p w14:paraId="1C1305BD" w14:textId="77777777" w:rsidR="001D5B01" w:rsidRDefault="001D5B01" w:rsidP="00DF561C">
      <w:pPr>
        <w:jc w:val="both"/>
        <w:rPr>
          <w:rFonts w:asciiTheme="minorHAnsi" w:hAnsiTheme="minorHAnsi" w:cstheme="minorHAnsi"/>
          <w:sz w:val="22"/>
          <w:szCs w:val="22"/>
        </w:rPr>
      </w:pPr>
      <w:r w:rsidRPr="001D5B01">
        <w:rPr>
          <w:rFonts w:asciiTheme="minorHAnsi" w:hAnsiTheme="minorHAnsi" w:cstheme="minorHAnsi"/>
          <w:sz w:val="22"/>
          <w:szCs w:val="22"/>
        </w:rPr>
        <w:t xml:space="preserve">Apesar de alguma incerteza internacional, a economia portuguesa acabou por demonstrar resiliência, especialmente devido ao crescimento do consumo das famílias. </w:t>
      </w:r>
    </w:p>
    <w:p w14:paraId="0D9FFE6A" w14:textId="77777777" w:rsidR="001D5B01" w:rsidRPr="001D5B01" w:rsidRDefault="001D5B01" w:rsidP="00DF561C">
      <w:pPr>
        <w:jc w:val="both"/>
        <w:rPr>
          <w:rFonts w:asciiTheme="minorHAnsi" w:hAnsiTheme="minorHAnsi" w:cstheme="minorHAnsi"/>
          <w:sz w:val="22"/>
          <w:szCs w:val="22"/>
        </w:rPr>
      </w:pPr>
    </w:p>
    <w:p w14:paraId="20CFD531" w14:textId="77777777" w:rsidR="001D5B01" w:rsidRDefault="001D5B01" w:rsidP="00DF561C">
      <w:pPr>
        <w:jc w:val="both"/>
        <w:rPr>
          <w:rFonts w:asciiTheme="minorHAnsi" w:hAnsiTheme="minorHAnsi" w:cstheme="minorHAnsi"/>
          <w:sz w:val="22"/>
          <w:szCs w:val="22"/>
        </w:rPr>
      </w:pPr>
      <w:r w:rsidRPr="001D5B01">
        <w:rPr>
          <w:rFonts w:asciiTheme="minorHAnsi" w:hAnsiTheme="minorHAnsi" w:cstheme="minorHAnsi"/>
          <w:sz w:val="22"/>
          <w:szCs w:val="22"/>
        </w:rPr>
        <w:t>O PIB deverá ter crescido 2,0% em 2025 segundo o Banco de Portugal (</w:t>
      </w:r>
      <w:proofErr w:type="spellStart"/>
      <w:r w:rsidRPr="001D5B01">
        <w:rPr>
          <w:rFonts w:asciiTheme="minorHAnsi" w:hAnsiTheme="minorHAnsi" w:cstheme="minorHAnsi"/>
          <w:sz w:val="22"/>
          <w:szCs w:val="22"/>
        </w:rPr>
        <w:t>BdP</w:t>
      </w:r>
      <w:proofErr w:type="spellEnd"/>
      <w:r w:rsidRPr="001D5B01">
        <w:rPr>
          <w:rFonts w:asciiTheme="minorHAnsi" w:hAnsiTheme="minorHAnsi" w:cstheme="minorHAnsi"/>
          <w:sz w:val="22"/>
          <w:szCs w:val="22"/>
        </w:rPr>
        <w:t>) no seu Boletim Económico de dezembro de 2025, após um crescimento de 2,1% em 2024.</w:t>
      </w:r>
    </w:p>
    <w:p w14:paraId="043EF696" w14:textId="77777777" w:rsidR="001D5B01" w:rsidRPr="001D5B01" w:rsidRDefault="001D5B01" w:rsidP="00DF561C">
      <w:pPr>
        <w:jc w:val="both"/>
        <w:rPr>
          <w:rFonts w:asciiTheme="minorHAnsi" w:hAnsiTheme="minorHAnsi" w:cstheme="minorHAnsi"/>
          <w:sz w:val="22"/>
          <w:szCs w:val="22"/>
        </w:rPr>
      </w:pPr>
    </w:p>
    <w:p w14:paraId="60326EBF" w14:textId="4CAB5F06" w:rsidR="001D5B01" w:rsidRDefault="001D5B01" w:rsidP="00DF561C">
      <w:pPr>
        <w:jc w:val="both"/>
        <w:rPr>
          <w:rFonts w:asciiTheme="minorHAnsi" w:hAnsiTheme="minorHAnsi" w:cstheme="minorHAnsi"/>
          <w:sz w:val="22"/>
          <w:szCs w:val="22"/>
        </w:rPr>
      </w:pPr>
      <w:r w:rsidRPr="001D5B01">
        <w:rPr>
          <w:rFonts w:asciiTheme="minorHAnsi" w:hAnsiTheme="minorHAnsi" w:cstheme="minorHAnsi"/>
          <w:sz w:val="22"/>
          <w:szCs w:val="22"/>
        </w:rPr>
        <w:t>O maior contribuidor do crescimento do PIB em 2025 continuou a ser tal como no</w:t>
      </w:r>
      <w:r w:rsidR="001A609F">
        <w:rPr>
          <w:rFonts w:asciiTheme="minorHAnsi" w:hAnsiTheme="minorHAnsi" w:cstheme="minorHAnsi"/>
          <w:sz w:val="22"/>
          <w:szCs w:val="22"/>
        </w:rPr>
        <w:t xml:space="preserve"> </w:t>
      </w:r>
      <w:r w:rsidRPr="001D5B01">
        <w:rPr>
          <w:rFonts w:asciiTheme="minorHAnsi" w:hAnsiTheme="minorHAnsi" w:cstheme="minorHAnsi"/>
          <w:sz w:val="22"/>
          <w:szCs w:val="22"/>
        </w:rPr>
        <w:t xml:space="preserve">ano anterior, o consumo privado com um crescimento de 3,6% (3% em 2024). </w:t>
      </w:r>
    </w:p>
    <w:p w14:paraId="0C18EABC" w14:textId="77777777" w:rsidR="001D5B01" w:rsidRPr="001D5B01" w:rsidRDefault="001D5B01" w:rsidP="00DF561C">
      <w:pPr>
        <w:jc w:val="both"/>
        <w:rPr>
          <w:rFonts w:asciiTheme="minorHAnsi" w:hAnsiTheme="minorHAnsi" w:cstheme="minorHAnsi"/>
          <w:sz w:val="22"/>
          <w:szCs w:val="22"/>
        </w:rPr>
      </w:pPr>
    </w:p>
    <w:p w14:paraId="09CF8D33" w14:textId="77777777" w:rsidR="001D5B01" w:rsidRDefault="001D5B01" w:rsidP="00DF561C">
      <w:pPr>
        <w:jc w:val="both"/>
        <w:rPr>
          <w:rFonts w:asciiTheme="minorHAnsi" w:hAnsiTheme="minorHAnsi" w:cstheme="minorHAnsi"/>
          <w:sz w:val="22"/>
          <w:szCs w:val="22"/>
        </w:rPr>
      </w:pPr>
      <w:r w:rsidRPr="001D5B01">
        <w:rPr>
          <w:rFonts w:asciiTheme="minorHAnsi" w:hAnsiTheme="minorHAnsi" w:cstheme="minorHAnsi"/>
          <w:sz w:val="22"/>
          <w:szCs w:val="22"/>
        </w:rPr>
        <w:t xml:space="preserve">O investimento (Formação Bruta de Capital Fixo) deverá ter crescido apenas 4% em 2025, estimando o </w:t>
      </w:r>
      <w:proofErr w:type="spellStart"/>
      <w:r w:rsidRPr="001D5B01">
        <w:rPr>
          <w:rFonts w:asciiTheme="minorHAnsi" w:hAnsiTheme="minorHAnsi" w:cstheme="minorHAnsi"/>
          <w:sz w:val="22"/>
          <w:szCs w:val="22"/>
        </w:rPr>
        <w:t>BdP</w:t>
      </w:r>
      <w:proofErr w:type="spellEnd"/>
      <w:r w:rsidRPr="001D5B01">
        <w:rPr>
          <w:rFonts w:asciiTheme="minorHAnsi" w:hAnsiTheme="minorHAnsi" w:cstheme="minorHAnsi"/>
          <w:sz w:val="22"/>
          <w:szCs w:val="22"/>
        </w:rPr>
        <w:t xml:space="preserve"> que em 2026 possa aumentar 6%.</w:t>
      </w:r>
    </w:p>
    <w:p w14:paraId="028C5055" w14:textId="77777777" w:rsidR="001D5B01" w:rsidRPr="001D5B01" w:rsidRDefault="001D5B01" w:rsidP="00DF561C">
      <w:pPr>
        <w:jc w:val="both"/>
        <w:rPr>
          <w:rFonts w:asciiTheme="minorHAnsi" w:hAnsiTheme="minorHAnsi" w:cstheme="minorHAnsi"/>
          <w:sz w:val="22"/>
          <w:szCs w:val="22"/>
        </w:rPr>
      </w:pPr>
    </w:p>
    <w:p w14:paraId="7A68A202" w14:textId="77777777" w:rsidR="001D5B01" w:rsidRDefault="001D5B01" w:rsidP="00DF561C">
      <w:pPr>
        <w:jc w:val="both"/>
        <w:rPr>
          <w:rFonts w:asciiTheme="minorHAnsi" w:hAnsiTheme="minorHAnsi" w:cstheme="minorHAnsi"/>
          <w:sz w:val="22"/>
          <w:szCs w:val="22"/>
        </w:rPr>
      </w:pPr>
      <w:r w:rsidRPr="001D5B01">
        <w:rPr>
          <w:rFonts w:asciiTheme="minorHAnsi" w:hAnsiTheme="minorHAnsi" w:cstheme="minorHAnsi"/>
          <w:sz w:val="22"/>
          <w:szCs w:val="22"/>
        </w:rPr>
        <w:t>As exportações deverão ter aumentado em 2025 apenas 1,1% (consequência da “guerra” tarifária (3,1% em 2024). As importações deverão ter registado um crescimento de 5,3% em 2025 (4,8% em 2024).</w:t>
      </w:r>
    </w:p>
    <w:p w14:paraId="0166B269" w14:textId="77777777" w:rsidR="001D5B01" w:rsidRPr="001D5B01" w:rsidRDefault="001D5B01" w:rsidP="00DF561C">
      <w:pPr>
        <w:jc w:val="both"/>
        <w:rPr>
          <w:rFonts w:asciiTheme="minorHAnsi" w:hAnsiTheme="minorHAnsi" w:cstheme="minorHAnsi"/>
          <w:sz w:val="22"/>
          <w:szCs w:val="22"/>
        </w:rPr>
      </w:pPr>
    </w:p>
    <w:p w14:paraId="1B1C27AE" w14:textId="77777777" w:rsidR="001D5B01" w:rsidRPr="001D5B01" w:rsidRDefault="001D5B01" w:rsidP="00DF561C">
      <w:pPr>
        <w:jc w:val="both"/>
        <w:rPr>
          <w:rFonts w:asciiTheme="minorHAnsi" w:hAnsiTheme="minorHAnsi" w:cstheme="minorHAnsi"/>
          <w:sz w:val="22"/>
          <w:szCs w:val="22"/>
        </w:rPr>
      </w:pPr>
      <w:r w:rsidRPr="001D5B01">
        <w:rPr>
          <w:rFonts w:asciiTheme="minorHAnsi" w:hAnsiTheme="minorHAnsi" w:cstheme="minorHAnsi"/>
          <w:sz w:val="22"/>
          <w:szCs w:val="22"/>
        </w:rPr>
        <w:t>A taxa de desemprego desceu ligeiramente, passando de 6,4% em 2024 para 6,2% em 2025. O Banco de Portugal estima que a taxa de desemprego suba ligeiramente para 6,3% em 2026.</w:t>
      </w:r>
    </w:p>
    <w:p w14:paraId="11067675" w14:textId="77777777" w:rsidR="001A609F" w:rsidRDefault="001A609F" w:rsidP="00DF561C">
      <w:pPr>
        <w:jc w:val="both"/>
        <w:rPr>
          <w:rFonts w:asciiTheme="minorHAnsi" w:hAnsiTheme="minorHAnsi" w:cstheme="minorHAnsi"/>
          <w:sz w:val="22"/>
          <w:szCs w:val="22"/>
        </w:rPr>
      </w:pPr>
    </w:p>
    <w:p w14:paraId="222B08EB" w14:textId="65693AED" w:rsidR="001D5B01" w:rsidRDefault="001D5B01" w:rsidP="00DF561C">
      <w:pPr>
        <w:jc w:val="both"/>
        <w:rPr>
          <w:rFonts w:asciiTheme="minorHAnsi" w:hAnsiTheme="minorHAnsi" w:cstheme="minorHAnsi"/>
          <w:sz w:val="22"/>
          <w:szCs w:val="22"/>
        </w:rPr>
      </w:pPr>
      <w:r w:rsidRPr="001D5B01">
        <w:rPr>
          <w:rFonts w:asciiTheme="minorHAnsi" w:hAnsiTheme="minorHAnsi" w:cstheme="minorHAnsi"/>
          <w:sz w:val="22"/>
          <w:szCs w:val="22"/>
        </w:rPr>
        <w:t>A inflação média anual em 2025 foi de 2,2% (2,7% em 2024).</w:t>
      </w:r>
    </w:p>
    <w:p w14:paraId="6401F153" w14:textId="77777777" w:rsidR="001D5B01" w:rsidRPr="001D5B01" w:rsidRDefault="001D5B01" w:rsidP="00DF561C">
      <w:pPr>
        <w:jc w:val="both"/>
        <w:rPr>
          <w:rFonts w:asciiTheme="minorHAnsi" w:hAnsiTheme="minorHAnsi" w:cstheme="minorHAnsi"/>
          <w:sz w:val="22"/>
          <w:szCs w:val="22"/>
        </w:rPr>
      </w:pPr>
    </w:p>
    <w:p w14:paraId="4465BDA7" w14:textId="77777777" w:rsidR="006C0F01" w:rsidRDefault="006C0F01" w:rsidP="00DF561C">
      <w:pPr>
        <w:jc w:val="both"/>
        <w:rPr>
          <w:rFonts w:asciiTheme="minorHAnsi" w:hAnsiTheme="minorHAnsi" w:cstheme="minorHAnsi"/>
          <w:sz w:val="22"/>
          <w:szCs w:val="22"/>
        </w:rPr>
      </w:pPr>
    </w:p>
    <w:p w14:paraId="6801D684" w14:textId="6E6C1B71" w:rsidR="001D5B01" w:rsidRDefault="001D5B01" w:rsidP="001D5B01">
      <w:pPr>
        <w:jc w:val="both"/>
        <w:rPr>
          <w:rFonts w:asciiTheme="minorHAnsi" w:hAnsiTheme="minorHAnsi" w:cstheme="minorHAnsi"/>
          <w:sz w:val="22"/>
          <w:szCs w:val="22"/>
        </w:rPr>
      </w:pPr>
      <w:r w:rsidRPr="001D5B01">
        <w:rPr>
          <w:rFonts w:asciiTheme="minorHAnsi" w:hAnsiTheme="minorHAnsi" w:cstheme="minorHAnsi"/>
          <w:sz w:val="22"/>
          <w:szCs w:val="22"/>
        </w:rPr>
        <w:lastRenderedPageBreak/>
        <w:t>No quadro seguinte, constam as estimativas do Banco de Portugal do Boletim Económico de dezembro de 2025:</w:t>
      </w:r>
    </w:p>
    <w:p w14:paraId="68D3EF3E" w14:textId="77777777" w:rsidR="00431592" w:rsidRDefault="00431592" w:rsidP="001D5B01">
      <w:pPr>
        <w:jc w:val="both"/>
        <w:rPr>
          <w:rFonts w:asciiTheme="minorHAnsi" w:hAnsiTheme="minorHAnsi" w:cstheme="minorHAnsi"/>
          <w:sz w:val="22"/>
          <w:szCs w:val="22"/>
        </w:rPr>
      </w:pPr>
    </w:p>
    <w:tbl>
      <w:tblPr>
        <w:tblW w:w="7797" w:type="dxa"/>
        <w:jc w:val="center"/>
        <w:tblCellMar>
          <w:left w:w="70" w:type="dxa"/>
          <w:right w:w="70" w:type="dxa"/>
        </w:tblCellMar>
        <w:tblLook w:val="04A0" w:firstRow="1" w:lastRow="0" w:firstColumn="1" w:lastColumn="0" w:noHBand="0" w:noVBand="1"/>
      </w:tblPr>
      <w:tblGrid>
        <w:gridCol w:w="3594"/>
        <w:gridCol w:w="1084"/>
        <w:gridCol w:w="992"/>
        <w:gridCol w:w="997"/>
        <w:gridCol w:w="1130"/>
      </w:tblGrid>
      <w:tr w:rsidR="00431592" w:rsidRPr="002A3920" w14:paraId="1872CD84" w14:textId="77777777" w:rsidTr="00C459E8">
        <w:trPr>
          <w:trHeight w:val="290"/>
          <w:tblHeader/>
          <w:jc w:val="center"/>
        </w:trPr>
        <w:tc>
          <w:tcPr>
            <w:tcW w:w="7797" w:type="dxa"/>
            <w:gridSpan w:val="5"/>
            <w:tcBorders>
              <w:top w:val="nil"/>
              <w:left w:val="nil"/>
              <w:bottom w:val="nil"/>
              <w:right w:val="nil"/>
            </w:tcBorders>
            <w:noWrap/>
            <w:vAlign w:val="bottom"/>
            <w:hideMark/>
          </w:tcPr>
          <w:p w14:paraId="2F20CD5A" w14:textId="5229FCD9" w:rsidR="00431592" w:rsidRPr="002A3920" w:rsidRDefault="00431592" w:rsidP="00C459E8">
            <w:pPr>
              <w:jc w:val="both"/>
              <w:rPr>
                <w:rFonts w:asciiTheme="minorHAnsi" w:hAnsiTheme="minorHAnsi" w:cstheme="minorHAnsi"/>
                <w:b/>
                <w:bCs/>
                <w:color w:val="000000"/>
                <w:sz w:val="20"/>
                <w:szCs w:val="20"/>
              </w:rPr>
            </w:pPr>
            <w:r w:rsidRPr="00101D93">
              <w:rPr>
                <w:rFonts w:asciiTheme="minorHAnsi" w:hAnsiTheme="minorHAnsi" w:cstheme="minorHAnsi"/>
                <w:b/>
                <w:bCs/>
                <w:color w:val="000000"/>
                <w:sz w:val="20"/>
                <w:szCs w:val="20"/>
              </w:rPr>
              <w:t xml:space="preserve">Projeções do Banco de Portugal </w:t>
            </w:r>
            <w:r>
              <w:rPr>
                <w:rFonts w:asciiTheme="minorHAnsi" w:hAnsiTheme="minorHAnsi" w:cstheme="minorHAnsi"/>
                <w:b/>
                <w:bCs/>
                <w:color w:val="000000"/>
                <w:sz w:val="20"/>
                <w:szCs w:val="20"/>
              </w:rPr>
              <w:t>–</w:t>
            </w:r>
            <w:r w:rsidRPr="00101D93">
              <w:rPr>
                <w:rFonts w:asciiTheme="minorHAnsi" w:hAnsiTheme="minorHAnsi" w:cstheme="minorHAnsi"/>
                <w:b/>
                <w:bCs/>
                <w:color w:val="000000"/>
                <w:sz w:val="20"/>
                <w:szCs w:val="20"/>
              </w:rPr>
              <w:t xml:space="preserve"> Taxa de variação anual em percentagem</w:t>
            </w:r>
          </w:p>
        </w:tc>
      </w:tr>
      <w:tr w:rsidR="00431592" w:rsidRPr="002A3920" w14:paraId="22392596" w14:textId="77777777" w:rsidTr="00C459E8">
        <w:trPr>
          <w:trHeight w:val="300"/>
          <w:tblHeader/>
          <w:jc w:val="center"/>
        </w:trPr>
        <w:tc>
          <w:tcPr>
            <w:tcW w:w="3594" w:type="dxa"/>
            <w:tcBorders>
              <w:bottom w:val="nil"/>
            </w:tcBorders>
            <w:shd w:val="clear" w:color="auto" w:fill="9CC2E5" w:themeFill="accent1" w:themeFillTint="99"/>
            <w:noWrap/>
            <w:vAlign w:val="center"/>
            <w:hideMark/>
          </w:tcPr>
          <w:p w14:paraId="0742EFF0" w14:textId="77777777" w:rsidR="00431592" w:rsidRPr="00EE308B" w:rsidRDefault="00431592" w:rsidP="00C459E8">
            <w:pPr>
              <w:jc w:val="both"/>
              <w:rPr>
                <w:rFonts w:asciiTheme="minorHAnsi" w:hAnsiTheme="minorHAnsi" w:cstheme="minorHAnsi"/>
                <w:b/>
                <w:bCs/>
                <w:sz w:val="18"/>
                <w:szCs w:val="18"/>
              </w:rPr>
            </w:pPr>
            <w:r>
              <w:rPr>
                <w:rFonts w:asciiTheme="minorHAnsi" w:hAnsiTheme="minorHAnsi" w:cstheme="minorHAnsi"/>
                <w:b/>
                <w:bCs/>
                <w:sz w:val="18"/>
                <w:szCs w:val="18"/>
              </w:rPr>
              <w:t xml:space="preserve"> </w:t>
            </w:r>
            <w:r w:rsidRPr="00EE308B">
              <w:rPr>
                <w:rFonts w:asciiTheme="minorHAnsi" w:hAnsiTheme="minorHAnsi" w:cstheme="minorHAnsi"/>
                <w:b/>
                <w:bCs/>
                <w:sz w:val="18"/>
                <w:szCs w:val="18"/>
              </w:rPr>
              <w:t> </w:t>
            </w:r>
          </w:p>
        </w:tc>
        <w:tc>
          <w:tcPr>
            <w:tcW w:w="1084" w:type="dxa"/>
            <w:tcBorders>
              <w:bottom w:val="nil"/>
              <w:right w:val="single" w:sz="8" w:space="0" w:color="FFFFFF" w:themeColor="background1"/>
            </w:tcBorders>
            <w:shd w:val="clear" w:color="auto" w:fill="9CC2E5" w:themeFill="accent1" w:themeFillTint="99"/>
            <w:noWrap/>
            <w:vAlign w:val="center"/>
            <w:hideMark/>
          </w:tcPr>
          <w:p w14:paraId="2DFB7965" w14:textId="77777777" w:rsidR="00431592" w:rsidRPr="00EE308B" w:rsidRDefault="00431592" w:rsidP="00C459E8">
            <w:pPr>
              <w:jc w:val="both"/>
              <w:rPr>
                <w:rFonts w:asciiTheme="minorHAnsi" w:hAnsiTheme="minorHAnsi" w:cstheme="minorHAnsi"/>
                <w:b/>
                <w:bCs/>
                <w:sz w:val="18"/>
                <w:szCs w:val="18"/>
              </w:rPr>
            </w:pPr>
            <w:r w:rsidRPr="00EE308B">
              <w:rPr>
                <w:rFonts w:asciiTheme="minorHAnsi" w:hAnsiTheme="minorHAnsi" w:cstheme="minorHAnsi"/>
                <w:b/>
                <w:bCs/>
                <w:sz w:val="18"/>
                <w:szCs w:val="18"/>
              </w:rPr>
              <w:t>Pesos</w:t>
            </w:r>
          </w:p>
        </w:tc>
        <w:tc>
          <w:tcPr>
            <w:tcW w:w="3119" w:type="dxa"/>
            <w:gridSpan w:val="3"/>
            <w:tcBorders>
              <w:left w:val="single" w:sz="8" w:space="0" w:color="FFFFFF" w:themeColor="background1"/>
              <w:bottom w:val="single" w:sz="8" w:space="0" w:color="FFFFFF" w:themeColor="background1"/>
            </w:tcBorders>
            <w:shd w:val="clear" w:color="auto" w:fill="9CC2E5" w:themeFill="accent1" w:themeFillTint="99"/>
            <w:noWrap/>
            <w:vAlign w:val="bottom"/>
            <w:hideMark/>
          </w:tcPr>
          <w:p w14:paraId="236CDBCE" w14:textId="20B7AE5C" w:rsidR="00431592" w:rsidRPr="00EE308B" w:rsidRDefault="00431592" w:rsidP="00C459E8">
            <w:pPr>
              <w:jc w:val="both"/>
              <w:rPr>
                <w:rFonts w:asciiTheme="minorHAnsi" w:hAnsiTheme="minorHAnsi" w:cstheme="minorHAnsi"/>
                <w:b/>
                <w:bCs/>
                <w:sz w:val="18"/>
                <w:szCs w:val="18"/>
              </w:rPr>
            </w:pPr>
            <w:r w:rsidRPr="00EE308B">
              <w:rPr>
                <w:rFonts w:asciiTheme="minorHAnsi" w:hAnsiTheme="minorHAnsi" w:cstheme="minorHAnsi"/>
                <w:b/>
                <w:bCs/>
                <w:sz w:val="18"/>
                <w:szCs w:val="18"/>
              </w:rPr>
              <w:t xml:space="preserve">          BE dezembro 202</w:t>
            </w:r>
            <w:r>
              <w:rPr>
                <w:rFonts w:asciiTheme="minorHAnsi" w:hAnsiTheme="minorHAnsi" w:cstheme="minorHAnsi"/>
                <w:b/>
                <w:bCs/>
                <w:sz w:val="18"/>
                <w:szCs w:val="18"/>
              </w:rPr>
              <w:t>5</w:t>
            </w:r>
          </w:p>
        </w:tc>
      </w:tr>
      <w:tr w:rsidR="00431592" w:rsidRPr="002A3920" w14:paraId="592FA50B" w14:textId="77777777" w:rsidTr="00C459E8">
        <w:trPr>
          <w:trHeight w:val="300"/>
          <w:tblHeader/>
          <w:jc w:val="center"/>
        </w:trPr>
        <w:tc>
          <w:tcPr>
            <w:tcW w:w="3594" w:type="dxa"/>
            <w:tcBorders>
              <w:bottom w:val="nil"/>
            </w:tcBorders>
            <w:shd w:val="clear" w:color="auto" w:fill="9CC2E5" w:themeFill="accent1" w:themeFillTint="99"/>
            <w:noWrap/>
            <w:vAlign w:val="center"/>
            <w:hideMark/>
          </w:tcPr>
          <w:p w14:paraId="0563A45E" w14:textId="77777777" w:rsidR="00431592" w:rsidRPr="00EE308B" w:rsidRDefault="00431592" w:rsidP="00C459E8">
            <w:pPr>
              <w:jc w:val="both"/>
              <w:rPr>
                <w:rFonts w:asciiTheme="minorHAnsi" w:hAnsiTheme="minorHAnsi" w:cstheme="minorHAnsi"/>
                <w:b/>
                <w:bCs/>
                <w:sz w:val="18"/>
                <w:szCs w:val="18"/>
              </w:rPr>
            </w:pPr>
            <w:r w:rsidRPr="00EE308B">
              <w:rPr>
                <w:rFonts w:asciiTheme="minorHAnsi" w:hAnsiTheme="minorHAnsi" w:cstheme="minorHAnsi"/>
                <w:b/>
                <w:bCs/>
                <w:sz w:val="18"/>
                <w:szCs w:val="18"/>
              </w:rPr>
              <w:t> Rubrica</w:t>
            </w:r>
          </w:p>
        </w:tc>
        <w:tc>
          <w:tcPr>
            <w:tcW w:w="1084" w:type="dxa"/>
            <w:tcBorders>
              <w:bottom w:val="nil"/>
              <w:right w:val="single" w:sz="8" w:space="0" w:color="FFFFFF" w:themeColor="background1"/>
            </w:tcBorders>
            <w:shd w:val="clear" w:color="auto" w:fill="9CC2E5" w:themeFill="accent1" w:themeFillTint="99"/>
            <w:noWrap/>
            <w:vAlign w:val="center"/>
          </w:tcPr>
          <w:p w14:paraId="5AA55874" w14:textId="028494F8" w:rsidR="00431592" w:rsidRPr="00EE308B" w:rsidRDefault="00431592" w:rsidP="00C459E8">
            <w:pPr>
              <w:jc w:val="both"/>
              <w:rPr>
                <w:rFonts w:asciiTheme="minorHAnsi" w:hAnsiTheme="minorHAnsi" w:cstheme="minorHAnsi"/>
                <w:b/>
                <w:bCs/>
                <w:sz w:val="18"/>
                <w:szCs w:val="18"/>
              </w:rPr>
            </w:pPr>
            <w:r w:rsidRPr="00EE308B">
              <w:rPr>
                <w:rFonts w:asciiTheme="minorHAnsi" w:hAnsiTheme="minorHAnsi" w:cstheme="minorHAnsi"/>
                <w:b/>
                <w:bCs/>
                <w:sz w:val="18"/>
                <w:szCs w:val="18"/>
              </w:rPr>
              <w:t>202</w:t>
            </w:r>
            <w:r>
              <w:rPr>
                <w:rFonts w:asciiTheme="minorHAnsi" w:hAnsiTheme="minorHAnsi" w:cstheme="minorHAnsi"/>
                <w:b/>
                <w:bCs/>
                <w:sz w:val="18"/>
                <w:szCs w:val="18"/>
              </w:rPr>
              <w:t>4</w:t>
            </w:r>
          </w:p>
        </w:tc>
        <w:tc>
          <w:tcPr>
            <w:tcW w:w="3119" w:type="dxa"/>
            <w:gridSpan w:val="3"/>
            <w:tcBorders>
              <w:left w:val="single" w:sz="8" w:space="0" w:color="FFFFFF" w:themeColor="background1"/>
              <w:bottom w:val="single" w:sz="8" w:space="0" w:color="FFFFFF" w:themeColor="background1"/>
            </w:tcBorders>
            <w:shd w:val="clear" w:color="auto" w:fill="9CC2E5" w:themeFill="accent1" w:themeFillTint="99"/>
            <w:noWrap/>
            <w:vAlign w:val="bottom"/>
            <w:hideMark/>
          </w:tcPr>
          <w:p w14:paraId="143F3DB9" w14:textId="0C44A854" w:rsidR="00431592" w:rsidRPr="00EE308B" w:rsidRDefault="00431592" w:rsidP="00C459E8">
            <w:pPr>
              <w:jc w:val="both"/>
              <w:rPr>
                <w:rFonts w:asciiTheme="minorHAnsi" w:hAnsiTheme="minorHAnsi" w:cstheme="minorHAnsi"/>
                <w:b/>
                <w:bCs/>
                <w:sz w:val="18"/>
                <w:szCs w:val="18"/>
              </w:rPr>
            </w:pPr>
            <w:r w:rsidRPr="00EE308B">
              <w:rPr>
                <w:rFonts w:asciiTheme="minorHAnsi" w:hAnsiTheme="minorHAnsi" w:cstheme="minorHAnsi"/>
                <w:b/>
                <w:bCs/>
                <w:sz w:val="18"/>
                <w:szCs w:val="18"/>
              </w:rPr>
              <w:t xml:space="preserve">  202</w:t>
            </w:r>
            <w:r w:rsidR="00E134C6">
              <w:rPr>
                <w:rFonts w:asciiTheme="minorHAnsi" w:hAnsiTheme="minorHAnsi" w:cstheme="minorHAnsi"/>
                <w:b/>
                <w:bCs/>
                <w:sz w:val="18"/>
                <w:szCs w:val="18"/>
              </w:rPr>
              <w:t>6</w:t>
            </w:r>
            <w:r w:rsidRPr="00EE308B">
              <w:rPr>
                <w:rFonts w:asciiTheme="minorHAnsi" w:hAnsiTheme="minorHAnsi" w:cstheme="minorHAnsi"/>
                <w:b/>
                <w:bCs/>
                <w:sz w:val="18"/>
                <w:szCs w:val="18"/>
              </w:rPr>
              <w:t xml:space="preserve"> (</w:t>
            </w:r>
            <w:proofErr w:type="gramStart"/>
            <w:r w:rsidRPr="00EE308B">
              <w:rPr>
                <w:rFonts w:asciiTheme="minorHAnsi" w:hAnsiTheme="minorHAnsi" w:cstheme="minorHAnsi"/>
                <w:b/>
                <w:bCs/>
                <w:sz w:val="18"/>
                <w:szCs w:val="18"/>
              </w:rPr>
              <w:t xml:space="preserve">p)   </w:t>
            </w:r>
            <w:proofErr w:type="gramEnd"/>
            <w:r w:rsidRPr="00EE308B">
              <w:rPr>
                <w:rFonts w:asciiTheme="minorHAnsi" w:hAnsiTheme="minorHAnsi" w:cstheme="minorHAnsi"/>
                <w:b/>
                <w:bCs/>
                <w:sz w:val="18"/>
                <w:szCs w:val="18"/>
              </w:rPr>
              <w:t xml:space="preserve"> </w:t>
            </w:r>
            <w:r>
              <w:rPr>
                <w:rFonts w:asciiTheme="minorHAnsi" w:hAnsiTheme="minorHAnsi" w:cstheme="minorHAnsi"/>
                <w:b/>
                <w:bCs/>
                <w:sz w:val="18"/>
                <w:szCs w:val="18"/>
              </w:rPr>
              <w:t xml:space="preserve">  </w:t>
            </w:r>
            <w:r w:rsidRPr="00EE308B">
              <w:rPr>
                <w:rFonts w:asciiTheme="minorHAnsi" w:hAnsiTheme="minorHAnsi" w:cstheme="minorHAnsi"/>
                <w:b/>
                <w:bCs/>
                <w:sz w:val="18"/>
                <w:szCs w:val="18"/>
              </w:rPr>
              <w:t xml:space="preserve">     202</w:t>
            </w:r>
            <w:r w:rsidR="00E134C6">
              <w:rPr>
                <w:rFonts w:asciiTheme="minorHAnsi" w:hAnsiTheme="minorHAnsi" w:cstheme="minorHAnsi"/>
                <w:b/>
                <w:bCs/>
                <w:sz w:val="18"/>
                <w:szCs w:val="18"/>
              </w:rPr>
              <w:t>5</w:t>
            </w:r>
            <w:r w:rsidRPr="00EE308B">
              <w:rPr>
                <w:rFonts w:asciiTheme="minorHAnsi" w:hAnsiTheme="minorHAnsi" w:cstheme="minorHAnsi"/>
                <w:b/>
                <w:bCs/>
                <w:sz w:val="18"/>
                <w:szCs w:val="18"/>
              </w:rPr>
              <w:t>(</w:t>
            </w:r>
            <w:proofErr w:type="gramStart"/>
            <w:r w:rsidRPr="00EE308B">
              <w:rPr>
                <w:rFonts w:asciiTheme="minorHAnsi" w:hAnsiTheme="minorHAnsi" w:cstheme="minorHAnsi"/>
                <w:b/>
                <w:bCs/>
                <w:sz w:val="18"/>
                <w:szCs w:val="18"/>
              </w:rPr>
              <w:t xml:space="preserve">p)   </w:t>
            </w:r>
            <w:proofErr w:type="gramEnd"/>
            <w:r w:rsidRPr="00EE308B">
              <w:rPr>
                <w:rFonts w:asciiTheme="minorHAnsi" w:hAnsiTheme="minorHAnsi" w:cstheme="minorHAnsi"/>
                <w:b/>
                <w:bCs/>
                <w:sz w:val="18"/>
                <w:szCs w:val="18"/>
              </w:rPr>
              <w:t xml:space="preserve"> </w:t>
            </w:r>
            <w:r>
              <w:rPr>
                <w:rFonts w:asciiTheme="minorHAnsi" w:hAnsiTheme="minorHAnsi" w:cstheme="minorHAnsi"/>
                <w:b/>
                <w:bCs/>
                <w:sz w:val="18"/>
                <w:szCs w:val="18"/>
              </w:rPr>
              <w:t xml:space="preserve">       </w:t>
            </w:r>
            <w:r w:rsidRPr="00EE308B">
              <w:rPr>
                <w:rFonts w:asciiTheme="minorHAnsi" w:hAnsiTheme="minorHAnsi" w:cstheme="minorHAnsi"/>
                <w:b/>
                <w:bCs/>
                <w:sz w:val="18"/>
                <w:szCs w:val="18"/>
              </w:rPr>
              <w:t xml:space="preserve"> 202</w:t>
            </w:r>
            <w:r w:rsidR="00E134C6">
              <w:rPr>
                <w:rFonts w:asciiTheme="minorHAnsi" w:hAnsiTheme="minorHAnsi" w:cstheme="minorHAnsi"/>
                <w:b/>
                <w:bCs/>
                <w:sz w:val="18"/>
                <w:szCs w:val="18"/>
              </w:rPr>
              <w:t>4</w:t>
            </w:r>
          </w:p>
        </w:tc>
      </w:tr>
      <w:tr w:rsidR="00431592" w:rsidRPr="002A3920" w14:paraId="529FB600" w14:textId="77777777" w:rsidTr="00C459E8">
        <w:trPr>
          <w:trHeight w:hRule="exact" w:val="255"/>
          <w:jc w:val="center"/>
        </w:trPr>
        <w:tc>
          <w:tcPr>
            <w:tcW w:w="3594"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13DB71BD" w14:textId="77777777" w:rsidR="00431592" w:rsidRPr="00EE308B" w:rsidRDefault="00431592" w:rsidP="00C459E8">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Produto Interno Bruto (PIB)</w:t>
            </w:r>
          </w:p>
        </w:tc>
        <w:tc>
          <w:tcPr>
            <w:tcW w:w="1084" w:type="dxa"/>
            <w:tcBorders>
              <w:top w:val="single" w:sz="8" w:space="0" w:color="FFFFFF" w:themeColor="background1"/>
              <w:bottom w:val="single" w:sz="8" w:space="0" w:color="FFFFFF" w:themeColor="background1"/>
              <w:right w:val="single" w:sz="8" w:space="0" w:color="FFFFFF" w:themeColor="background1"/>
            </w:tcBorders>
            <w:shd w:val="clear" w:color="auto" w:fill="DEEAF6" w:themeFill="accent1" w:themeFillTint="33"/>
            <w:noWrap/>
            <w:vAlign w:val="center"/>
            <w:hideMark/>
          </w:tcPr>
          <w:p w14:paraId="64A711DC" w14:textId="298FB98B" w:rsidR="00431592" w:rsidRPr="00EE308B" w:rsidRDefault="00431592" w:rsidP="00C459E8">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100</w:t>
            </w:r>
          </w:p>
        </w:tc>
        <w:tc>
          <w:tcPr>
            <w:tcW w:w="992" w:type="dxa"/>
            <w:tcBorders>
              <w:top w:val="single" w:sz="8" w:space="0" w:color="FFFFFF" w:themeColor="background1"/>
              <w:left w:val="single" w:sz="8" w:space="0" w:color="FFFFFF" w:themeColor="background1"/>
              <w:bottom w:val="single" w:sz="8" w:space="0" w:color="FFFFFF" w:themeColor="background1"/>
            </w:tcBorders>
            <w:shd w:val="clear" w:color="auto" w:fill="DEEAF6" w:themeFill="accent1" w:themeFillTint="33"/>
            <w:noWrap/>
            <w:vAlign w:val="center"/>
            <w:hideMark/>
          </w:tcPr>
          <w:p w14:paraId="78651995" w14:textId="5C4564AC" w:rsidR="00431592" w:rsidRPr="00EE308B" w:rsidRDefault="00431592" w:rsidP="00C459E8">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Pr="00EE308B">
              <w:rPr>
                <w:rFonts w:asciiTheme="minorHAnsi" w:hAnsiTheme="minorHAnsi" w:cstheme="minorHAnsi"/>
                <w:color w:val="000000"/>
                <w:sz w:val="18"/>
                <w:szCs w:val="18"/>
              </w:rPr>
              <w:t>,</w:t>
            </w:r>
            <w:r w:rsidR="00E134C6">
              <w:rPr>
                <w:rFonts w:asciiTheme="minorHAnsi" w:hAnsiTheme="minorHAnsi" w:cstheme="minorHAnsi"/>
                <w:color w:val="000000"/>
                <w:sz w:val="18"/>
                <w:szCs w:val="18"/>
              </w:rPr>
              <w:t>3</w:t>
            </w:r>
          </w:p>
        </w:tc>
        <w:tc>
          <w:tcPr>
            <w:tcW w:w="997"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59936236" w14:textId="6F959DCB" w:rsidR="00431592" w:rsidRPr="00EE308B" w:rsidRDefault="00E134C6" w:rsidP="00C459E8">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00431592" w:rsidRPr="00EE308B">
              <w:rPr>
                <w:rFonts w:asciiTheme="minorHAnsi" w:hAnsiTheme="minorHAnsi" w:cstheme="minorHAnsi"/>
                <w:color w:val="000000"/>
                <w:sz w:val="18"/>
                <w:szCs w:val="18"/>
              </w:rPr>
              <w:t>,</w:t>
            </w:r>
            <w:r>
              <w:rPr>
                <w:rFonts w:asciiTheme="minorHAnsi" w:hAnsiTheme="minorHAnsi" w:cstheme="minorHAnsi"/>
                <w:color w:val="000000"/>
                <w:sz w:val="18"/>
                <w:szCs w:val="18"/>
              </w:rPr>
              <w:t>0</w:t>
            </w:r>
          </w:p>
        </w:tc>
        <w:tc>
          <w:tcPr>
            <w:tcW w:w="1130"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062B9FD7" w14:textId="5BE7E395" w:rsidR="00431592" w:rsidRPr="00EE308B" w:rsidRDefault="00431592" w:rsidP="00C459E8">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Pr="00EE308B">
              <w:rPr>
                <w:rFonts w:asciiTheme="minorHAnsi" w:hAnsiTheme="minorHAnsi" w:cstheme="minorHAnsi"/>
                <w:color w:val="000000"/>
                <w:sz w:val="18"/>
                <w:szCs w:val="18"/>
              </w:rPr>
              <w:t>,</w:t>
            </w:r>
            <w:r w:rsidR="00E134C6">
              <w:rPr>
                <w:rFonts w:asciiTheme="minorHAnsi" w:hAnsiTheme="minorHAnsi" w:cstheme="minorHAnsi"/>
                <w:color w:val="000000"/>
                <w:sz w:val="18"/>
                <w:szCs w:val="18"/>
              </w:rPr>
              <w:t>1</w:t>
            </w:r>
          </w:p>
        </w:tc>
      </w:tr>
      <w:tr w:rsidR="00431592" w:rsidRPr="002A3920" w14:paraId="03B3742B" w14:textId="77777777" w:rsidTr="00C459E8">
        <w:trPr>
          <w:trHeight w:hRule="exact" w:val="255"/>
          <w:jc w:val="center"/>
        </w:trPr>
        <w:tc>
          <w:tcPr>
            <w:tcW w:w="3594"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5415EEFF" w14:textId="77777777" w:rsidR="00431592" w:rsidRPr="00EE308B" w:rsidRDefault="00431592" w:rsidP="00C459E8">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Consumo Privado</w:t>
            </w:r>
          </w:p>
        </w:tc>
        <w:tc>
          <w:tcPr>
            <w:tcW w:w="1084" w:type="dxa"/>
            <w:tcBorders>
              <w:top w:val="single" w:sz="8" w:space="0" w:color="FFFFFF" w:themeColor="background1"/>
              <w:bottom w:val="single" w:sz="8" w:space="0" w:color="FFFFFF" w:themeColor="background1"/>
              <w:right w:val="single" w:sz="8" w:space="0" w:color="FFFFFF" w:themeColor="background1"/>
            </w:tcBorders>
            <w:shd w:val="clear" w:color="auto" w:fill="DEEAF6" w:themeFill="accent1" w:themeFillTint="33"/>
            <w:noWrap/>
            <w:vAlign w:val="center"/>
            <w:hideMark/>
          </w:tcPr>
          <w:p w14:paraId="687E9409" w14:textId="25D41288" w:rsidR="00431592" w:rsidRPr="00EE308B" w:rsidRDefault="00431592" w:rsidP="00C459E8">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 xml:space="preserve">  6</w:t>
            </w:r>
            <w:r>
              <w:rPr>
                <w:rFonts w:asciiTheme="minorHAnsi" w:hAnsiTheme="minorHAnsi" w:cstheme="minorHAnsi"/>
                <w:color w:val="000000"/>
                <w:sz w:val="18"/>
                <w:szCs w:val="18"/>
              </w:rPr>
              <w:t>0</w:t>
            </w:r>
            <w:r w:rsidRPr="00EE308B">
              <w:rPr>
                <w:rFonts w:asciiTheme="minorHAnsi" w:hAnsiTheme="minorHAnsi" w:cstheme="minorHAnsi"/>
                <w:color w:val="000000"/>
                <w:sz w:val="18"/>
                <w:szCs w:val="18"/>
              </w:rPr>
              <w:t>,</w:t>
            </w:r>
            <w:r>
              <w:rPr>
                <w:rFonts w:asciiTheme="minorHAnsi" w:hAnsiTheme="minorHAnsi" w:cstheme="minorHAnsi"/>
                <w:color w:val="000000"/>
                <w:sz w:val="18"/>
                <w:szCs w:val="18"/>
              </w:rPr>
              <w:t>9</w:t>
            </w:r>
          </w:p>
        </w:tc>
        <w:tc>
          <w:tcPr>
            <w:tcW w:w="992" w:type="dxa"/>
            <w:tcBorders>
              <w:top w:val="single" w:sz="8" w:space="0" w:color="FFFFFF" w:themeColor="background1"/>
              <w:left w:val="single" w:sz="8" w:space="0" w:color="FFFFFF" w:themeColor="background1"/>
              <w:bottom w:val="single" w:sz="8" w:space="0" w:color="FFFFFF" w:themeColor="background1"/>
            </w:tcBorders>
            <w:shd w:val="clear" w:color="auto" w:fill="DEEAF6" w:themeFill="accent1" w:themeFillTint="33"/>
            <w:noWrap/>
            <w:vAlign w:val="center"/>
            <w:hideMark/>
          </w:tcPr>
          <w:p w14:paraId="5B021095" w14:textId="7D64A37E" w:rsidR="00431592" w:rsidRPr="00EE308B" w:rsidRDefault="00431592" w:rsidP="00C459E8">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Pr="00EE308B">
              <w:rPr>
                <w:rFonts w:asciiTheme="minorHAnsi" w:hAnsiTheme="minorHAnsi" w:cstheme="minorHAnsi"/>
                <w:color w:val="000000"/>
                <w:sz w:val="18"/>
                <w:szCs w:val="18"/>
              </w:rPr>
              <w:t>,</w:t>
            </w:r>
            <w:r w:rsidR="00E134C6">
              <w:rPr>
                <w:rFonts w:asciiTheme="minorHAnsi" w:hAnsiTheme="minorHAnsi" w:cstheme="minorHAnsi"/>
                <w:color w:val="000000"/>
                <w:sz w:val="18"/>
                <w:szCs w:val="18"/>
              </w:rPr>
              <w:t>3</w:t>
            </w:r>
          </w:p>
        </w:tc>
        <w:tc>
          <w:tcPr>
            <w:tcW w:w="997"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794312DF" w14:textId="1FF56321" w:rsidR="00431592" w:rsidRPr="00EE308B" w:rsidRDefault="00431592" w:rsidP="00C459E8">
            <w:pPr>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r w:rsidRPr="00EE308B">
              <w:rPr>
                <w:rFonts w:asciiTheme="minorHAnsi" w:hAnsiTheme="minorHAnsi" w:cstheme="minorHAnsi"/>
                <w:color w:val="000000"/>
                <w:sz w:val="18"/>
                <w:szCs w:val="18"/>
              </w:rPr>
              <w:t>,</w:t>
            </w:r>
            <w:r w:rsidR="00E134C6">
              <w:rPr>
                <w:rFonts w:asciiTheme="minorHAnsi" w:hAnsiTheme="minorHAnsi" w:cstheme="minorHAnsi"/>
                <w:color w:val="000000"/>
                <w:sz w:val="18"/>
                <w:szCs w:val="18"/>
              </w:rPr>
              <w:t>6</w:t>
            </w:r>
          </w:p>
        </w:tc>
        <w:tc>
          <w:tcPr>
            <w:tcW w:w="1130"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1D37E0B0" w14:textId="6AF5F13E" w:rsidR="00431592" w:rsidRPr="00EE308B" w:rsidRDefault="00E134C6" w:rsidP="00C459E8">
            <w:pPr>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r w:rsidR="00431592" w:rsidRPr="00EE308B">
              <w:rPr>
                <w:rFonts w:asciiTheme="minorHAnsi" w:hAnsiTheme="minorHAnsi" w:cstheme="minorHAnsi"/>
                <w:color w:val="000000"/>
                <w:sz w:val="18"/>
                <w:szCs w:val="18"/>
              </w:rPr>
              <w:t>,</w:t>
            </w:r>
            <w:r w:rsidR="00431592">
              <w:rPr>
                <w:rFonts w:asciiTheme="minorHAnsi" w:hAnsiTheme="minorHAnsi" w:cstheme="minorHAnsi"/>
                <w:color w:val="000000"/>
                <w:sz w:val="18"/>
                <w:szCs w:val="18"/>
              </w:rPr>
              <w:t>0</w:t>
            </w:r>
          </w:p>
        </w:tc>
      </w:tr>
      <w:tr w:rsidR="00431592" w:rsidRPr="002A3920" w14:paraId="1300EF25" w14:textId="77777777" w:rsidTr="00C459E8">
        <w:trPr>
          <w:trHeight w:hRule="exact" w:val="255"/>
          <w:jc w:val="center"/>
        </w:trPr>
        <w:tc>
          <w:tcPr>
            <w:tcW w:w="3594"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167C39E4" w14:textId="77777777" w:rsidR="00431592" w:rsidRPr="00EE308B" w:rsidRDefault="00431592" w:rsidP="00C459E8">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Consumo Público</w:t>
            </w:r>
          </w:p>
        </w:tc>
        <w:tc>
          <w:tcPr>
            <w:tcW w:w="1084" w:type="dxa"/>
            <w:tcBorders>
              <w:top w:val="single" w:sz="8" w:space="0" w:color="FFFFFF" w:themeColor="background1"/>
              <w:bottom w:val="single" w:sz="8" w:space="0" w:color="FFFFFF" w:themeColor="background1"/>
              <w:right w:val="single" w:sz="8" w:space="0" w:color="FFFFFF" w:themeColor="background1"/>
            </w:tcBorders>
            <w:shd w:val="clear" w:color="auto" w:fill="DEEAF6" w:themeFill="accent1" w:themeFillTint="33"/>
            <w:noWrap/>
            <w:vAlign w:val="center"/>
            <w:hideMark/>
          </w:tcPr>
          <w:p w14:paraId="36C59002" w14:textId="13A36282" w:rsidR="00431592" w:rsidRPr="00EE308B" w:rsidRDefault="00431592" w:rsidP="00C459E8">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 xml:space="preserve">  1</w:t>
            </w:r>
            <w:r>
              <w:rPr>
                <w:rFonts w:asciiTheme="minorHAnsi" w:hAnsiTheme="minorHAnsi" w:cstheme="minorHAnsi"/>
                <w:color w:val="000000"/>
                <w:sz w:val="18"/>
                <w:szCs w:val="18"/>
              </w:rPr>
              <w:t>6</w:t>
            </w:r>
            <w:r w:rsidRPr="00EE308B">
              <w:rPr>
                <w:rFonts w:asciiTheme="minorHAnsi" w:hAnsiTheme="minorHAnsi" w:cstheme="minorHAnsi"/>
                <w:color w:val="000000"/>
                <w:sz w:val="18"/>
                <w:szCs w:val="18"/>
              </w:rPr>
              <w:t>,</w:t>
            </w:r>
            <w:r>
              <w:rPr>
                <w:rFonts w:asciiTheme="minorHAnsi" w:hAnsiTheme="minorHAnsi" w:cstheme="minorHAnsi"/>
                <w:color w:val="000000"/>
                <w:sz w:val="18"/>
                <w:szCs w:val="18"/>
              </w:rPr>
              <w:t>9</w:t>
            </w:r>
          </w:p>
        </w:tc>
        <w:tc>
          <w:tcPr>
            <w:tcW w:w="992" w:type="dxa"/>
            <w:tcBorders>
              <w:top w:val="single" w:sz="8" w:space="0" w:color="FFFFFF" w:themeColor="background1"/>
              <w:left w:val="single" w:sz="8" w:space="0" w:color="FFFFFF" w:themeColor="background1"/>
              <w:bottom w:val="single" w:sz="8" w:space="0" w:color="FFFFFF" w:themeColor="background1"/>
            </w:tcBorders>
            <w:shd w:val="clear" w:color="auto" w:fill="DEEAF6" w:themeFill="accent1" w:themeFillTint="33"/>
            <w:noWrap/>
            <w:vAlign w:val="center"/>
            <w:hideMark/>
          </w:tcPr>
          <w:p w14:paraId="54326EB2" w14:textId="0ED87CF3" w:rsidR="00431592" w:rsidRPr="00EE308B" w:rsidRDefault="00431592" w:rsidP="00C459E8">
            <w:pPr>
              <w:jc w:val="center"/>
              <w:rPr>
                <w:rFonts w:asciiTheme="minorHAnsi" w:hAnsiTheme="minorHAnsi" w:cstheme="minorHAnsi"/>
                <w:color w:val="000000"/>
                <w:sz w:val="18"/>
                <w:szCs w:val="18"/>
              </w:rPr>
            </w:pPr>
            <w:r w:rsidRPr="00EE308B">
              <w:rPr>
                <w:rFonts w:asciiTheme="minorHAnsi" w:hAnsiTheme="minorHAnsi" w:cstheme="minorHAnsi"/>
                <w:color w:val="000000"/>
                <w:sz w:val="18"/>
                <w:szCs w:val="18"/>
              </w:rPr>
              <w:t>1,</w:t>
            </w:r>
            <w:r w:rsidR="00E134C6">
              <w:rPr>
                <w:rFonts w:asciiTheme="minorHAnsi" w:hAnsiTheme="minorHAnsi" w:cstheme="minorHAnsi"/>
                <w:color w:val="000000"/>
                <w:sz w:val="18"/>
                <w:szCs w:val="18"/>
              </w:rPr>
              <w:t>2</w:t>
            </w:r>
          </w:p>
        </w:tc>
        <w:tc>
          <w:tcPr>
            <w:tcW w:w="997"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2DCD97EE" w14:textId="3214415F" w:rsidR="00431592" w:rsidRPr="00EE308B" w:rsidRDefault="00431592" w:rsidP="00C459E8">
            <w:pPr>
              <w:jc w:val="center"/>
              <w:rPr>
                <w:rFonts w:asciiTheme="minorHAnsi" w:hAnsiTheme="minorHAnsi" w:cstheme="minorHAnsi"/>
                <w:color w:val="000000"/>
                <w:sz w:val="18"/>
                <w:szCs w:val="18"/>
              </w:rPr>
            </w:pPr>
            <w:r w:rsidRPr="00EE308B">
              <w:rPr>
                <w:rFonts w:asciiTheme="minorHAnsi" w:hAnsiTheme="minorHAnsi" w:cstheme="minorHAnsi"/>
                <w:color w:val="000000"/>
                <w:sz w:val="18"/>
                <w:szCs w:val="18"/>
              </w:rPr>
              <w:t>1,</w:t>
            </w:r>
            <w:r w:rsidR="00E134C6">
              <w:rPr>
                <w:rFonts w:asciiTheme="minorHAnsi" w:hAnsiTheme="minorHAnsi" w:cstheme="minorHAnsi"/>
                <w:color w:val="000000"/>
                <w:sz w:val="18"/>
                <w:szCs w:val="18"/>
              </w:rPr>
              <w:t>6</w:t>
            </w:r>
          </w:p>
        </w:tc>
        <w:tc>
          <w:tcPr>
            <w:tcW w:w="1130"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434A4334" w14:textId="06E3C649" w:rsidR="00431592" w:rsidRPr="00EE308B" w:rsidRDefault="00E134C6" w:rsidP="00C459E8">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r w:rsidR="00431592" w:rsidRPr="00EE308B">
              <w:rPr>
                <w:rFonts w:asciiTheme="minorHAnsi" w:hAnsiTheme="minorHAnsi" w:cstheme="minorHAnsi"/>
                <w:color w:val="000000"/>
                <w:sz w:val="18"/>
                <w:szCs w:val="18"/>
              </w:rPr>
              <w:t>.</w:t>
            </w:r>
            <w:r>
              <w:rPr>
                <w:rFonts w:asciiTheme="minorHAnsi" w:hAnsiTheme="minorHAnsi" w:cstheme="minorHAnsi"/>
                <w:color w:val="000000"/>
                <w:sz w:val="18"/>
                <w:szCs w:val="18"/>
              </w:rPr>
              <w:t>5</w:t>
            </w:r>
          </w:p>
        </w:tc>
      </w:tr>
      <w:tr w:rsidR="00431592" w:rsidRPr="002A3920" w14:paraId="59FC738F" w14:textId="77777777" w:rsidTr="00C459E8">
        <w:trPr>
          <w:trHeight w:hRule="exact" w:val="255"/>
          <w:jc w:val="center"/>
        </w:trPr>
        <w:tc>
          <w:tcPr>
            <w:tcW w:w="3594"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25E31C56" w14:textId="77777777" w:rsidR="00431592" w:rsidRPr="00EE308B" w:rsidRDefault="00431592" w:rsidP="00C459E8">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Formação Bruta de Capital Fixo</w:t>
            </w:r>
          </w:p>
        </w:tc>
        <w:tc>
          <w:tcPr>
            <w:tcW w:w="1084" w:type="dxa"/>
            <w:tcBorders>
              <w:top w:val="single" w:sz="8" w:space="0" w:color="FFFFFF" w:themeColor="background1"/>
              <w:bottom w:val="single" w:sz="8" w:space="0" w:color="FFFFFF" w:themeColor="background1"/>
              <w:right w:val="single" w:sz="8" w:space="0" w:color="FFFFFF" w:themeColor="background1"/>
            </w:tcBorders>
            <w:shd w:val="clear" w:color="auto" w:fill="DEEAF6" w:themeFill="accent1" w:themeFillTint="33"/>
            <w:noWrap/>
            <w:vAlign w:val="center"/>
            <w:hideMark/>
          </w:tcPr>
          <w:p w14:paraId="14C2C412" w14:textId="65349439" w:rsidR="00431592" w:rsidRPr="00EE308B" w:rsidRDefault="00431592" w:rsidP="00C459E8">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 xml:space="preserve">  20,</w:t>
            </w:r>
            <w:r>
              <w:rPr>
                <w:rFonts w:asciiTheme="minorHAnsi" w:hAnsiTheme="minorHAnsi" w:cstheme="minorHAnsi"/>
                <w:color w:val="000000"/>
                <w:sz w:val="18"/>
                <w:szCs w:val="18"/>
              </w:rPr>
              <w:t>4</w:t>
            </w:r>
          </w:p>
        </w:tc>
        <w:tc>
          <w:tcPr>
            <w:tcW w:w="992" w:type="dxa"/>
            <w:tcBorders>
              <w:top w:val="single" w:sz="8" w:space="0" w:color="FFFFFF" w:themeColor="background1"/>
              <w:left w:val="single" w:sz="8" w:space="0" w:color="FFFFFF" w:themeColor="background1"/>
              <w:bottom w:val="single" w:sz="8" w:space="0" w:color="FFFFFF" w:themeColor="background1"/>
            </w:tcBorders>
            <w:shd w:val="clear" w:color="auto" w:fill="DEEAF6" w:themeFill="accent1" w:themeFillTint="33"/>
            <w:noWrap/>
            <w:vAlign w:val="center"/>
            <w:hideMark/>
          </w:tcPr>
          <w:p w14:paraId="0EE89C31" w14:textId="19D3D534" w:rsidR="00431592" w:rsidRPr="00EE308B" w:rsidRDefault="00E134C6" w:rsidP="00C459E8">
            <w:pPr>
              <w:jc w:val="center"/>
              <w:rPr>
                <w:rFonts w:asciiTheme="minorHAnsi" w:hAnsiTheme="minorHAnsi" w:cstheme="minorHAnsi"/>
                <w:color w:val="000000"/>
                <w:sz w:val="18"/>
                <w:szCs w:val="18"/>
              </w:rPr>
            </w:pPr>
            <w:r>
              <w:rPr>
                <w:rFonts w:asciiTheme="minorHAnsi" w:hAnsiTheme="minorHAnsi" w:cstheme="minorHAnsi"/>
                <w:color w:val="000000"/>
                <w:sz w:val="18"/>
                <w:szCs w:val="18"/>
              </w:rPr>
              <w:t>6</w:t>
            </w:r>
            <w:r w:rsidR="00431592" w:rsidRPr="00EE308B">
              <w:rPr>
                <w:rFonts w:asciiTheme="minorHAnsi" w:hAnsiTheme="minorHAnsi" w:cstheme="minorHAnsi"/>
                <w:color w:val="000000"/>
                <w:sz w:val="18"/>
                <w:szCs w:val="18"/>
              </w:rPr>
              <w:t>,</w:t>
            </w:r>
            <w:r>
              <w:rPr>
                <w:rFonts w:asciiTheme="minorHAnsi" w:hAnsiTheme="minorHAnsi" w:cstheme="minorHAnsi"/>
                <w:color w:val="000000"/>
                <w:sz w:val="18"/>
                <w:szCs w:val="18"/>
              </w:rPr>
              <w:t>0</w:t>
            </w:r>
          </w:p>
        </w:tc>
        <w:tc>
          <w:tcPr>
            <w:tcW w:w="997"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0CBCB961" w14:textId="4F7C4C57" w:rsidR="00431592" w:rsidRPr="00EE308B" w:rsidRDefault="00E134C6" w:rsidP="00C459E8">
            <w:pPr>
              <w:jc w:val="center"/>
              <w:rPr>
                <w:rFonts w:asciiTheme="minorHAnsi" w:hAnsiTheme="minorHAnsi" w:cstheme="minorHAnsi"/>
                <w:color w:val="000000"/>
                <w:sz w:val="18"/>
                <w:szCs w:val="18"/>
              </w:rPr>
            </w:pPr>
            <w:r>
              <w:rPr>
                <w:rFonts w:asciiTheme="minorHAnsi" w:hAnsiTheme="minorHAnsi" w:cstheme="minorHAnsi"/>
                <w:color w:val="000000"/>
                <w:sz w:val="18"/>
                <w:szCs w:val="18"/>
              </w:rPr>
              <w:t>4</w:t>
            </w:r>
            <w:r w:rsidR="00431592" w:rsidRPr="00EE308B">
              <w:rPr>
                <w:rFonts w:asciiTheme="minorHAnsi" w:hAnsiTheme="minorHAnsi" w:cstheme="minorHAnsi"/>
                <w:color w:val="000000"/>
                <w:sz w:val="18"/>
                <w:szCs w:val="18"/>
              </w:rPr>
              <w:t>,</w:t>
            </w:r>
            <w:r>
              <w:rPr>
                <w:rFonts w:asciiTheme="minorHAnsi" w:hAnsiTheme="minorHAnsi" w:cstheme="minorHAnsi"/>
                <w:color w:val="000000"/>
                <w:sz w:val="18"/>
                <w:szCs w:val="18"/>
              </w:rPr>
              <w:t>0</w:t>
            </w:r>
          </w:p>
        </w:tc>
        <w:tc>
          <w:tcPr>
            <w:tcW w:w="1130"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3F206CD8" w14:textId="65F564C4" w:rsidR="00431592" w:rsidRPr="00EE308B" w:rsidRDefault="00E134C6" w:rsidP="00C459E8">
            <w:pPr>
              <w:jc w:val="center"/>
              <w:rPr>
                <w:rFonts w:asciiTheme="minorHAnsi" w:hAnsiTheme="minorHAnsi" w:cstheme="minorHAnsi"/>
                <w:color w:val="000000"/>
                <w:sz w:val="18"/>
                <w:szCs w:val="18"/>
              </w:rPr>
            </w:pPr>
            <w:r>
              <w:rPr>
                <w:rFonts w:asciiTheme="minorHAnsi" w:hAnsiTheme="minorHAnsi" w:cstheme="minorHAnsi"/>
                <w:color w:val="000000"/>
                <w:sz w:val="18"/>
                <w:szCs w:val="18"/>
              </w:rPr>
              <w:t>4</w:t>
            </w:r>
            <w:r w:rsidR="00431592" w:rsidRPr="00EE308B">
              <w:rPr>
                <w:rFonts w:asciiTheme="minorHAnsi" w:hAnsiTheme="minorHAnsi" w:cstheme="minorHAnsi"/>
                <w:color w:val="000000"/>
                <w:sz w:val="18"/>
                <w:szCs w:val="18"/>
              </w:rPr>
              <w:t>,</w:t>
            </w:r>
            <w:r>
              <w:rPr>
                <w:rFonts w:asciiTheme="minorHAnsi" w:hAnsiTheme="minorHAnsi" w:cstheme="minorHAnsi"/>
                <w:color w:val="000000"/>
                <w:sz w:val="18"/>
                <w:szCs w:val="18"/>
              </w:rPr>
              <w:t>2</w:t>
            </w:r>
          </w:p>
        </w:tc>
      </w:tr>
      <w:tr w:rsidR="00431592" w:rsidRPr="002A3920" w14:paraId="2636126B" w14:textId="77777777" w:rsidTr="00C459E8">
        <w:trPr>
          <w:trHeight w:hRule="exact" w:val="255"/>
          <w:jc w:val="center"/>
        </w:trPr>
        <w:tc>
          <w:tcPr>
            <w:tcW w:w="3594"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44EA0DAA" w14:textId="09BA39C2" w:rsidR="00431592" w:rsidRPr="00EE308B" w:rsidRDefault="00431592" w:rsidP="00C459E8">
            <w:pPr>
              <w:jc w:val="both"/>
              <w:rPr>
                <w:rFonts w:asciiTheme="minorHAnsi" w:hAnsiTheme="minorHAnsi" w:cstheme="minorHAnsi"/>
                <w:color w:val="000000"/>
                <w:sz w:val="18"/>
                <w:szCs w:val="18"/>
              </w:rPr>
            </w:pPr>
            <w:proofErr w:type="gramStart"/>
            <w:r w:rsidRPr="00EE308B">
              <w:rPr>
                <w:rFonts w:asciiTheme="minorHAnsi" w:hAnsiTheme="minorHAnsi" w:cstheme="minorHAnsi"/>
                <w:color w:val="000000"/>
                <w:sz w:val="18"/>
                <w:szCs w:val="18"/>
              </w:rPr>
              <w:t>Procura</w:t>
            </w:r>
            <w:r w:rsidR="00DF3363">
              <w:rPr>
                <w:rFonts w:asciiTheme="minorHAnsi" w:hAnsiTheme="minorHAnsi" w:cstheme="minorHAnsi"/>
                <w:color w:val="000000"/>
                <w:sz w:val="18"/>
                <w:szCs w:val="18"/>
              </w:rPr>
              <w:t xml:space="preserve"> </w:t>
            </w:r>
            <w:r w:rsidRPr="00EE308B">
              <w:rPr>
                <w:rFonts w:asciiTheme="minorHAnsi" w:hAnsiTheme="minorHAnsi" w:cstheme="minorHAnsi"/>
                <w:color w:val="000000"/>
                <w:sz w:val="18"/>
                <w:szCs w:val="18"/>
              </w:rPr>
              <w:t>Interna</w:t>
            </w:r>
            <w:proofErr w:type="gramEnd"/>
          </w:p>
        </w:tc>
        <w:tc>
          <w:tcPr>
            <w:tcW w:w="1084" w:type="dxa"/>
            <w:tcBorders>
              <w:top w:val="single" w:sz="8" w:space="0" w:color="FFFFFF" w:themeColor="background1"/>
              <w:bottom w:val="single" w:sz="8" w:space="0" w:color="FFFFFF" w:themeColor="background1"/>
              <w:right w:val="single" w:sz="8" w:space="0" w:color="FFFFFF" w:themeColor="background1"/>
            </w:tcBorders>
            <w:shd w:val="clear" w:color="auto" w:fill="DEEAF6" w:themeFill="accent1" w:themeFillTint="33"/>
            <w:noWrap/>
            <w:vAlign w:val="center"/>
            <w:hideMark/>
          </w:tcPr>
          <w:p w14:paraId="621B0EFE" w14:textId="1B475EC6" w:rsidR="00431592" w:rsidRPr="00EE308B" w:rsidRDefault="00431592" w:rsidP="00C459E8">
            <w:pPr>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98</w:t>
            </w:r>
            <w:r w:rsidRPr="00EE308B">
              <w:rPr>
                <w:rFonts w:asciiTheme="minorHAnsi" w:hAnsiTheme="minorHAnsi" w:cstheme="minorHAnsi"/>
                <w:color w:val="000000"/>
                <w:sz w:val="18"/>
                <w:szCs w:val="18"/>
              </w:rPr>
              <w:t>,</w:t>
            </w:r>
            <w:r>
              <w:rPr>
                <w:rFonts w:asciiTheme="minorHAnsi" w:hAnsiTheme="minorHAnsi" w:cstheme="minorHAnsi"/>
                <w:color w:val="000000"/>
                <w:sz w:val="18"/>
                <w:szCs w:val="18"/>
              </w:rPr>
              <w:t>2</w:t>
            </w:r>
          </w:p>
        </w:tc>
        <w:tc>
          <w:tcPr>
            <w:tcW w:w="992" w:type="dxa"/>
            <w:tcBorders>
              <w:top w:val="single" w:sz="8" w:space="0" w:color="FFFFFF" w:themeColor="background1"/>
              <w:left w:val="single" w:sz="8" w:space="0" w:color="FFFFFF" w:themeColor="background1"/>
              <w:bottom w:val="single" w:sz="8" w:space="0" w:color="FFFFFF" w:themeColor="background1"/>
            </w:tcBorders>
            <w:shd w:val="clear" w:color="auto" w:fill="DEEAF6" w:themeFill="accent1" w:themeFillTint="33"/>
            <w:noWrap/>
            <w:vAlign w:val="center"/>
            <w:hideMark/>
          </w:tcPr>
          <w:p w14:paraId="431B171E" w14:textId="12E809EB" w:rsidR="00431592" w:rsidRPr="00EE308B" w:rsidRDefault="00431592" w:rsidP="00C459E8">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Pr="00EE308B">
              <w:rPr>
                <w:rFonts w:asciiTheme="minorHAnsi" w:hAnsiTheme="minorHAnsi" w:cstheme="minorHAnsi"/>
                <w:color w:val="000000"/>
                <w:sz w:val="18"/>
                <w:szCs w:val="18"/>
              </w:rPr>
              <w:t>,</w:t>
            </w:r>
            <w:r w:rsidR="00E134C6">
              <w:rPr>
                <w:rFonts w:asciiTheme="minorHAnsi" w:hAnsiTheme="minorHAnsi" w:cstheme="minorHAnsi"/>
                <w:color w:val="000000"/>
                <w:sz w:val="18"/>
                <w:szCs w:val="18"/>
              </w:rPr>
              <w:t>8</w:t>
            </w:r>
          </w:p>
        </w:tc>
        <w:tc>
          <w:tcPr>
            <w:tcW w:w="997"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0152A282" w14:textId="0AD02CBD" w:rsidR="00431592" w:rsidRPr="00EE308B" w:rsidRDefault="00E134C6" w:rsidP="00C459E8">
            <w:pPr>
              <w:jc w:val="center"/>
              <w:rPr>
                <w:rFonts w:asciiTheme="minorHAnsi" w:hAnsiTheme="minorHAnsi" w:cstheme="minorHAnsi"/>
                <w:color w:val="000000"/>
                <w:sz w:val="18"/>
                <w:szCs w:val="18"/>
              </w:rPr>
            </w:pPr>
            <w:r>
              <w:rPr>
                <w:rFonts w:asciiTheme="minorHAnsi" w:hAnsiTheme="minorHAnsi" w:cstheme="minorHAnsi"/>
                <w:color w:val="000000"/>
                <w:sz w:val="18"/>
                <w:szCs w:val="18"/>
              </w:rPr>
              <w:t>4</w:t>
            </w:r>
            <w:r w:rsidR="00431592" w:rsidRPr="00EE308B">
              <w:rPr>
                <w:rFonts w:asciiTheme="minorHAnsi" w:hAnsiTheme="minorHAnsi" w:cstheme="minorHAnsi"/>
                <w:color w:val="000000"/>
                <w:sz w:val="18"/>
                <w:szCs w:val="18"/>
              </w:rPr>
              <w:t>,</w:t>
            </w:r>
            <w:r>
              <w:rPr>
                <w:rFonts w:asciiTheme="minorHAnsi" w:hAnsiTheme="minorHAnsi" w:cstheme="minorHAnsi"/>
                <w:color w:val="000000"/>
                <w:sz w:val="18"/>
                <w:szCs w:val="18"/>
              </w:rPr>
              <w:t>0</w:t>
            </w:r>
          </w:p>
        </w:tc>
        <w:tc>
          <w:tcPr>
            <w:tcW w:w="1130"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5A310913" w14:textId="7BD94583" w:rsidR="00431592" w:rsidRPr="00EE308B" w:rsidRDefault="00E134C6" w:rsidP="00C459E8">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00431592" w:rsidRPr="00EE308B">
              <w:rPr>
                <w:rFonts w:asciiTheme="minorHAnsi" w:hAnsiTheme="minorHAnsi" w:cstheme="minorHAnsi"/>
                <w:color w:val="000000"/>
                <w:sz w:val="18"/>
                <w:szCs w:val="18"/>
              </w:rPr>
              <w:t>,</w:t>
            </w:r>
            <w:r>
              <w:rPr>
                <w:rFonts w:asciiTheme="minorHAnsi" w:hAnsiTheme="minorHAnsi" w:cstheme="minorHAnsi"/>
                <w:color w:val="000000"/>
                <w:sz w:val="18"/>
                <w:szCs w:val="18"/>
              </w:rPr>
              <w:t>9</w:t>
            </w:r>
          </w:p>
        </w:tc>
      </w:tr>
      <w:tr w:rsidR="00431592" w:rsidRPr="002A3920" w14:paraId="4C11CD79" w14:textId="77777777" w:rsidTr="00C459E8">
        <w:trPr>
          <w:trHeight w:hRule="exact" w:val="255"/>
          <w:jc w:val="center"/>
        </w:trPr>
        <w:tc>
          <w:tcPr>
            <w:tcW w:w="3594"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036D6320" w14:textId="77777777" w:rsidR="00431592" w:rsidRPr="00EE308B" w:rsidRDefault="00431592" w:rsidP="00C459E8">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Exportações</w:t>
            </w:r>
          </w:p>
        </w:tc>
        <w:tc>
          <w:tcPr>
            <w:tcW w:w="1084" w:type="dxa"/>
            <w:tcBorders>
              <w:top w:val="single" w:sz="8" w:space="0" w:color="FFFFFF" w:themeColor="background1"/>
              <w:bottom w:val="single" w:sz="8" w:space="0" w:color="FFFFFF" w:themeColor="background1"/>
              <w:right w:val="single" w:sz="8" w:space="0" w:color="FFFFFF" w:themeColor="background1"/>
            </w:tcBorders>
            <w:shd w:val="clear" w:color="auto" w:fill="DEEAF6" w:themeFill="accent1" w:themeFillTint="33"/>
            <w:noWrap/>
            <w:vAlign w:val="center"/>
            <w:hideMark/>
          </w:tcPr>
          <w:p w14:paraId="16806458" w14:textId="7009A1FC" w:rsidR="00431592" w:rsidRPr="00EE308B" w:rsidRDefault="00431592" w:rsidP="00C459E8">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 xml:space="preserve">  4</w:t>
            </w:r>
            <w:r>
              <w:rPr>
                <w:rFonts w:asciiTheme="minorHAnsi" w:hAnsiTheme="minorHAnsi" w:cstheme="minorHAnsi"/>
                <w:color w:val="000000"/>
                <w:sz w:val="18"/>
                <w:szCs w:val="18"/>
              </w:rPr>
              <w:t>5</w:t>
            </w:r>
            <w:r w:rsidRPr="00EE308B">
              <w:rPr>
                <w:rFonts w:asciiTheme="minorHAnsi" w:hAnsiTheme="minorHAnsi" w:cstheme="minorHAnsi"/>
                <w:color w:val="000000"/>
                <w:sz w:val="18"/>
                <w:szCs w:val="18"/>
              </w:rPr>
              <w:t>,</w:t>
            </w:r>
            <w:r>
              <w:rPr>
                <w:rFonts w:asciiTheme="minorHAnsi" w:hAnsiTheme="minorHAnsi" w:cstheme="minorHAnsi"/>
                <w:color w:val="000000"/>
                <w:sz w:val="18"/>
                <w:szCs w:val="18"/>
              </w:rPr>
              <w:t>8</w:t>
            </w:r>
          </w:p>
        </w:tc>
        <w:tc>
          <w:tcPr>
            <w:tcW w:w="992" w:type="dxa"/>
            <w:tcBorders>
              <w:top w:val="single" w:sz="8" w:space="0" w:color="FFFFFF" w:themeColor="background1"/>
              <w:left w:val="single" w:sz="8" w:space="0" w:color="FFFFFF" w:themeColor="background1"/>
              <w:bottom w:val="single" w:sz="8" w:space="0" w:color="FFFFFF" w:themeColor="background1"/>
            </w:tcBorders>
            <w:shd w:val="clear" w:color="auto" w:fill="DEEAF6" w:themeFill="accent1" w:themeFillTint="33"/>
            <w:noWrap/>
            <w:vAlign w:val="center"/>
            <w:hideMark/>
          </w:tcPr>
          <w:p w14:paraId="569653C4" w14:textId="07DDEBA8" w:rsidR="00431592" w:rsidRPr="00EE308B" w:rsidRDefault="00E134C6" w:rsidP="00C459E8">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00431592" w:rsidRPr="00EE308B">
              <w:rPr>
                <w:rFonts w:asciiTheme="minorHAnsi" w:hAnsiTheme="minorHAnsi" w:cstheme="minorHAnsi"/>
                <w:color w:val="000000"/>
                <w:sz w:val="18"/>
                <w:szCs w:val="18"/>
              </w:rPr>
              <w:t>,</w:t>
            </w:r>
            <w:r>
              <w:rPr>
                <w:rFonts w:asciiTheme="minorHAnsi" w:hAnsiTheme="minorHAnsi" w:cstheme="minorHAnsi"/>
                <w:color w:val="000000"/>
                <w:sz w:val="18"/>
                <w:szCs w:val="18"/>
              </w:rPr>
              <w:t>6</w:t>
            </w:r>
          </w:p>
        </w:tc>
        <w:tc>
          <w:tcPr>
            <w:tcW w:w="997"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60187133" w14:textId="50553833" w:rsidR="00431592" w:rsidRPr="00EE308B" w:rsidRDefault="00E134C6" w:rsidP="00C459E8">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r w:rsidR="00431592" w:rsidRPr="00EE308B">
              <w:rPr>
                <w:rFonts w:asciiTheme="minorHAnsi" w:hAnsiTheme="minorHAnsi" w:cstheme="minorHAnsi"/>
                <w:color w:val="000000"/>
                <w:sz w:val="18"/>
                <w:szCs w:val="18"/>
              </w:rPr>
              <w:t>,</w:t>
            </w:r>
            <w:r>
              <w:rPr>
                <w:rFonts w:asciiTheme="minorHAnsi" w:hAnsiTheme="minorHAnsi" w:cstheme="minorHAnsi"/>
                <w:color w:val="000000"/>
                <w:sz w:val="18"/>
                <w:szCs w:val="18"/>
              </w:rPr>
              <w:t>1</w:t>
            </w:r>
          </w:p>
        </w:tc>
        <w:tc>
          <w:tcPr>
            <w:tcW w:w="1130"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24BB9A0E" w14:textId="6F03A106" w:rsidR="00431592" w:rsidRPr="00EE308B" w:rsidRDefault="00431592" w:rsidP="00C459E8">
            <w:pPr>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r w:rsidRPr="00EE308B">
              <w:rPr>
                <w:rFonts w:asciiTheme="minorHAnsi" w:hAnsiTheme="minorHAnsi" w:cstheme="minorHAnsi"/>
                <w:color w:val="000000"/>
                <w:sz w:val="18"/>
                <w:szCs w:val="18"/>
              </w:rPr>
              <w:t>,</w:t>
            </w:r>
            <w:r w:rsidR="00E134C6">
              <w:rPr>
                <w:rFonts w:asciiTheme="minorHAnsi" w:hAnsiTheme="minorHAnsi" w:cstheme="minorHAnsi"/>
                <w:color w:val="000000"/>
                <w:sz w:val="18"/>
                <w:szCs w:val="18"/>
              </w:rPr>
              <w:t>1</w:t>
            </w:r>
          </w:p>
        </w:tc>
      </w:tr>
      <w:tr w:rsidR="00431592" w:rsidRPr="002A3920" w14:paraId="7255030B" w14:textId="77777777" w:rsidTr="00C459E8">
        <w:trPr>
          <w:trHeight w:hRule="exact" w:val="255"/>
          <w:jc w:val="center"/>
        </w:trPr>
        <w:tc>
          <w:tcPr>
            <w:tcW w:w="3594"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6204723F" w14:textId="77777777" w:rsidR="00431592" w:rsidRPr="00EE308B" w:rsidRDefault="00431592" w:rsidP="00C459E8">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Importações</w:t>
            </w:r>
          </w:p>
        </w:tc>
        <w:tc>
          <w:tcPr>
            <w:tcW w:w="1084" w:type="dxa"/>
            <w:tcBorders>
              <w:top w:val="single" w:sz="8" w:space="0" w:color="FFFFFF" w:themeColor="background1"/>
              <w:bottom w:val="single" w:sz="8" w:space="0" w:color="FFFFFF" w:themeColor="background1"/>
              <w:right w:val="single" w:sz="8" w:space="0" w:color="FFFFFF" w:themeColor="background1"/>
            </w:tcBorders>
            <w:shd w:val="clear" w:color="auto" w:fill="DEEAF6" w:themeFill="accent1" w:themeFillTint="33"/>
            <w:noWrap/>
            <w:vAlign w:val="center"/>
            <w:hideMark/>
          </w:tcPr>
          <w:p w14:paraId="5F9FCC2D" w14:textId="53C81AED" w:rsidR="00431592" w:rsidRPr="00EE308B" w:rsidRDefault="00431592" w:rsidP="00C459E8">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 xml:space="preserve">  4</w:t>
            </w:r>
            <w:r>
              <w:rPr>
                <w:rFonts w:asciiTheme="minorHAnsi" w:hAnsiTheme="minorHAnsi" w:cstheme="minorHAnsi"/>
                <w:color w:val="000000"/>
                <w:sz w:val="18"/>
                <w:szCs w:val="18"/>
              </w:rPr>
              <w:t>3</w:t>
            </w:r>
            <w:r w:rsidRPr="00EE308B">
              <w:rPr>
                <w:rFonts w:asciiTheme="minorHAnsi" w:hAnsiTheme="minorHAnsi" w:cstheme="minorHAnsi"/>
                <w:color w:val="000000"/>
                <w:sz w:val="18"/>
                <w:szCs w:val="18"/>
              </w:rPr>
              <w:t>,</w:t>
            </w:r>
            <w:r>
              <w:rPr>
                <w:rFonts w:asciiTheme="minorHAnsi" w:hAnsiTheme="minorHAnsi" w:cstheme="minorHAnsi"/>
                <w:color w:val="000000"/>
                <w:sz w:val="18"/>
                <w:szCs w:val="18"/>
              </w:rPr>
              <w:t>9</w:t>
            </w:r>
          </w:p>
        </w:tc>
        <w:tc>
          <w:tcPr>
            <w:tcW w:w="992" w:type="dxa"/>
            <w:tcBorders>
              <w:top w:val="single" w:sz="8" w:space="0" w:color="FFFFFF" w:themeColor="background1"/>
              <w:left w:val="single" w:sz="8" w:space="0" w:color="FFFFFF" w:themeColor="background1"/>
              <w:bottom w:val="single" w:sz="8" w:space="0" w:color="FFFFFF" w:themeColor="background1"/>
            </w:tcBorders>
            <w:shd w:val="clear" w:color="auto" w:fill="DEEAF6" w:themeFill="accent1" w:themeFillTint="33"/>
            <w:noWrap/>
            <w:vAlign w:val="center"/>
            <w:hideMark/>
          </w:tcPr>
          <w:p w14:paraId="1068CCC4" w14:textId="24765132" w:rsidR="00431592" w:rsidRPr="00EE308B" w:rsidRDefault="00E134C6" w:rsidP="00C459E8">
            <w:pPr>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r w:rsidR="00431592" w:rsidRPr="00EE308B">
              <w:rPr>
                <w:rFonts w:asciiTheme="minorHAnsi" w:hAnsiTheme="minorHAnsi" w:cstheme="minorHAnsi"/>
                <w:color w:val="000000"/>
                <w:sz w:val="18"/>
                <w:szCs w:val="18"/>
              </w:rPr>
              <w:t>,</w:t>
            </w:r>
            <w:r>
              <w:rPr>
                <w:rFonts w:asciiTheme="minorHAnsi" w:hAnsiTheme="minorHAnsi" w:cstheme="minorHAnsi"/>
                <w:color w:val="000000"/>
                <w:sz w:val="18"/>
                <w:szCs w:val="18"/>
              </w:rPr>
              <w:t>5</w:t>
            </w:r>
          </w:p>
        </w:tc>
        <w:tc>
          <w:tcPr>
            <w:tcW w:w="997"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1F843CB1" w14:textId="43BACC37" w:rsidR="00431592" w:rsidRPr="00EE308B" w:rsidRDefault="00431592" w:rsidP="00C459E8">
            <w:pPr>
              <w:jc w:val="center"/>
              <w:rPr>
                <w:rFonts w:asciiTheme="minorHAnsi" w:hAnsiTheme="minorHAnsi" w:cstheme="minorHAnsi"/>
                <w:color w:val="000000"/>
                <w:sz w:val="18"/>
                <w:szCs w:val="18"/>
              </w:rPr>
            </w:pPr>
            <w:r>
              <w:rPr>
                <w:rFonts w:asciiTheme="minorHAnsi" w:hAnsiTheme="minorHAnsi" w:cstheme="minorHAnsi"/>
                <w:color w:val="000000"/>
                <w:sz w:val="18"/>
                <w:szCs w:val="18"/>
              </w:rPr>
              <w:t>5</w:t>
            </w:r>
            <w:r w:rsidRPr="00EE308B">
              <w:rPr>
                <w:rFonts w:asciiTheme="minorHAnsi" w:hAnsiTheme="minorHAnsi" w:cstheme="minorHAnsi"/>
                <w:color w:val="000000"/>
                <w:sz w:val="18"/>
                <w:szCs w:val="18"/>
              </w:rPr>
              <w:t>,</w:t>
            </w:r>
            <w:r w:rsidR="00E134C6">
              <w:rPr>
                <w:rFonts w:asciiTheme="minorHAnsi" w:hAnsiTheme="minorHAnsi" w:cstheme="minorHAnsi"/>
                <w:color w:val="000000"/>
                <w:sz w:val="18"/>
                <w:szCs w:val="18"/>
              </w:rPr>
              <w:t>3</w:t>
            </w:r>
          </w:p>
        </w:tc>
        <w:tc>
          <w:tcPr>
            <w:tcW w:w="1130"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2F1922B3" w14:textId="18415794" w:rsidR="00431592" w:rsidRPr="00EE308B" w:rsidRDefault="00E134C6" w:rsidP="00C459E8">
            <w:pPr>
              <w:jc w:val="center"/>
              <w:rPr>
                <w:rFonts w:asciiTheme="minorHAnsi" w:hAnsiTheme="minorHAnsi" w:cstheme="minorHAnsi"/>
                <w:color w:val="000000"/>
                <w:sz w:val="18"/>
                <w:szCs w:val="18"/>
              </w:rPr>
            </w:pPr>
            <w:r>
              <w:rPr>
                <w:rFonts w:asciiTheme="minorHAnsi" w:hAnsiTheme="minorHAnsi" w:cstheme="minorHAnsi"/>
                <w:color w:val="000000"/>
                <w:sz w:val="18"/>
                <w:szCs w:val="18"/>
              </w:rPr>
              <w:t>4</w:t>
            </w:r>
            <w:r w:rsidR="00431592" w:rsidRPr="00EE308B">
              <w:rPr>
                <w:rFonts w:asciiTheme="minorHAnsi" w:hAnsiTheme="minorHAnsi" w:cstheme="minorHAnsi"/>
                <w:color w:val="000000"/>
                <w:sz w:val="18"/>
                <w:szCs w:val="18"/>
              </w:rPr>
              <w:t>,</w:t>
            </w:r>
            <w:r>
              <w:rPr>
                <w:rFonts w:asciiTheme="minorHAnsi" w:hAnsiTheme="minorHAnsi" w:cstheme="minorHAnsi"/>
                <w:color w:val="000000"/>
                <w:sz w:val="18"/>
                <w:szCs w:val="18"/>
              </w:rPr>
              <w:t>8</w:t>
            </w:r>
          </w:p>
        </w:tc>
      </w:tr>
      <w:tr w:rsidR="00431592" w:rsidRPr="002A3920" w14:paraId="6689A36A" w14:textId="77777777" w:rsidTr="00C459E8">
        <w:trPr>
          <w:trHeight w:hRule="exact" w:val="255"/>
          <w:jc w:val="center"/>
        </w:trPr>
        <w:tc>
          <w:tcPr>
            <w:tcW w:w="3594" w:type="dxa"/>
            <w:tcBorders>
              <w:top w:val="single" w:sz="8" w:space="0" w:color="FFFFFF" w:themeColor="background1"/>
              <w:bottom w:val="single" w:sz="8" w:space="0" w:color="FFFFFF" w:themeColor="background1"/>
            </w:tcBorders>
            <w:shd w:val="clear" w:color="auto" w:fill="DEEAF6" w:themeFill="accent1" w:themeFillTint="33"/>
            <w:noWrap/>
            <w:vAlign w:val="center"/>
          </w:tcPr>
          <w:p w14:paraId="4262AAEB" w14:textId="77777777" w:rsidR="00431592" w:rsidRPr="00EE308B" w:rsidRDefault="00431592" w:rsidP="00C459E8">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Taxa de Desemprego</w:t>
            </w:r>
          </w:p>
        </w:tc>
        <w:tc>
          <w:tcPr>
            <w:tcW w:w="1084" w:type="dxa"/>
            <w:tcBorders>
              <w:top w:val="single" w:sz="8" w:space="0" w:color="FFFFFF" w:themeColor="background1"/>
              <w:bottom w:val="single" w:sz="8" w:space="0" w:color="FFFFFF" w:themeColor="background1"/>
              <w:right w:val="single" w:sz="8" w:space="0" w:color="FFFFFF" w:themeColor="background1"/>
            </w:tcBorders>
            <w:shd w:val="clear" w:color="auto" w:fill="DEEAF6" w:themeFill="accent1" w:themeFillTint="33"/>
            <w:noWrap/>
            <w:vAlign w:val="bottom"/>
          </w:tcPr>
          <w:p w14:paraId="5E43BED4" w14:textId="77777777" w:rsidR="00431592" w:rsidRPr="00EE308B" w:rsidRDefault="00431592" w:rsidP="00C459E8">
            <w:pPr>
              <w:jc w:val="both"/>
              <w:rPr>
                <w:rFonts w:asciiTheme="minorHAnsi" w:hAnsiTheme="minorHAnsi" w:cstheme="minorHAnsi"/>
                <w:color w:val="000000"/>
                <w:sz w:val="18"/>
                <w:szCs w:val="18"/>
              </w:rPr>
            </w:pPr>
          </w:p>
        </w:tc>
        <w:tc>
          <w:tcPr>
            <w:tcW w:w="992" w:type="dxa"/>
            <w:tcBorders>
              <w:top w:val="single" w:sz="8" w:space="0" w:color="FFFFFF" w:themeColor="background1"/>
              <w:left w:val="single" w:sz="8" w:space="0" w:color="FFFFFF" w:themeColor="background1"/>
              <w:bottom w:val="single" w:sz="8" w:space="0" w:color="FFFFFF" w:themeColor="background1"/>
            </w:tcBorders>
            <w:shd w:val="clear" w:color="auto" w:fill="DEEAF6" w:themeFill="accent1" w:themeFillTint="33"/>
            <w:noWrap/>
            <w:vAlign w:val="center"/>
          </w:tcPr>
          <w:p w14:paraId="67FCB377" w14:textId="5E92BBC9" w:rsidR="00431592" w:rsidRPr="00EE308B" w:rsidRDefault="00431592" w:rsidP="00C459E8">
            <w:pPr>
              <w:jc w:val="center"/>
              <w:rPr>
                <w:rFonts w:asciiTheme="minorHAnsi" w:hAnsiTheme="minorHAnsi" w:cstheme="minorHAnsi"/>
                <w:color w:val="000000"/>
                <w:sz w:val="18"/>
                <w:szCs w:val="18"/>
              </w:rPr>
            </w:pPr>
            <w:r>
              <w:rPr>
                <w:rFonts w:asciiTheme="minorHAnsi" w:hAnsiTheme="minorHAnsi" w:cstheme="minorHAnsi"/>
                <w:color w:val="000000"/>
                <w:sz w:val="18"/>
                <w:szCs w:val="18"/>
              </w:rPr>
              <w:t>6</w:t>
            </w:r>
            <w:r w:rsidRPr="00EE308B">
              <w:rPr>
                <w:rFonts w:asciiTheme="minorHAnsi" w:hAnsiTheme="minorHAnsi" w:cstheme="minorHAnsi"/>
                <w:color w:val="000000"/>
                <w:sz w:val="18"/>
                <w:szCs w:val="18"/>
              </w:rPr>
              <w:t>,</w:t>
            </w:r>
            <w:r w:rsidR="00E134C6">
              <w:rPr>
                <w:rFonts w:asciiTheme="minorHAnsi" w:hAnsiTheme="minorHAnsi" w:cstheme="minorHAnsi"/>
                <w:color w:val="000000"/>
                <w:sz w:val="18"/>
                <w:szCs w:val="18"/>
              </w:rPr>
              <w:t>3</w:t>
            </w:r>
          </w:p>
        </w:tc>
        <w:tc>
          <w:tcPr>
            <w:tcW w:w="997" w:type="dxa"/>
            <w:tcBorders>
              <w:top w:val="single" w:sz="8" w:space="0" w:color="FFFFFF" w:themeColor="background1"/>
              <w:bottom w:val="single" w:sz="8" w:space="0" w:color="FFFFFF" w:themeColor="background1"/>
            </w:tcBorders>
            <w:shd w:val="clear" w:color="auto" w:fill="DEEAF6" w:themeFill="accent1" w:themeFillTint="33"/>
            <w:noWrap/>
            <w:vAlign w:val="center"/>
          </w:tcPr>
          <w:p w14:paraId="647DBE03" w14:textId="3C40D0CD" w:rsidR="00431592" w:rsidRPr="00EE308B" w:rsidRDefault="00431592" w:rsidP="00C459E8">
            <w:pPr>
              <w:jc w:val="center"/>
              <w:rPr>
                <w:rFonts w:asciiTheme="minorHAnsi" w:hAnsiTheme="minorHAnsi" w:cstheme="minorHAnsi"/>
                <w:color w:val="000000"/>
                <w:sz w:val="18"/>
                <w:szCs w:val="18"/>
              </w:rPr>
            </w:pPr>
            <w:r w:rsidRPr="00EE308B">
              <w:rPr>
                <w:rFonts w:asciiTheme="minorHAnsi" w:hAnsiTheme="minorHAnsi" w:cstheme="minorHAnsi"/>
                <w:color w:val="000000"/>
                <w:sz w:val="18"/>
                <w:szCs w:val="18"/>
              </w:rPr>
              <w:t>6,</w:t>
            </w:r>
            <w:r w:rsidR="00E134C6">
              <w:rPr>
                <w:rFonts w:asciiTheme="minorHAnsi" w:hAnsiTheme="minorHAnsi" w:cstheme="minorHAnsi"/>
                <w:color w:val="000000"/>
                <w:sz w:val="18"/>
                <w:szCs w:val="18"/>
              </w:rPr>
              <w:t>2</w:t>
            </w:r>
          </w:p>
        </w:tc>
        <w:tc>
          <w:tcPr>
            <w:tcW w:w="1130" w:type="dxa"/>
            <w:tcBorders>
              <w:top w:val="single" w:sz="8" w:space="0" w:color="FFFFFF" w:themeColor="background1"/>
              <w:bottom w:val="single" w:sz="8" w:space="0" w:color="FFFFFF" w:themeColor="background1"/>
            </w:tcBorders>
            <w:shd w:val="clear" w:color="auto" w:fill="DEEAF6" w:themeFill="accent1" w:themeFillTint="33"/>
            <w:noWrap/>
            <w:vAlign w:val="center"/>
          </w:tcPr>
          <w:p w14:paraId="46EF5481" w14:textId="173F9B9E" w:rsidR="00431592" w:rsidRPr="00EE308B" w:rsidRDefault="00431592" w:rsidP="00C459E8">
            <w:pPr>
              <w:jc w:val="center"/>
              <w:rPr>
                <w:rFonts w:asciiTheme="minorHAnsi" w:hAnsiTheme="minorHAnsi" w:cstheme="minorHAnsi"/>
                <w:color w:val="000000"/>
                <w:sz w:val="18"/>
                <w:szCs w:val="18"/>
              </w:rPr>
            </w:pPr>
            <w:r w:rsidRPr="00EE308B">
              <w:rPr>
                <w:rFonts w:asciiTheme="minorHAnsi" w:hAnsiTheme="minorHAnsi" w:cstheme="minorHAnsi"/>
                <w:color w:val="000000"/>
                <w:sz w:val="18"/>
                <w:szCs w:val="18"/>
              </w:rPr>
              <w:t>6,</w:t>
            </w:r>
            <w:r w:rsidR="00E134C6">
              <w:rPr>
                <w:rFonts w:asciiTheme="minorHAnsi" w:hAnsiTheme="minorHAnsi" w:cstheme="minorHAnsi"/>
                <w:color w:val="000000"/>
                <w:sz w:val="18"/>
                <w:szCs w:val="18"/>
              </w:rPr>
              <w:t>4</w:t>
            </w:r>
          </w:p>
        </w:tc>
      </w:tr>
      <w:tr w:rsidR="00431592" w:rsidRPr="002A3920" w14:paraId="43729C51" w14:textId="77777777" w:rsidTr="00C459E8">
        <w:trPr>
          <w:trHeight w:hRule="exact" w:val="255"/>
          <w:jc w:val="center"/>
        </w:trPr>
        <w:tc>
          <w:tcPr>
            <w:tcW w:w="3594" w:type="dxa"/>
            <w:tcBorders>
              <w:top w:val="single" w:sz="8" w:space="0" w:color="FFFFFF" w:themeColor="background1"/>
              <w:bottom w:val="single" w:sz="8" w:space="0" w:color="FFFFFF" w:themeColor="background1"/>
            </w:tcBorders>
            <w:shd w:val="clear" w:color="auto" w:fill="DEEAF6" w:themeFill="accent1" w:themeFillTint="33"/>
            <w:noWrap/>
            <w:vAlign w:val="center"/>
          </w:tcPr>
          <w:p w14:paraId="494F0F72" w14:textId="77777777" w:rsidR="00431592" w:rsidRPr="00EE308B" w:rsidRDefault="00431592" w:rsidP="00C459E8">
            <w:pPr>
              <w:jc w:val="both"/>
              <w:rPr>
                <w:rFonts w:asciiTheme="minorHAnsi" w:hAnsiTheme="minorHAnsi" w:cstheme="minorHAnsi"/>
                <w:color w:val="000000"/>
                <w:sz w:val="18"/>
                <w:szCs w:val="18"/>
              </w:rPr>
            </w:pPr>
          </w:p>
        </w:tc>
        <w:tc>
          <w:tcPr>
            <w:tcW w:w="1084" w:type="dxa"/>
            <w:tcBorders>
              <w:top w:val="single" w:sz="8" w:space="0" w:color="FFFFFF" w:themeColor="background1"/>
              <w:bottom w:val="single" w:sz="8" w:space="0" w:color="FFFFFF" w:themeColor="background1"/>
              <w:right w:val="single" w:sz="8" w:space="0" w:color="FFFFFF" w:themeColor="background1"/>
            </w:tcBorders>
            <w:shd w:val="clear" w:color="auto" w:fill="DEEAF6" w:themeFill="accent1" w:themeFillTint="33"/>
            <w:noWrap/>
            <w:vAlign w:val="bottom"/>
          </w:tcPr>
          <w:p w14:paraId="79105E81" w14:textId="77777777" w:rsidR="00431592" w:rsidRPr="00EE308B" w:rsidRDefault="00431592" w:rsidP="00C459E8">
            <w:pPr>
              <w:jc w:val="both"/>
              <w:rPr>
                <w:rFonts w:asciiTheme="minorHAnsi" w:hAnsiTheme="minorHAnsi" w:cstheme="minorHAnsi"/>
                <w:color w:val="000000"/>
                <w:sz w:val="18"/>
                <w:szCs w:val="18"/>
              </w:rPr>
            </w:pPr>
          </w:p>
        </w:tc>
        <w:tc>
          <w:tcPr>
            <w:tcW w:w="992" w:type="dxa"/>
            <w:tcBorders>
              <w:top w:val="single" w:sz="8" w:space="0" w:color="FFFFFF" w:themeColor="background1"/>
              <w:left w:val="single" w:sz="8" w:space="0" w:color="FFFFFF" w:themeColor="background1"/>
              <w:bottom w:val="single" w:sz="8" w:space="0" w:color="FFFFFF" w:themeColor="background1"/>
            </w:tcBorders>
            <w:shd w:val="clear" w:color="auto" w:fill="DEEAF6" w:themeFill="accent1" w:themeFillTint="33"/>
            <w:noWrap/>
            <w:vAlign w:val="center"/>
          </w:tcPr>
          <w:p w14:paraId="04066FC1" w14:textId="77777777" w:rsidR="00431592" w:rsidRPr="00EE308B" w:rsidRDefault="00431592" w:rsidP="00C459E8">
            <w:pPr>
              <w:jc w:val="center"/>
              <w:rPr>
                <w:rFonts w:asciiTheme="minorHAnsi" w:hAnsiTheme="minorHAnsi" w:cstheme="minorHAnsi"/>
                <w:color w:val="000000"/>
                <w:sz w:val="18"/>
                <w:szCs w:val="18"/>
              </w:rPr>
            </w:pPr>
          </w:p>
        </w:tc>
        <w:tc>
          <w:tcPr>
            <w:tcW w:w="997" w:type="dxa"/>
            <w:tcBorders>
              <w:top w:val="single" w:sz="8" w:space="0" w:color="FFFFFF" w:themeColor="background1"/>
              <w:bottom w:val="single" w:sz="8" w:space="0" w:color="FFFFFF" w:themeColor="background1"/>
            </w:tcBorders>
            <w:shd w:val="clear" w:color="auto" w:fill="DEEAF6" w:themeFill="accent1" w:themeFillTint="33"/>
            <w:noWrap/>
            <w:vAlign w:val="center"/>
          </w:tcPr>
          <w:p w14:paraId="05FA0061" w14:textId="77777777" w:rsidR="00431592" w:rsidRPr="00EE308B" w:rsidRDefault="00431592" w:rsidP="00C459E8">
            <w:pPr>
              <w:jc w:val="center"/>
              <w:rPr>
                <w:rFonts w:asciiTheme="minorHAnsi" w:hAnsiTheme="minorHAnsi" w:cstheme="minorHAnsi"/>
                <w:color w:val="000000"/>
                <w:sz w:val="18"/>
                <w:szCs w:val="18"/>
              </w:rPr>
            </w:pPr>
          </w:p>
        </w:tc>
        <w:tc>
          <w:tcPr>
            <w:tcW w:w="1130" w:type="dxa"/>
            <w:tcBorders>
              <w:top w:val="single" w:sz="8" w:space="0" w:color="FFFFFF" w:themeColor="background1"/>
              <w:bottom w:val="single" w:sz="8" w:space="0" w:color="FFFFFF" w:themeColor="background1"/>
            </w:tcBorders>
            <w:shd w:val="clear" w:color="auto" w:fill="DEEAF6" w:themeFill="accent1" w:themeFillTint="33"/>
            <w:noWrap/>
            <w:vAlign w:val="center"/>
          </w:tcPr>
          <w:p w14:paraId="62ED44BB" w14:textId="77777777" w:rsidR="00431592" w:rsidRPr="00EE308B" w:rsidRDefault="00431592" w:rsidP="00C459E8">
            <w:pPr>
              <w:jc w:val="center"/>
              <w:rPr>
                <w:rFonts w:asciiTheme="minorHAnsi" w:hAnsiTheme="minorHAnsi" w:cstheme="minorHAnsi"/>
                <w:color w:val="000000"/>
                <w:sz w:val="18"/>
                <w:szCs w:val="18"/>
              </w:rPr>
            </w:pPr>
          </w:p>
        </w:tc>
      </w:tr>
      <w:tr w:rsidR="00431592" w:rsidRPr="002A3920" w14:paraId="372FE831" w14:textId="77777777" w:rsidTr="00C459E8">
        <w:trPr>
          <w:trHeight w:hRule="exact" w:val="255"/>
          <w:jc w:val="center"/>
        </w:trPr>
        <w:tc>
          <w:tcPr>
            <w:tcW w:w="3594"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1EE395DC" w14:textId="77777777" w:rsidR="00431592" w:rsidRPr="00EE308B" w:rsidRDefault="00431592" w:rsidP="00C459E8">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Balança Corrente e de Capital</w:t>
            </w:r>
          </w:p>
        </w:tc>
        <w:tc>
          <w:tcPr>
            <w:tcW w:w="1084" w:type="dxa"/>
            <w:tcBorders>
              <w:top w:val="single" w:sz="8" w:space="0" w:color="FFFFFF" w:themeColor="background1"/>
              <w:bottom w:val="single" w:sz="8" w:space="0" w:color="FFFFFF" w:themeColor="background1"/>
              <w:right w:val="single" w:sz="8" w:space="0" w:color="FFFFFF" w:themeColor="background1"/>
            </w:tcBorders>
            <w:shd w:val="clear" w:color="auto" w:fill="DEEAF6" w:themeFill="accent1" w:themeFillTint="33"/>
            <w:noWrap/>
            <w:vAlign w:val="bottom"/>
            <w:hideMark/>
          </w:tcPr>
          <w:p w14:paraId="1BF8E8DF" w14:textId="77777777" w:rsidR="00431592" w:rsidRPr="00EE308B" w:rsidRDefault="00431592" w:rsidP="00C459E8">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 </w:t>
            </w:r>
          </w:p>
        </w:tc>
        <w:tc>
          <w:tcPr>
            <w:tcW w:w="992" w:type="dxa"/>
            <w:tcBorders>
              <w:top w:val="single" w:sz="8" w:space="0" w:color="FFFFFF" w:themeColor="background1"/>
              <w:left w:val="single" w:sz="8" w:space="0" w:color="FFFFFF" w:themeColor="background1"/>
              <w:bottom w:val="single" w:sz="8" w:space="0" w:color="FFFFFF" w:themeColor="background1"/>
            </w:tcBorders>
            <w:shd w:val="clear" w:color="auto" w:fill="DEEAF6" w:themeFill="accent1" w:themeFillTint="33"/>
            <w:noWrap/>
            <w:vAlign w:val="center"/>
            <w:hideMark/>
          </w:tcPr>
          <w:p w14:paraId="370A8595" w14:textId="77777777" w:rsidR="00431592" w:rsidRPr="00EE308B" w:rsidRDefault="00431592" w:rsidP="00C459E8">
            <w:pPr>
              <w:jc w:val="center"/>
              <w:rPr>
                <w:rFonts w:asciiTheme="minorHAnsi" w:hAnsiTheme="minorHAnsi" w:cstheme="minorHAnsi"/>
                <w:color w:val="000000"/>
                <w:sz w:val="18"/>
                <w:szCs w:val="18"/>
              </w:rPr>
            </w:pPr>
          </w:p>
        </w:tc>
        <w:tc>
          <w:tcPr>
            <w:tcW w:w="997"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29B3856A" w14:textId="77777777" w:rsidR="00431592" w:rsidRPr="00EE308B" w:rsidRDefault="00431592" w:rsidP="00C459E8">
            <w:pPr>
              <w:jc w:val="center"/>
              <w:rPr>
                <w:rFonts w:asciiTheme="minorHAnsi" w:hAnsiTheme="minorHAnsi" w:cstheme="minorHAnsi"/>
                <w:color w:val="000000"/>
                <w:sz w:val="18"/>
                <w:szCs w:val="18"/>
              </w:rPr>
            </w:pPr>
          </w:p>
        </w:tc>
        <w:tc>
          <w:tcPr>
            <w:tcW w:w="1130"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6711F6A4" w14:textId="77777777" w:rsidR="00431592" w:rsidRPr="00EE308B" w:rsidRDefault="00431592" w:rsidP="00C459E8">
            <w:pPr>
              <w:jc w:val="center"/>
              <w:rPr>
                <w:rFonts w:asciiTheme="minorHAnsi" w:hAnsiTheme="minorHAnsi" w:cstheme="minorHAnsi"/>
                <w:color w:val="000000"/>
                <w:sz w:val="18"/>
                <w:szCs w:val="18"/>
              </w:rPr>
            </w:pPr>
          </w:p>
        </w:tc>
      </w:tr>
      <w:tr w:rsidR="00431592" w:rsidRPr="002A3920" w14:paraId="10A544A8" w14:textId="77777777" w:rsidTr="00C459E8">
        <w:trPr>
          <w:trHeight w:hRule="exact" w:val="255"/>
          <w:jc w:val="center"/>
        </w:trPr>
        <w:tc>
          <w:tcPr>
            <w:tcW w:w="3594"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43EB67E2" w14:textId="77777777" w:rsidR="00431592" w:rsidRPr="00EE308B" w:rsidRDefault="00431592" w:rsidP="00C459E8">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 do PIB)</w:t>
            </w:r>
          </w:p>
        </w:tc>
        <w:tc>
          <w:tcPr>
            <w:tcW w:w="1084" w:type="dxa"/>
            <w:tcBorders>
              <w:top w:val="single" w:sz="8" w:space="0" w:color="FFFFFF" w:themeColor="background1"/>
              <w:bottom w:val="single" w:sz="8" w:space="0" w:color="FFFFFF" w:themeColor="background1"/>
              <w:right w:val="single" w:sz="8" w:space="0" w:color="FFFFFF" w:themeColor="background1"/>
            </w:tcBorders>
            <w:shd w:val="clear" w:color="auto" w:fill="DEEAF6" w:themeFill="accent1" w:themeFillTint="33"/>
            <w:noWrap/>
            <w:vAlign w:val="bottom"/>
            <w:hideMark/>
          </w:tcPr>
          <w:p w14:paraId="38FD18E7" w14:textId="77777777" w:rsidR="00431592" w:rsidRPr="00EE308B" w:rsidRDefault="00431592" w:rsidP="00C459E8">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 </w:t>
            </w:r>
          </w:p>
        </w:tc>
        <w:tc>
          <w:tcPr>
            <w:tcW w:w="992" w:type="dxa"/>
            <w:tcBorders>
              <w:top w:val="single" w:sz="8" w:space="0" w:color="FFFFFF" w:themeColor="background1"/>
              <w:left w:val="single" w:sz="8" w:space="0" w:color="FFFFFF" w:themeColor="background1"/>
              <w:bottom w:val="single" w:sz="8" w:space="0" w:color="FFFFFF" w:themeColor="background1"/>
            </w:tcBorders>
            <w:shd w:val="clear" w:color="auto" w:fill="DEEAF6" w:themeFill="accent1" w:themeFillTint="33"/>
            <w:noWrap/>
            <w:vAlign w:val="center"/>
            <w:hideMark/>
          </w:tcPr>
          <w:p w14:paraId="60B11A8D" w14:textId="35F22DA6" w:rsidR="00431592" w:rsidRPr="00EE308B" w:rsidRDefault="00E134C6" w:rsidP="00C459E8">
            <w:pPr>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r w:rsidR="00431592" w:rsidRPr="00EE308B">
              <w:rPr>
                <w:rFonts w:asciiTheme="minorHAnsi" w:hAnsiTheme="minorHAnsi" w:cstheme="minorHAnsi"/>
                <w:color w:val="000000"/>
                <w:sz w:val="18"/>
                <w:szCs w:val="18"/>
              </w:rPr>
              <w:t>,</w:t>
            </w:r>
            <w:r>
              <w:rPr>
                <w:rFonts w:asciiTheme="minorHAnsi" w:hAnsiTheme="minorHAnsi" w:cstheme="minorHAnsi"/>
                <w:color w:val="000000"/>
                <w:sz w:val="18"/>
                <w:szCs w:val="18"/>
              </w:rPr>
              <w:t>2</w:t>
            </w:r>
          </w:p>
        </w:tc>
        <w:tc>
          <w:tcPr>
            <w:tcW w:w="997"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05547BC0" w14:textId="61382CD7" w:rsidR="00431592" w:rsidRPr="00EE308B" w:rsidRDefault="00E134C6" w:rsidP="00C459E8">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00431592" w:rsidRPr="00EE308B">
              <w:rPr>
                <w:rFonts w:asciiTheme="minorHAnsi" w:hAnsiTheme="minorHAnsi" w:cstheme="minorHAnsi"/>
                <w:color w:val="000000"/>
                <w:sz w:val="18"/>
                <w:szCs w:val="18"/>
              </w:rPr>
              <w:t>,</w:t>
            </w:r>
            <w:r>
              <w:rPr>
                <w:rFonts w:asciiTheme="minorHAnsi" w:hAnsiTheme="minorHAnsi" w:cstheme="minorHAnsi"/>
                <w:color w:val="000000"/>
                <w:sz w:val="18"/>
                <w:szCs w:val="18"/>
              </w:rPr>
              <w:t>8</w:t>
            </w:r>
          </w:p>
        </w:tc>
        <w:tc>
          <w:tcPr>
            <w:tcW w:w="1130"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151C3724" w14:textId="0AE0E404" w:rsidR="00431592" w:rsidRPr="00EE308B" w:rsidRDefault="00E134C6" w:rsidP="00C459E8">
            <w:pPr>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r w:rsidR="00431592" w:rsidRPr="00EE308B">
              <w:rPr>
                <w:rFonts w:asciiTheme="minorHAnsi" w:hAnsiTheme="minorHAnsi" w:cstheme="minorHAnsi"/>
                <w:color w:val="000000"/>
                <w:sz w:val="18"/>
                <w:szCs w:val="18"/>
              </w:rPr>
              <w:t>,</w:t>
            </w:r>
            <w:r>
              <w:rPr>
                <w:rFonts w:asciiTheme="minorHAnsi" w:hAnsiTheme="minorHAnsi" w:cstheme="minorHAnsi"/>
                <w:color w:val="000000"/>
                <w:sz w:val="18"/>
                <w:szCs w:val="18"/>
              </w:rPr>
              <w:t>1</w:t>
            </w:r>
          </w:p>
          <w:p w14:paraId="767C1101" w14:textId="77777777" w:rsidR="00431592" w:rsidRPr="00EE308B" w:rsidRDefault="00431592" w:rsidP="00C459E8">
            <w:pPr>
              <w:jc w:val="center"/>
              <w:rPr>
                <w:rFonts w:asciiTheme="minorHAnsi" w:hAnsiTheme="minorHAnsi" w:cstheme="minorHAnsi"/>
                <w:color w:val="000000"/>
                <w:sz w:val="18"/>
                <w:szCs w:val="18"/>
              </w:rPr>
            </w:pPr>
            <w:r w:rsidRPr="00EE308B">
              <w:rPr>
                <w:rFonts w:asciiTheme="minorHAnsi" w:hAnsiTheme="minorHAnsi" w:cstheme="minorHAnsi"/>
                <w:color w:val="000000"/>
                <w:sz w:val="18"/>
                <w:szCs w:val="18"/>
              </w:rPr>
              <w:t>008</w:t>
            </w:r>
          </w:p>
        </w:tc>
      </w:tr>
      <w:tr w:rsidR="00431592" w:rsidRPr="002A3920" w14:paraId="575AEC6E" w14:textId="77777777" w:rsidTr="00C459E8">
        <w:trPr>
          <w:trHeight w:hRule="exact" w:val="255"/>
          <w:jc w:val="center"/>
        </w:trPr>
        <w:tc>
          <w:tcPr>
            <w:tcW w:w="3594"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2F47AD16" w14:textId="77777777" w:rsidR="00431592" w:rsidRPr="00EE308B" w:rsidRDefault="00431592" w:rsidP="00C459E8">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Balança de Bens e Serviços</w:t>
            </w:r>
          </w:p>
        </w:tc>
        <w:tc>
          <w:tcPr>
            <w:tcW w:w="1084" w:type="dxa"/>
            <w:tcBorders>
              <w:top w:val="single" w:sz="8" w:space="0" w:color="FFFFFF" w:themeColor="background1"/>
              <w:bottom w:val="single" w:sz="8" w:space="0" w:color="FFFFFF" w:themeColor="background1"/>
              <w:right w:val="single" w:sz="8" w:space="0" w:color="FFFFFF" w:themeColor="background1"/>
            </w:tcBorders>
            <w:shd w:val="clear" w:color="auto" w:fill="DEEAF6" w:themeFill="accent1" w:themeFillTint="33"/>
            <w:noWrap/>
            <w:vAlign w:val="bottom"/>
            <w:hideMark/>
          </w:tcPr>
          <w:p w14:paraId="6BC7E67A" w14:textId="77777777" w:rsidR="00431592" w:rsidRPr="00EE308B" w:rsidRDefault="00431592" w:rsidP="00C459E8">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 </w:t>
            </w:r>
          </w:p>
        </w:tc>
        <w:tc>
          <w:tcPr>
            <w:tcW w:w="992" w:type="dxa"/>
            <w:tcBorders>
              <w:top w:val="single" w:sz="8" w:space="0" w:color="FFFFFF" w:themeColor="background1"/>
              <w:left w:val="single" w:sz="8" w:space="0" w:color="FFFFFF" w:themeColor="background1"/>
              <w:bottom w:val="single" w:sz="8" w:space="0" w:color="FFFFFF" w:themeColor="background1"/>
            </w:tcBorders>
            <w:shd w:val="clear" w:color="auto" w:fill="DEEAF6" w:themeFill="accent1" w:themeFillTint="33"/>
            <w:noWrap/>
            <w:vAlign w:val="center"/>
            <w:hideMark/>
          </w:tcPr>
          <w:p w14:paraId="6EE1CD14" w14:textId="77777777" w:rsidR="00431592" w:rsidRPr="00EE308B" w:rsidRDefault="00431592" w:rsidP="00C459E8">
            <w:pPr>
              <w:jc w:val="center"/>
              <w:rPr>
                <w:rFonts w:asciiTheme="minorHAnsi" w:hAnsiTheme="minorHAnsi" w:cstheme="minorHAnsi"/>
                <w:color w:val="000000"/>
                <w:sz w:val="18"/>
                <w:szCs w:val="18"/>
              </w:rPr>
            </w:pPr>
          </w:p>
        </w:tc>
        <w:tc>
          <w:tcPr>
            <w:tcW w:w="997"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678574B8" w14:textId="77777777" w:rsidR="00431592" w:rsidRPr="00EE308B" w:rsidRDefault="00431592" w:rsidP="00C459E8">
            <w:pPr>
              <w:jc w:val="center"/>
              <w:rPr>
                <w:rFonts w:asciiTheme="minorHAnsi" w:hAnsiTheme="minorHAnsi" w:cstheme="minorHAnsi"/>
                <w:color w:val="000000"/>
                <w:sz w:val="18"/>
                <w:szCs w:val="18"/>
              </w:rPr>
            </w:pPr>
          </w:p>
        </w:tc>
        <w:tc>
          <w:tcPr>
            <w:tcW w:w="1130"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05DBABD0" w14:textId="77777777" w:rsidR="00431592" w:rsidRPr="00EE308B" w:rsidRDefault="00431592" w:rsidP="00C459E8">
            <w:pPr>
              <w:jc w:val="center"/>
              <w:rPr>
                <w:rFonts w:asciiTheme="minorHAnsi" w:hAnsiTheme="minorHAnsi" w:cstheme="minorHAnsi"/>
                <w:color w:val="000000"/>
                <w:sz w:val="18"/>
                <w:szCs w:val="18"/>
              </w:rPr>
            </w:pPr>
          </w:p>
        </w:tc>
      </w:tr>
      <w:tr w:rsidR="00431592" w:rsidRPr="002A3920" w14:paraId="194392ED" w14:textId="77777777" w:rsidTr="00C459E8">
        <w:trPr>
          <w:trHeight w:hRule="exact" w:val="255"/>
          <w:jc w:val="center"/>
        </w:trPr>
        <w:tc>
          <w:tcPr>
            <w:tcW w:w="3594"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562D15B2" w14:textId="77777777" w:rsidR="00431592" w:rsidRPr="00EE308B" w:rsidRDefault="00431592" w:rsidP="00C459E8">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 do PIB)</w:t>
            </w:r>
          </w:p>
        </w:tc>
        <w:tc>
          <w:tcPr>
            <w:tcW w:w="1084" w:type="dxa"/>
            <w:tcBorders>
              <w:top w:val="single" w:sz="8" w:space="0" w:color="FFFFFF" w:themeColor="background1"/>
              <w:bottom w:val="single" w:sz="8" w:space="0" w:color="FFFFFF" w:themeColor="background1"/>
              <w:right w:val="single" w:sz="8" w:space="0" w:color="FFFFFF" w:themeColor="background1"/>
            </w:tcBorders>
            <w:shd w:val="clear" w:color="auto" w:fill="DEEAF6" w:themeFill="accent1" w:themeFillTint="33"/>
            <w:noWrap/>
            <w:vAlign w:val="bottom"/>
            <w:hideMark/>
          </w:tcPr>
          <w:p w14:paraId="1AA6306C" w14:textId="77777777" w:rsidR="00431592" w:rsidRPr="00EE308B" w:rsidRDefault="00431592" w:rsidP="00C459E8">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 </w:t>
            </w:r>
          </w:p>
        </w:tc>
        <w:tc>
          <w:tcPr>
            <w:tcW w:w="992" w:type="dxa"/>
            <w:tcBorders>
              <w:top w:val="single" w:sz="8" w:space="0" w:color="FFFFFF" w:themeColor="background1"/>
              <w:left w:val="single" w:sz="8" w:space="0" w:color="FFFFFF" w:themeColor="background1"/>
              <w:bottom w:val="single" w:sz="8" w:space="0" w:color="FFFFFF" w:themeColor="background1"/>
            </w:tcBorders>
            <w:shd w:val="clear" w:color="auto" w:fill="DEEAF6" w:themeFill="accent1" w:themeFillTint="33"/>
            <w:noWrap/>
            <w:vAlign w:val="center"/>
            <w:hideMark/>
          </w:tcPr>
          <w:p w14:paraId="749C6224" w14:textId="19924C2C" w:rsidR="00431592" w:rsidRPr="00EE308B" w:rsidRDefault="00E134C6" w:rsidP="00C459E8">
            <w:pPr>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r w:rsidR="00431592" w:rsidRPr="00EE308B">
              <w:rPr>
                <w:rFonts w:asciiTheme="minorHAnsi" w:hAnsiTheme="minorHAnsi" w:cstheme="minorHAnsi"/>
                <w:color w:val="000000"/>
                <w:sz w:val="18"/>
                <w:szCs w:val="18"/>
              </w:rPr>
              <w:t>,</w:t>
            </w:r>
            <w:r>
              <w:rPr>
                <w:rFonts w:asciiTheme="minorHAnsi" w:hAnsiTheme="minorHAnsi" w:cstheme="minorHAnsi"/>
                <w:color w:val="000000"/>
                <w:sz w:val="18"/>
                <w:szCs w:val="18"/>
              </w:rPr>
              <w:t>9</w:t>
            </w:r>
          </w:p>
        </w:tc>
        <w:tc>
          <w:tcPr>
            <w:tcW w:w="997"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2E6E0726" w14:textId="18A397D1" w:rsidR="00431592" w:rsidRPr="00EE308B" w:rsidRDefault="00E134C6" w:rsidP="00C459E8">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r w:rsidR="00431592" w:rsidRPr="00EE308B">
              <w:rPr>
                <w:rFonts w:asciiTheme="minorHAnsi" w:hAnsiTheme="minorHAnsi" w:cstheme="minorHAnsi"/>
                <w:color w:val="000000"/>
                <w:sz w:val="18"/>
                <w:szCs w:val="18"/>
              </w:rPr>
              <w:t>,</w:t>
            </w:r>
            <w:r>
              <w:rPr>
                <w:rFonts w:asciiTheme="minorHAnsi" w:hAnsiTheme="minorHAnsi" w:cstheme="minorHAnsi"/>
                <w:color w:val="000000"/>
                <w:sz w:val="18"/>
                <w:szCs w:val="18"/>
              </w:rPr>
              <w:t>1</w:t>
            </w:r>
          </w:p>
        </w:tc>
        <w:tc>
          <w:tcPr>
            <w:tcW w:w="1130"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4E151140" w14:textId="0AF69DC9" w:rsidR="00431592" w:rsidRPr="00EE308B" w:rsidRDefault="00E134C6" w:rsidP="00C459E8">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00431592" w:rsidRPr="00EE308B">
              <w:rPr>
                <w:rFonts w:asciiTheme="minorHAnsi" w:hAnsiTheme="minorHAnsi" w:cstheme="minorHAnsi"/>
                <w:color w:val="000000"/>
                <w:sz w:val="18"/>
                <w:szCs w:val="18"/>
              </w:rPr>
              <w:t>,</w:t>
            </w:r>
            <w:r>
              <w:rPr>
                <w:rFonts w:asciiTheme="minorHAnsi" w:hAnsiTheme="minorHAnsi" w:cstheme="minorHAnsi"/>
                <w:color w:val="000000"/>
                <w:sz w:val="18"/>
                <w:szCs w:val="18"/>
              </w:rPr>
              <w:t>3</w:t>
            </w:r>
          </w:p>
        </w:tc>
      </w:tr>
      <w:tr w:rsidR="00431592" w:rsidRPr="002A3920" w14:paraId="66BF517A" w14:textId="77777777" w:rsidTr="00C459E8">
        <w:trPr>
          <w:trHeight w:hRule="exact" w:val="255"/>
          <w:jc w:val="center"/>
        </w:trPr>
        <w:tc>
          <w:tcPr>
            <w:tcW w:w="3594"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50685D4C" w14:textId="77777777" w:rsidR="00431592" w:rsidRPr="00EE308B" w:rsidRDefault="00431592" w:rsidP="00C459E8">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Índice Harmonizado de</w:t>
            </w:r>
          </w:p>
        </w:tc>
        <w:tc>
          <w:tcPr>
            <w:tcW w:w="1084" w:type="dxa"/>
            <w:tcBorders>
              <w:top w:val="single" w:sz="8" w:space="0" w:color="FFFFFF" w:themeColor="background1"/>
              <w:bottom w:val="single" w:sz="8" w:space="0" w:color="FFFFFF" w:themeColor="background1"/>
              <w:right w:val="single" w:sz="8" w:space="0" w:color="FFFFFF" w:themeColor="background1"/>
            </w:tcBorders>
            <w:shd w:val="clear" w:color="auto" w:fill="DEEAF6" w:themeFill="accent1" w:themeFillTint="33"/>
            <w:noWrap/>
            <w:vAlign w:val="bottom"/>
            <w:hideMark/>
          </w:tcPr>
          <w:p w14:paraId="4ED00639" w14:textId="77777777" w:rsidR="00431592" w:rsidRPr="00EE308B" w:rsidRDefault="00431592" w:rsidP="00C459E8">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 </w:t>
            </w:r>
          </w:p>
        </w:tc>
        <w:tc>
          <w:tcPr>
            <w:tcW w:w="992" w:type="dxa"/>
            <w:tcBorders>
              <w:top w:val="single" w:sz="8" w:space="0" w:color="FFFFFF" w:themeColor="background1"/>
              <w:left w:val="single" w:sz="8" w:space="0" w:color="FFFFFF" w:themeColor="background1"/>
              <w:bottom w:val="single" w:sz="8" w:space="0" w:color="FFFFFF" w:themeColor="background1"/>
            </w:tcBorders>
            <w:shd w:val="clear" w:color="auto" w:fill="DEEAF6" w:themeFill="accent1" w:themeFillTint="33"/>
            <w:noWrap/>
            <w:vAlign w:val="center"/>
            <w:hideMark/>
          </w:tcPr>
          <w:p w14:paraId="1D8B9BD7" w14:textId="77777777" w:rsidR="00431592" w:rsidRPr="00EE308B" w:rsidRDefault="00431592" w:rsidP="00C459E8">
            <w:pPr>
              <w:jc w:val="center"/>
              <w:rPr>
                <w:rFonts w:asciiTheme="minorHAnsi" w:hAnsiTheme="minorHAnsi" w:cstheme="minorHAnsi"/>
                <w:color w:val="000000"/>
                <w:sz w:val="18"/>
                <w:szCs w:val="18"/>
              </w:rPr>
            </w:pPr>
          </w:p>
        </w:tc>
        <w:tc>
          <w:tcPr>
            <w:tcW w:w="997"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0FE64680" w14:textId="77777777" w:rsidR="00431592" w:rsidRPr="00EE308B" w:rsidRDefault="00431592" w:rsidP="00C459E8">
            <w:pPr>
              <w:jc w:val="center"/>
              <w:rPr>
                <w:rFonts w:asciiTheme="minorHAnsi" w:hAnsiTheme="minorHAnsi" w:cstheme="minorHAnsi"/>
                <w:color w:val="000000"/>
                <w:sz w:val="18"/>
                <w:szCs w:val="18"/>
              </w:rPr>
            </w:pPr>
          </w:p>
        </w:tc>
        <w:tc>
          <w:tcPr>
            <w:tcW w:w="1130"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102B433E" w14:textId="77777777" w:rsidR="00431592" w:rsidRPr="00EE308B" w:rsidRDefault="00431592" w:rsidP="00C459E8">
            <w:pPr>
              <w:jc w:val="center"/>
              <w:rPr>
                <w:rFonts w:asciiTheme="minorHAnsi" w:hAnsiTheme="minorHAnsi" w:cstheme="minorHAnsi"/>
                <w:color w:val="000000"/>
                <w:sz w:val="18"/>
                <w:szCs w:val="18"/>
              </w:rPr>
            </w:pPr>
          </w:p>
        </w:tc>
      </w:tr>
      <w:tr w:rsidR="00431592" w:rsidRPr="002A3920" w14:paraId="280977E1" w14:textId="77777777" w:rsidTr="00C459E8">
        <w:trPr>
          <w:trHeight w:hRule="exact" w:val="255"/>
          <w:jc w:val="center"/>
        </w:trPr>
        <w:tc>
          <w:tcPr>
            <w:tcW w:w="3594"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54A598C0" w14:textId="77777777" w:rsidR="00431592" w:rsidRPr="00EE308B" w:rsidRDefault="00431592" w:rsidP="00C459E8">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Preços no Consumidor</w:t>
            </w:r>
          </w:p>
        </w:tc>
        <w:tc>
          <w:tcPr>
            <w:tcW w:w="1084" w:type="dxa"/>
            <w:tcBorders>
              <w:top w:val="single" w:sz="8" w:space="0" w:color="FFFFFF" w:themeColor="background1"/>
              <w:bottom w:val="single" w:sz="8" w:space="0" w:color="FFFFFF" w:themeColor="background1"/>
              <w:right w:val="single" w:sz="8" w:space="0" w:color="FFFFFF" w:themeColor="background1"/>
            </w:tcBorders>
            <w:shd w:val="clear" w:color="auto" w:fill="DEEAF6" w:themeFill="accent1" w:themeFillTint="33"/>
            <w:noWrap/>
            <w:vAlign w:val="center"/>
            <w:hideMark/>
          </w:tcPr>
          <w:p w14:paraId="6FE1D903" w14:textId="77777777" w:rsidR="00431592" w:rsidRPr="00EE308B" w:rsidRDefault="00431592" w:rsidP="00C459E8">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 </w:t>
            </w:r>
          </w:p>
        </w:tc>
        <w:tc>
          <w:tcPr>
            <w:tcW w:w="992" w:type="dxa"/>
            <w:tcBorders>
              <w:top w:val="single" w:sz="8" w:space="0" w:color="FFFFFF" w:themeColor="background1"/>
              <w:left w:val="single" w:sz="8" w:space="0" w:color="FFFFFF" w:themeColor="background1"/>
              <w:bottom w:val="single" w:sz="8" w:space="0" w:color="FFFFFF" w:themeColor="background1"/>
            </w:tcBorders>
            <w:shd w:val="clear" w:color="auto" w:fill="DEEAF6" w:themeFill="accent1" w:themeFillTint="33"/>
            <w:noWrap/>
            <w:vAlign w:val="center"/>
            <w:hideMark/>
          </w:tcPr>
          <w:p w14:paraId="464F2B12" w14:textId="77777777" w:rsidR="00431592" w:rsidRPr="00EE308B" w:rsidRDefault="00431592" w:rsidP="00C459E8">
            <w:pPr>
              <w:jc w:val="center"/>
              <w:rPr>
                <w:rFonts w:asciiTheme="minorHAnsi" w:hAnsiTheme="minorHAnsi" w:cstheme="minorHAnsi"/>
                <w:color w:val="000000"/>
                <w:sz w:val="18"/>
                <w:szCs w:val="18"/>
              </w:rPr>
            </w:pPr>
            <w:r w:rsidRPr="00EE308B">
              <w:rPr>
                <w:rFonts w:asciiTheme="minorHAnsi" w:hAnsiTheme="minorHAnsi" w:cstheme="minorHAnsi"/>
                <w:color w:val="000000"/>
                <w:sz w:val="18"/>
                <w:szCs w:val="18"/>
              </w:rPr>
              <w:t>2,</w:t>
            </w:r>
            <w:r>
              <w:rPr>
                <w:rFonts w:asciiTheme="minorHAnsi" w:hAnsiTheme="minorHAnsi" w:cstheme="minorHAnsi"/>
                <w:color w:val="000000"/>
                <w:sz w:val="18"/>
                <w:szCs w:val="18"/>
              </w:rPr>
              <w:t>1</w:t>
            </w:r>
          </w:p>
        </w:tc>
        <w:tc>
          <w:tcPr>
            <w:tcW w:w="997"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6634296E" w14:textId="1E1A0C21" w:rsidR="00431592" w:rsidRPr="00EE308B" w:rsidRDefault="00431592" w:rsidP="00C459E8">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Pr="00EE308B">
              <w:rPr>
                <w:rFonts w:asciiTheme="minorHAnsi" w:hAnsiTheme="minorHAnsi" w:cstheme="minorHAnsi"/>
                <w:color w:val="000000"/>
                <w:sz w:val="18"/>
                <w:szCs w:val="18"/>
              </w:rPr>
              <w:t>,</w:t>
            </w:r>
            <w:r w:rsidR="00E134C6">
              <w:rPr>
                <w:rFonts w:asciiTheme="minorHAnsi" w:hAnsiTheme="minorHAnsi" w:cstheme="minorHAnsi"/>
                <w:color w:val="000000"/>
                <w:sz w:val="18"/>
                <w:szCs w:val="18"/>
              </w:rPr>
              <w:t>2</w:t>
            </w:r>
          </w:p>
        </w:tc>
        <w:tc>
          <w:tcPr>
            <w:tcW w:w="1130" w:type="dxa"/>
            <w:tcBorders>
              <w:top w:val="single" w:sz="8" w:space="0" w:color="FFFFFF" w:themeColor="background1"/>
              <w:bottom w:val="single" w:sz="8" w:space="0" w:color="FFFFFF" w:themeColor="background1"/>
            </w:tcBorders>
            <w:shd w:val="clear" w:color="auto" w:fill="DEEAF6" w:themeFill="accent1" w:themeFillTint="33"/>
            <w:noWrap/>
            <w:vAlign w:val="center"/>
            <w:hideMark/>
          </w:tcPr>
          <w:p w14:paraId="7A263D45" w14:textId="0F94B94E" w:rsidR="00431592" w:rsidRPr="00EE308B" w:rsidRDefault="00E134C6" w:rsidP="00C459E8">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00431592" w:rsidRPr="00EE308B">
              <w:rPr>
                <w:rFonts w:asciiTheme="minorHAnsi" w:hAnsiTheme="minorHAnsi" w:cstheme="minorHAnsi"/>
                <w:color w:val="000000"/>
                <w:sz w:val="18"/>
                <w:szCs w:val="18"/>
              </w:rPr>
              <w:t>,</w:t>
            </w:r>
            <w:r>
              <w:rPr>
                <w:rFonts w:asciiTheme="minorHAnsi" w:hAnsiTheme="minorHAnsi" w:cstheme="minorHAnsi"/>
                <w:color w:val="000000"/>
                <w:sz w:val="18"/>
                <w:szCs w:val="18"/>
              </w:rPr>
              <w:t>7</w:t>
            </w:r>
          </w:p>
        </w:tc>
      </w:tr>
      <w:tr w:rsidR="00431592" w:rsidRPr="002A3920" w14:paraId="5C23D097" w14:textId="77777777" w:rsidTr="00C459E8">
        <w:trPr>
          <w:trHeight w:hRule="exact" w:val="255"/>
          <w:jc w:val="center"/>
        </w:trPr>
        <w:tc>
          <w:tcPr>
            <w:tcW w:w="3594" w:type="dxa"/>
            <w:tcBorders>
              <w:top w:val="single" w:sz="8" w:space="0" w:color="FFFFFF" w:themeColor="background1"/>
              <w:bottom w:val="single" w:sz="8" w:space="0" w:color="FFFFFF" w:themeColor="background1"/>
            </w:tcBorders>
            <w:shd w:val="clear" w:color="auto" w:fill="DEEAF6" w:themeFill="accent1" w:themeFillTint="33"/>
            <w:noWrap/>
            <w:vAlign w:val="center"/>
          </w:tcPr>
          <w:p w14:paraId="0E48B74D" w14:textId="77777777" w:rsidR="00431592" w:rsidRPr="00EE308B" w:rsidRDefault="00431592" w:rsidP="00C459E8">
            <w:pPr>
              <w:jc w:val="both"/>
              <w:rPr>
                <w:rFonts w:asciiTheme="minorHAnsi" w:hAnsiTheme="minorHAnsi" w:cstheme="minorHAnsi"/>
                <w:color w:val="000000"/>
                <w:sz w:val="18"/>
                <w:szCs w:val="18"/>
              </w:rPr>
            </w:pPr>
            <w:r w:rsidRPr="00EE308B">
              <w:rPr>
                <w:rFonts w:asciiTheme="minorHAnsi" w:hAnsiTheme="minorHAnsi" w:cstheme="minorHAnsi"/>
                <w:color w:val="000000"/>
                <w:sz w:val="18"/>
                <w:szCs w:val="18"/>
              </w:rPr>
              <w:t xml:space="preserve"> Excluindo bens energéticos</w:t>
            </w:r>
          </w:p>
        </w:tc>
        <w:tc>
          <w:tcPr>
            <w:tcW w:w="1084" w:type="dxa"/>
            <w:tcBorders>
              <w:top w:val="single" w:sz="8" w:space="0" w:color="FFFFFF" w:themeColor="background1"/>
              <w:bottom w:val="single" w:sz="8" w:space="0" w:color="FFFFFF" w:themeColor="background1"/>
              <w:right w:val="single" w:sz="8" w:space="0" w:color="FFFFFF" w:themeColor="background1"/>
            </w:tcBorders>
            <w:shd w:val="clear" w:color="auto" w:fill="DEEAF6" w:themeFill="accent1" w:themeFillTint="33"/>
            <w:noWrap/>
            <w:vAlign w:val="center"/>
          </w:tcPr>
          <w:p w14:paraId="16ACC02B" w14:textId="77777777" w:rsidR="00431592" w:rsidRPr="00EE308B" w:rsidRDefault="00431592" w:rsidP="00C459E8">
            <w:pPr>
              <w:jc w:val="both"/>
              <w:rPr>
                <w:rFonts w:asciiTheme="minorHAnsi" w:hAnsiTheme="minorHAnsi" w:cstheme="minorHAnsi"/>
                <w:color w:val="000000"/>
                <w:sz w:val="18"/>
                <w:szCs w:val="18"/>
              </w:rPr>
            </w:pPr>
          </w:p>
        </w:tc>
        <w:tc>
          <w:tcPr>
            <w:tcW w:w="992" w:type="dxa"/>
            <w:tcBorders>
              <w:top w:val="single" w:sz="8" w:space="0" w:color="FFFFFF" w:themeColor="background1"/>
              <w:left w:val="single" w:sz="8" w:space="0" w:color="FFFFFF" w:themeColor="background1"/>
              <w:bottom w:val="single" w:sz="8" w:space="0" w:color="FFFFFF" w:themeColor="background1"/>
            </w:tcBorders>
            <w:shd w:val="clear" w:color="auto" w:fill="DEEAF6" w:themeFill="accent1" w:themeFillTint="33"/>
            <w:noWrap/>
            <w:vAlign w:val="center"/>
          </w:tcPr>
          <w:p w14:paraId="7C54F820" w14:textId="1BB1C3B6" w:rsidR="00431592" w:rsidRPr="00EE308B" w:rsidRDefault="00431592" w:rsidP="00C459E8">
            <w:pPr>
              <w:jc w:val="center"/>
              <w:rPr>
                <w:rFonts w:asciiTheme="minorHAnsi" w:hAnsiTheme="minorHAnsi" w:cstheme="minorHAnsi"/>
                <w:color w:val="000000"/>
                <w:sz w:val="18"/>
                <w:szCs w:val="18"/>
              </w:rPr>
            </w:pPr>
            <w:r w:rsidRPr="00EE308B">
              <w:rPr>
                <w:rFonts w:asciiTheme="minorHAnsi" w:hAnsiTheme="minorHAnsi" w:cstheme="minorHAnsi"/>
                <w:color w:val="000000"/>
                <w:sz w:val="18"/>
                <w:szCs w:val="18"/>
              </w:rPr>
              <w:t>2,</w:t>
            </w:r>
            <w:r w:rsidR="00E134C6">
              <w:rPr>
                <w:rFonts w:asciiTheme="minorHAnsi" w:hAnsiTheme="minorHAnsi" w:cstheme="minorHAnsi"/>
                <w:color w:val="000000"/>
                <w:sz w:val="18"/>
                <w:szCs w:val="18"/>
              </w:rPr>
              <w:t>3</w:t>
            </w:r>
          </w:p>
        </w:tc>
        <w:tc>
          <w:tcPr>
            <w:tcW w:w="997" w:type="dxa"/>
            <w:tcBorders>
              <w:top w:val="single" w:sz="8" w:space="0" w:color="FFFFFF" w:themeColor="background1"/>
              <w:bottom w:val="single" w:sz="8" w:space="0" w:color="FFFFFF" w:themeColor="background1"/>
            </w:tcBorders>
            <w:shd w:val="clear" w:color="auto" w:fill="DEEAF6" w:themeFill="accent1" w:themeFillTint="33"/>
            <w:noWrap/>
            <w:vAlign w:val="center"/>
          </w:tcPr>
          <w:p w14:paraId="62BFE0E7" w14:textId="5F986F5B" w:rsidR="00431592" w:rsidRPr="00EE308B" w:rsidRDefault="00431592" w:rsidP="00C459E8">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Pr="00EE308B">
              <w:rPr>
                <w:rFonts w:asciiTheme="minorHAnsi" w:hAnsiTheme="minorHAnsi" w:cstheme="minorHAnsi"/>
                <w:color w:val="000000"/>
                <w:sz w:val="18"/>
                <w:szCs w:val="18"/>
              </w:rPr>
              <w:t>,</w:t>
            </w:r>
            <w:r w:rsidR="00E134C6">
              <w:rPr>
                <w:rFonts w:asciiTheme="minorHAnsi" w:hAnsiTheme="minorHAnsi" w:cstheme="minorHAnsi"/>
                <w:color w:val="000000"/>
                <w:sz w:val="18"/>
                <w:szCs w:val="18"/>
              </w:rPr>
              <w:t>2</w:t>
            </w:r>
          </w:p>
        </w:tc>
        <w:tc>
          <w:tcPr>
            <w:tcW w:w="1130" w:type="dxa"/>
            <w:tcBorders>
              <w:top w:val="single" w:sz="8" w:space="0" w:color="FFFFFF" w:themeColor="background1"/>
              <w:bottom w:val="single" w:sz="8" w:space="0" w:color="FFFFFF" w:themeColor="background1"/>
            </w:tcBorders>
            <w:shd w:val="clear" w:color="auto" w:fill="DEEAF6" w:themeFill="accent1" w:themeFillTint="33"/>
            <w:noWrap/>
            <w:vAlign w:val="center"/>
          </w:tcPr>
          <w:p w14:paraId="7623F2BA" w14:textId="67D26024" w:rsidR="00431592" w:rsidRPr="00EE308B" w:rsidRDefault="00E134C6" w:rsidP="00C459E8">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00431592" w:rsidRPr="00EE308B">
              <w:rPr>
                <w:rFonts w:asciiTheme="minorHAnsi" w:hAnsiTheme="minorHAnsi" w:cstheme="minorHAnsi"/>
                <w:color w:val="000000"/>
                <w:sz w:val="18"/>
                <w:szCs w:val="18"/>
              </w:rPr>
              <w:t>,</w:t>
            </w:r>
            <w:r>
              <w:rPr>
                <w:rFonts w:asciiTheme="minorHAnsi" w:hAnsiTheme="minorHAnsi" w:cstheme="minorHAnsi"/>
                <w:color w:val="000000"/>
                <w:sz w:val="18"/>
                <w:szCs w:val="18"/>
              </w:rPr>
              <w:t>7</w:t>
            </w:r>
          </w:p>
        </w:tc>
      </w:tr>
      <w:tr w:rsidR="00431592" w:rsidRPr="00EE308B" w14:paraId="35AC8B21" w14:textId="77777777" w:rsidTr="00C459E8">
        <w:trPr>
          <w:trHeight w:val="290"/>
          <w:jc w:val="center"/>
        </w:trPr>
        <w:tc>
          <w:tcPr>
            <w:tcW w:w="7797" w:type="dxa"/>
            <w:gridSpan w:val="5"/>
            <w:tcBorders>
              <w:top w:val="single" w:sz="8" w:space="0" w:color="FFFFFF" w:themeColor="background1"/>
              <w:left w:val="nil"/>
              <w:bottom w:val="nil"/>
              <w:right w:val="nil"/>
            </w:tcBorders>
            <w:noWrap/>
            <w:vAlign w:val="center"/>
            <w:hideMark/>
          </w:tcPr>
          <w:p w14:paraId="650616FB" w14:textId="2BCB5460" w:rsidR="00431592" w:rsidRPr="00EE308B" w:rsidRDefault="00431592" w:rsidP="00C459E8">
            <w:pPr>
              <w:jc w:val="both"/>
              <w:rPr>
                <w:rFonts w:asciiTheme="minorHAnsi" w:hAnsiTheme="minorHAnsi" w:cstheme="minorHAnsi"/>
                <w:sz w:val="16"/>
                <w:szCs w:val="16"/>
              </w:rPr>
            </w:pPr>
            <w:r w:rsidRPr="00EE308B">
              <w:rPr>
                <w:rFonts w:asciiTheme="minorHAnsi" w:hAnsiTheme="minorHAnsi" w:cstheme="minorHAnsi"/>
                <w:sz w:val="16"/>
                <w:szCs w:val="16"/>
              </w:rPr>
              <w:t>Fonte: Banco de Portugal (dezembro 202</w:t>
            </w:r>
            <w:r w:rsidR="00E134C6">
              <w:rPr>
                <w:rFonts w:asciiTheme="minorHAnsi" w:hAnsiTheme="minorHAnsi" w:cstheme="minorHAnsi"/>
                <w:sz w:val="16"/>
                <w:szCs w:val="16"/>
              </w:rPr>
              <w:t>5</w:t>
            </w:r>
            <w:r w:rsidRPr="00EE308B">
              <w:rPr>
                <w:rFonts w:asciiTheme="minorHAnsi" w:hAnsiTheme="minorHAnsi" w:cstheme="minorHAnsi"/>
                <w:sz w:val="16"/>
                <w:szCs w:val="16"/>
              </w:rPr>
              <w:t>)</w:t>
            </w:r>
          </w:p>
        </w:tc>
      </w:tr>
    </w:tbl>
    <w:p w14:paraId="32E24FEC" w14:textId="77777777" w:rsidR="00431592" w:rsidRPr="001D5B01" w:rsidRDefault="00431592" w:rsidP="001D5B01">
      <w:pPr>
        <w:jc w:val="both"/>
        <w:rPr>
          <w:rFonts w:asciiTheme="minorHAnsi" w:hAnsiTheme="minorHAnsi" w:cstheme="minorHAnsi"/>
          <w:sz w:val="22"/>
          <w:szCs w:val="22"/>
        </w:rPr>
      </w:pPr>
    </w:p>
    <w:p w14:paraId="0F17FFFA" w14:textId="77777777" w:rsidR="00375A76" w:rsidRDefault="00375A76" w:rsidP="001D5B01">
      <w:pPr>
        <w:jc w:val="both"/>
        <w:rPr>
          <w:rFonts w:asciiTheme="minorHAnsi" w:hAnsiTheme="minorHAnsi" w:cstheme="minorHAnsi"/>
          <w:sz w:val="22"/>
          <w:szCs w:val="22"/>
        </w:rPr>
      </w:pPr>
    </w:p>
    <w:p w14:paraId="004E92E6" w14:textId="340A6D83" w:rsidR="001D5B01" w:rsidRPr="001D5B01" w:rsidRDefault="001D5B01" w:rsidP="001D5B01">
      <w:pPr>
        <w:jc w:val="both"/>
        <w:rPr>
          <w:rFonts w:asciiTheme="minorHAnsi" w:hAnsiTheme="minorHAnsi" w:cstheme="minorHAnsi"/>
          <w:sz w:val="22"/>
          <w:szCs w:val="22"/>
        </w:rPr>
      </w:pPr>
      <w:r w:rsidRPr="001D5B01">
        <w:rPr>
          <w:rFonts w:asciiTheme="minorHAnsi" w:hAnsiTheme="minorHAnsi" w:cstheme="minorHAnsi"/>
          <w:sz w:val="22"/>
          <w:szCs w:val="22"/>
        </w:rPr>
        <w:t xml:space="preserve">Para 2026, o Banco de Portugal estima um crescimento do PIB de 2,3%. O crescimento estimado para 2027 e 2028 irá reduzir-se para 1,7% e 1,8% respetivamente. </w:t>
      </w:r>
    </w:p>
    <w:p w14:paraId="6BA465D1" w14:textId="77777777" w:rsidR="00394BE8" w:rsidRDefault="00394BE8" w:rsidP="00C93B74">
      <w:pPr>
        <w:jc w:val="both"/>
        <w:rPr>
          <w:rFonts w:asciiTheme="minorHAnsi" w:hAnsiTheme="minorHAnsi" w:cstheme="minorHAnsi"/>
          <w:sz w:val="22"/>
          <w:szCs w:val="22"/>
        </w:rPr>
      </w:pPr>
    </w:p>
    <w:p w14:paraId="2AA1EDD0" w14:textId="77777777" w:rsidR="00C93B74" w:rsidRDefault="00C93B74" w:rsidP="00C93B74">
      <w:pPr>
        <w:jc w:val="both"/>
        <w:rPr>
          <w:rFonts w:asciiTheme="minorHAnsi" w:hAnsiTheme="minorHAnsi" w:cstheme="minorHAnsi"/>
          <w:sz w:val="22"/>
          <w:szCs w:val="22"/>
        </w:rPr>
      </w:pPr>
    </w:p>
    <w:bookmarkEnd w:id="17"/>
    <w:p w14:paraId="212D1C9B" w14:textId="77777777" w:rsidR="00C93B74" w:rsidRDefault="00C93B74" w:rsidP="00C93B74">
      <w:pPr>
        <w:rPr>
          <w:rFonts w:asciiTheme="minorHAnsi" w:hAnsiTheme="minorHAnsi"/>
          <w:b/>
          <w:bCs/>
          <w:iCs/>
          <w:sz w:val="22"/>
          <w:szCs w:val="22"/>
          <w:lang w:eastAsia="en-US"/>
        </w:rPr>
      </w:pPr>
      <w:r>
        <w:br w:type="page"/>
      </w:r>
    </w:p>
    <w:p w14:paraId="5AAF2A31" w14:textId="77777777" w:rsidR="00C93B74" w:rsidRDefault="00C93B74" w:rsidP="00E50831">
      <w:pPr>
        <w:pStyle w:val="Ttulo22"/>
      </w:pPr>
      <w:bookmarkStart w:id="18" w:name="_Toc163060204"/>
      <w:bookmarkStart w:id="19" w:name="_Toc221618458"/>
      <w:r w:rsidRPr="00BD339A">
        <w:lastRenderedPageBreak/>
        <w:t>1.4 Evolução da Atividade da Sociedade</w:t>
      </w:r>
      <w:bookmarkEnd w:id="18"/>
      <w:bookmarkEnd w:id="19"/>
    </w:p>
    <w:p w14:paraId="0CF2895F" w14:textId="77777777" w:rsidR="00C93B74" w:rsidRPr="006747C9" w:rsidRDefault="00C93B74" w:rsidP="00C93B74">
      <w:pPr>
        <w:jc w:val="both"/>
        <w:rPr>
          <w:rFonts w:asciiTheme="minorHAnsi" w:hAnsiTheme="minorHAnsi" w:cstheme="minorHAnsi"/>
          <w:b/>
          <w:bCs/>
          <w:sz w:val="22"/>
          <w:szCs w:val="22"/>
        </w:rPr>
      </w:pPr>
      <w:bookmarkStart w:id="20" w:name="OLE_LINK1"/>
      <w:r w:rsidRPr="006747C9">
        <w:rPr>
          <w:rFonts w:asciiTheme="minorHAnsi" w:hAnsiTheme="minorHAnsi" w:cstheme="minorHAnsi"/>
          <w:b/>
          <w:bCs/>
          <w:sz w:val="22"/>
          <w:szCs w:val="22"/>
          <w:u w:val="single"/>
        </w:rPr>
        <w:t>Indicadores</w:t>
      </w:r>
    </w:p>
    <w:p w14:paraId="4F8CC6BF" w14:textId="77777777" w:rsidR="00C93B74" w:rsidRDefault="00C93B74" w:rsidP="00C93B74">
      <w:pPr>
        <w:jc w:val="both"/>
        <w:rPr>
          <w:rFonts w:asciiTheme="minorHAnsi" w:hAnsiTheme="minorHAnsi" w:cstheme="minorHAnsi"/>
          <w:sz w:val="22"/>
          <w:szCs w:val="22"/>
        </w:rPr>
      </w:pPr>
    </w:p>
    <w:p w14:paraId="66B160EE" w14:textId="5BEBBE43" w:rsidR="00C93B74" w:rsidRDefault="00C93B74" w:rsidP="00C93B74">
      <w:pPr>
        <w:jc w:val="both"/>
        <w:rPr>
          <w:rFonts w:asciiTheme="minorHAnsi" w:hAnsiTheme="minorHAnsi" w:cstheme="minorHAnsi"/>
          <w:sz w:val="22"/>
          <w:szCs w:val="22"/>
        </w:rPr>
      </w:pPr>
      <w:bookmarkStart w:id="21" w:name="_Hlk129014728"/>
      <w:r w:rsidRPr="00345E07">
        <w:rPr>
          <w:rFonts w:asciiTheme="minorHAnsi" w:hAnsiTheme="minorHAnsi" w:cstheme="minorHAnsi"/>
          <w:sz w:val="22"/>
          <w:szCs w:val="22"/>
        </w:rPr>
        <w:t>Os principais indicadores relativos à atividade da PARVALOREM em 202</w:t>
      </w:r>
      <w:r w:rsidR="001E4F8A">
        <w:rPr>
          <w:rFonts w:asciiTheme="minorHAnsi" w:hAnsiTheme="minorHAnsi" w:cstheme="minorHAnsi"/>
          <w:sz w:val="22"/>
          <w:szCs w:val="22"/>
        </w:rPr>
        <w:t>5</w:t>
      </w:r>
      <w:r w:rsidRPr="00345E07">
        <w:rPr>
          <w:rFonts w:asciiTheme="minorHAnsi" w:hAnsiTheme="minorHAnsi" w:cstheme="minorHAnsi"/>
          <w:sz w:val="22"/>
          <w:szCs w:val="22"/>
        </w:rPr>
        <w:t xml:space="preserve"> são os seguintes:</w:t>
      </w:r>
    </w:p>
    <w:tbl>
      <w:tblPr>
        <w:tblW w:w="8505" w:type="dxa"/>
        <w:tblCellMar>
          <w:left w:w="70" w:type="dxa"/>
          <w:right w:w="70" w:type="dxa"/>
        </w:tblCellMar>
        <w:tblLook w:val="04A0" w:firstRow="1" w:lastRow="0" w:firstColumn="1" w:lastColumn="0" w:noHBand="0" w:noVBand="1"/>
      </w:tblPr>
      <w:tblGrid>
        <w:gridCol w:w="4536"/>
        <w:gridCol w:w="993"/>
        <w:gridCol w:w="1134"/>
        <w:gridCol w:w="992"/>
        <w:gridCol w:w="850"/>
      </w:tblGrid>
      <w:tr w:rsidR="00C93B74" w14:paraId="677FAC98" w14:textId="77777777" w:rsidTr="00351BC7">
        <w:trPr>
          <w:trHeight w:val="276"/>
        </w:trPr>
        <w:tc>
          <w:tcPr>
            <w:tcW w:w="8505" w:type="dxa"/>
            <w:gridSpan w:val="5"/>
            <w:tcBorders>
              <w:top w:val="nil"/>
              <w:left w:val="nil"/>
              <w:bottom w:val="nil"/>
              <w:right w:val="nil"/>
            </w:tcBorders>
            <w:noWrap/>
            <w:vAlign w:val="bottom"/>
            <w:hideMark/>
          </w:tcPr>
          <w:p w14:paraId="3DE0789B" w14:textId="77777777" w:rsidR="00C93B74" w:rsidRDefault="00C93B74" w:rsidP="00B36274">
            <w:pPr>
              <w:jc w:val="right"/>
              <w:rPr>
                <w:rFonts w:ascii="Calibri" w:hAnsi="Calibri" w:cs="Calibri"/>
                <w:color w:val="000000"/>
                <w:sz w:val="14"/>
                <w:szCs w:val="14"/>
              </w:rPr>
            </w:pPr>
            <w:r>
              <w:rPr>
                <w:rFonts w:ascii="Calibri" w:hAnsi="Calibri" w:cs="Calibri"/>
                <w:color w:val="000000"/>
                <w:sz w:val="14"/>
                <w:szCs w:val="14"/>
              </w:rPr>
              <w:t>Milhares de Euros</w:t>
            </w:r>
          </w:p>
        </w:tc>
      </w:tr>
      <w:bookmarkEnd w:id="21"/>
      <w:tr w:rsidR="00C93B74" w:rsidRPr="00897BC9" w14:paraId="1D6438E3" w14:textId="77777777" w:rsidTr="00351BC7">
        <w:trPr>
          <w:trHeight w:val="336"/>
        </w:trPr>
        <w:tc>
          <w:tcPr>
            <w:tcW w:w="4536" w:type="dxa"/>
            <w:tcBorders>
              <w:top w:val="single" w:sz="4" w:space="0" w:color="FFFFFF"/>
              <w:left w:val="single" w:sz="4" w:space="0" w:color="FFFFFF"/>
              <w:bottom w:val="single" w:sz="4" w:space="0" w:color="FFFFFF"/>
              <w:right w:val="single" w:sz="4" w:space="0" w:color="FFFFFF"/>
            </w:tcBorders>
            <w:shd w:val="clear" w:color="auto" w:fill="8EAADB" w:themeFill="accent5" w:themeFillTint="99"/>
            <w:noWrap/>
            <w:vAlign w:val="center"/>
            <w:hideMark/>
          </w:tcPr>
          <w:p w14:paraId="280D3EB4" w14:textId="77777777" w:rsidR="00C93B74" w:rsidRPr="00897BC9" w:rsidRDefault="00C93B74" w:rsidP="00B36274">
            <w:pPr>
              <w:jc w:val="center"/>
              <w:rPr>
                <w:rFonts w:asciiTheme="minorHAnsi" w:hAnsiTheme="minorHAnsi" w:cstheme="minorHAnsi"/>
                <w:b/>
                <w:bCs/>
                <w:sz w:val="18"/>
                <w:szCs w:val="18"/>
              </w:rPr>
            </w:pPr>
            <w:r w:rsidRPr="00897BC9">
              <w:rPr>
                <w:rFonts w:asciiTheme="minorHAnsi" w:hAnsiTheme="minorHAnsi" w:cstheme="minorHAnsi"/>
                <w:b/>
                <w:bCs/>
                <w:sz w:val="18"/>
                <w:szCs w:val="18"/>
              </w:rPr>
              <w:t> </w:t>
            </w:r>
          </w:p>
        </w:tc>
        <w:tc>
          <w:tcPr>
            <w:tcW w:w="993" w:type="dxa"/>
            <w:tcBorders>
              <w:top w:val="single" w:sz="4" w:space="0" w:color="FFFFFF"/>
              <w:left w:val="nil"/>
              <w:bottom w:val="single" w:sz="4" w:space="0" w:color="FFFFFF"/>
              <w:right w:val="single" w:sz="4" w:space="0" w:color="FFFFFF"/>
            </w:tcBorders>
            <w:shd w:val="clear" w:color="auto" w:fill="8EAADB" w:themeFill="accent5" w:themeFillTint="99"/>
            <w:vAlign w:val="center"/>
            <w:hideMark/>
          </w:tcPr>
          <w:p w14:paraId="1F2B400E" w14:textId="524A107E" w:rsidR="00C93B74" w:rsidRPr="00897BC9" w:rsidRDefault="00C93B74" w:rsidP="00B36274">
            <w:pPr>
              <w:jc w:val="center"/>
              <w:rPr>
                <w:rFonts w:asciiTheme="minorHAnsi" w:hAnsiTheme="minorHAnsi" w:cstheme="minorHAnsi"/>
                <w:b/>
                <w:bCs/>
                <w:sz w:val="18"/>
                <w:szCs w:val="18"/>
              </w:rPr>
            </w:pPr>
            <w:r w:rsidRPr="00897BC9">
              <w:rPr>
                <w:rFonts w:asciiTheme="minorHAnsi" w:hAnsiTheme="minorHAnsi" w:cstheme="minorHAnsi"/>
                <w:b/>
                <w:bCs/>
                <w:sz w:val="18"/>
                <w:szCs w:val="18"/>
              </w:rPr>
              <w:t>202</w:t>
            </w:r>
            <w:r w:rsidR="001E4F8A">
              <w:rPr>
                <w:rFonts w:asciiTheme="minorHAnsi" w:hAnsiTheme="minorHAnsi" w:cstheme="minorHAnsi"/>
                <w:b/>
                <w:bCs/>
                <w:sz w:val="18"/>
                <w:szCs w:val="18"/>
              </w:rPr>
              <w:t>5</w:t>
            </w:r>
          </w:p>
        </w:tc>
        <w:tc>
          <w:tcPr>
            <w:tcW w:w="1134" w:type="dxa"/>
            <w:tcBorders>
              <w:top w:val="single" w:sz="4" w:space="0" w:color="FFFFFF"/>
              <w:left w:val="nil"/>
              <w:bottom w:val="single" w:sz="4" w:space="0" w:color="FFFFFF"/>
              <w:right w:val="single" w:sz="4" w:space="0" w:color="FFFFFF"/>
            </w:tcBorders>
            <w:shd w:val="clear" w:color="auto" w:fill="8EAADB" w:themeFill="accent5" w:themeFillTint="99"/>
            <w:vAlign w:val="center"/>
            <w:hideMark/>
          </w:tcPr>
          <w:p w14:paraId="5945298F" w14:textId="67E7BABC" w:rsidR="00C93B74" w:rsidRPr="00897BC9" w:rsidRDefault="00C93B74" w:rsidP="00B36274">
            <w:pPr>
              <w:jc w:val="center"/>
              <w:rPr>
                <w:rFonts w:asciiTheme="minorHAnsi" w:hAnsiTheme="minorHAnsi" w:cstheme="minorHAnsi"/>
                <w:b/>
                <w:bCs/>
                <w:sz w:val="18"/>
                <w:szCs w:val="18"/>
              </w:rPr>
            </w:pPr>
            <w:r w:rsidRPr="00897BC9">
              <w:rPr>
                <w:rFonts w:asciiTheme="minorHAnsi" w:hAnsiTheme="minorHAnsi" w:cstheme="minorHAnsi"/>
                <w:b/>
                <w:bCs/>
                <w:sz w:val="18"/>
                <w:szCs w:val="18"/>
              </w:rPr>
              <w:t>202</w:t>
            </w:r>
            <w:r w:rsidR="001E4F8A">
              <w:rPr>
                <w:rFonts w:asciiTheme="minorHAnsi" w:hAnsiTheme="minorHAnsi" w:cstheme="minorHAnsi"/>
                <w:b/>
                <w:bCs/>
                <w:sz w:val="18"/>
                <w:szCs w:val="18"/>
              </w:rPr>
              <w:t>4</w:t>
            </w:r>
          </w:p>
        </w:tc>
        <w:tc>
          <w:tcPr>
            <w:tcW w:w="992" w:type="dxa"/>
            <w:tcBorders>
              <w:top w:val="single" w:sz="4" w:space="0" w:color="FFFFFF"/>
              <w:left w:val="nil"/>
              <w:bottom w:val="single" w:sz="4" w:space="0" w:color="FFFFFF"/>
              <w:right w:val="single" w:sz="4" w:space="0" w:color="FFFFFF"/>
            </w:tcBorders>
            <w:shd w:val="clear" w:color="auto" w:fill="8EAADB" w:themeFill="accent5" w:themeFillTint="99"/>
            <w:vAlign w:val="center"/>
            <w:hideMark/>
          </w:tcPr>
          <w:p w14:paraId="4D582FEF" w14:textId="77777777" w:rsidR="00C93B74" w:rsidRPr="00897BC9" w:rsidRDefault="00C93B74" w:rsidP="00B36274">
            <w:pPr>
              <w:jc w:val="center"/>
              <w:rPr>
                <w:rFonts w:asciiTheme="minorHAnsi" w:hAnsiTheme="minorHAnsi" w:cstheme="minorHAnsi"/>
                <w:b/>
                <w:bCs/>
                <w:sz w:val="18"/>
                <w:szCs w:val="18"/>
              </w:rPr>
            </w:pPr>
            <w:r w:rsidRPr="00897BC9">
              <w:rPr>
                <w:rFonts w:asciiTheme="minorHAnsi" w:hAnsiTheme="minorHAnsi" w:cstheme="minorHAnsi"/>
                <w:b/>
                <w:bCs/>
                <w:sz w:val="18"/>
                <w:szCs w:val="18"/>
              </w:rPr>
              <w:t>∆ valor</w:t>
            </w:r>
          </w:p>
        </w:tc>
        <w:tc>
          <w:tcPr>
            <w:tcW w:w="850" w:type="dxa"/>
            <w:tcBorders>
              <w:top w:val="single" w:sz="4" w:space="0" w:color="FFFFFF"/>
              <w:left w:val="nil"/>
              <w:bottom w:val="single" w:sz="4" w:space="0" w:color="FFFFFF"/>
              <w:right w:val="single" w:sz="4" w:space="0" w:color="FFFFFF"/>
            </w:tcBorders>
            <w:shd w:val="clear" w:color="auto" w:fill="8EAADB" w:themeFill="accent5" w:themeFillTint="99"/>
            <w:vAlign w:val="center"/>
            <w:hideMark/>
          </w:tcPr>
          <w:p w14:paraId="4B33CD9F" w14:textId="77777777" w:rsidR="00C93B74" w:rsidRPr="00897BC9" w:rsidRDefault="00C93B74" w:rsidP="00B36274">
            <w:pPr>
              <w:jc w:val="center"/>
              <w:rPr>
                <w:rFonts w:asciiTheme="minorHAnsi" w:hAnsiTheme="minorHAnsi" w:cstheme="minorHAnsi"/>
                <w:b/>
                <w:bCs/>
                <w:sz w:val="18"/>
                <w:szCs w:val="18"/>
              </w:rPr>
            </w:pPr>
            <w:r w:rsidRPr="00897BC9">
              <w:rPr>
                <w:rFonts w:asciiTheme="minorHAnsi" w:hAnsiTheme="minorHAnsi" w:cstheme="minorHAnsi"/>
                <w:b/>
                <w:bCs/>
                <w:sz w:val="18"/>
                <w:szCs w:val="18"/>
              </w:rPr>
              <w:t>∆ %</w:t>
            </w:r>
          </w:p>
        </w:tc>
      </w:tr>
      <w:tr w:rsidR="00C93B74" w:rsidRPr="00E275E6" w14:paraId="7FC112F8"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28E71410" w14:textId="77777777" w:rsidR="00C93B74" w:rsidRPr="00E275E6" w:rsidRDefault="00C93B74" w:rsidP="00B36274">
            <w:pPr>
              <w:rPr>
                <w:rFonts w:asciiTheme="minorHAnsi" w:hAnsiTheme="minorHAnsi" w:cstheme="minorHAnsi"/>
                <w:b/>
                <w:bCs/>
                <w:color w:val="000000"/>
                <w:sz w:val="18"/>
                <w:szCs w:val="18"/>
              </w:rPr>
            </w:pPr>
            <w:r w:rsidRPr="00E275E6">
              <w:rPr>
                <w:rFonts w:asciiTheme="minorHAnsi" w:hAnsiTheme="minorHAnsi" w:cstheme="minorHAnsi"/>
                <w:b/>
                <w:bCs/>
                <w:color w:val="000000"/>
                <w:sz w:val="18"/>
                <w:szCs w:val="18"/>
              </w:rPr>
              <w:t>CARTEIRA DE CRÉDITO</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hideMark/>
          </w:tcPr>
          <w:p w14:paraId="43F97B1C" w14:textId="77777777" w:rsidR="00C93B74" w:rsidRPr="00E275E6" w:rsidRDefault="00C93B74" w:rsidP="00B36274">
            <w:pPr>
              <w:jc w:val="right"/>
              <w:rPr>
                <w:rFonts w:asciiTheme="minorHAnsi" w:hAnsiTheme="minorHAnsi" w:cstheme="minorHAnsi"/>
                <w:sz w:val="18"/>
                <w:szCs w:val="18"/>
              </w:rPr>
            </w:pPr>
            <w:r w:rsidRPr="00E275E6">
              <w:rPr>
                <w:rFonts w:asciiTheme="minorHAnsi" w:hAnsiTheme="minorHAnsi" w:cstheme="minorHAnsi"/>
                <w:sz w:val="18"/>
                <w:szCs w:val="18"/>
              </w:rPr>
              <w:t> </w:t>
            </w:r>
          </w:p>
        </w:tc>
        <w:tc>
          <w:tcPr>
            <w:tcW w:w="1134" w:type="dxa"/>
            <w:tcBorders>
              <w:top w:val="nil"/>
              <w:left w:val="nil"/>
              <w:bottom w:val="single" w:sz="4" w:space="0" w:color="FFFFFF"/>
              <w:right w:val="single" w:sz="4" w:space="0" w:color="FFFFFF"/>
            </w:tcBorders>
            <w:shd w:val="clear" w:color="auto" w:fill="DEEAF6" w:themeFill="accent1" w:themeFillTint="33"/>
            <w:noWrap/>
            <w:vAlign w:val="center"/>
            <w:hideMark/>
          </w:tcPr>
          <w:p w14:paraId="54F4BE15" w14:textId="77777777" w:rsidR="00C93B74" w:rsidRPr="00E275E6" w:rsidRDefault="00C93B74" w:rsidP="00B36274">
            <w:pPr>
              <w:jc w:val="right"/>
              <w:rPr>
                <w:rFonts w:asciiTheme="minorHAnsi" w:hAnsiTheme="minorHAnsi" w:cstheme="minorHAnsi"/>
                <w:sz w:val="18"/>
                <w:szCs w:val="18"/>
              </w:rPr>
            </w:pPr>
            <w:r w:rsidRPr="00E275E6">
              <w:rPr>
                <w:rFonts w:asciiTheme="minorHAnsi" w:hAnsiTheme="minorHAnsi" w:cstheme="minorHAnsi"/>
                <w:sz w:val="18"/>
                <w:szCs w:val="18"/>
              </w:rPr>
              <w:t> </w:t>
            </w:r>
          </w:p>
        </w:tc>
        <w:tc>
          <w:tcPr>
            <w:tcW w:w="992" w:type="dxa"/>
            <w:tcBorders>
              <w:top w:val="nil"/>
              <w:left w:val="nil"/>
              <w:bottom w:val="single" w:sz="4" w:space="0" w:color="FFFFFF"/>
              <w:right w:val="single" w:sz="4" w:space="0" w:color="FFFFFF"/>
            </w:tcBorders>
            <w:shd w:val="clear" w:color="auto" w:fill="DEEAF6" w:themeFill="accent1" w:themeFillTint="33"/>
            <w:noWrap/>
            <w:vAlign w:val="center"/>
            <w:hideMark/>
          </w:tcPr>
          <w:p w14:paraId="4C2D0E75" w14:textId="77777777" w:rsidR="00C93B74" w:rsidRPr="00E275E6" w:rsidRDefault="00C93B74" w:rsidP="00B36274">
            <w:pPr>
              <w:jc w:val="right"/>
              <w:rPr>
                <w:rFonts w:asciiTheme="minorHAnsi" w:hAnsiTheme="minorHAnsi" w:cstheme="minorHAnsi"/>
                <w:sz w:val="18"/>
                <w:szCs w:val="18"/>
              </w:rPr>
            </w:pPr>
            <w:r w:rsidRPr="00E275E6">
              <w:rPr>
                <w:rFonts w:asciiTheme="minorHAnsi" w:hAnsiTheme="minorHAnsi" w:cstheme="minorHAnsi"/>
                <w:sz w:val="18"/>
                <w:szCs w:val="18"/>
              </w:rPr>
              <w:t> </w:t>
            </w:r>
          </w:p>
        </w:tc>
        <w:tc>
          <w:tcPr>
            <w:tcW w:w="850" w:type="dxa"/>
            <w:tcBorders>
              <w:top w:val="nil"/>
              <w:left w:val="nil"/>
              <w:bottom w:val="single" w:sz="4" w:space="0" w:color="FFFFFF"/>
              <w:right w:val="single" w:sz="4" w:space="0" w:color="FFFFFF"/>
            </w:tcBorders>
            <w:shd w:val="clear" w:color="auto" w:fill="DEEAF6" w:themeFill="accent1" w:themeFillTint="33"/>
            <w:noWrap/>
            <w:vAlign w:val="center"/>
            <w:hideMark/>
          </w:tcPr>
          <w:p w14:paraId="77908EBE" w14:textId="77777777" w:rsidR="00C93B74" w:rsidRPr="00E275E6" w:rsidRDefault="00C93B74" w:rsidP="00B36274">
            <w:pPr>
              <w:jc w:val="right"/>
              <w:rPr>
                <w:rFonts w:asciiTheme="minorHAnsi" w:hAnsiTheme="minorHAnsi" w:cstheme="minorHAnsi"/>
                <w:color w:val="C65911"/>
                <w:sz w:val="18"/>
                <w:szCs w:val="18"/>
              </w:rPr>
            </w:pPr>
            <w:r w:rsidRPr="00E275E6">
              <w:rPr>
                <w:rFonts w:asciiTheme="minorHAnsi" w:hAnsiTheme="minorHAnsi" w:cstheme="minorHAnsi"/>
                <w:color w:val="C65911"/>
                <w:sz w:val="18"/>
                <w:szCs w:val="18"/>
              </w:rPr>
              <w:t> </w:t>
            </w:r>
          </w:p>
        </w:tc>
      </w:tr>
      <w:tr w:rsidR="00C93B74" w:rsidRPr="00E275E6" w14:paraId="7C43525E"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2D01AF5A" w14:textId="77777777" w:rsidR="00C93B74" w:rsidRPr="00E275E6" w:rsidRDefault="00C93B74" w:rsidP="00B36274">
            <w:pPr>
              <w:rPr>
                <w:rFonts w:asciiTheme="minorHAnsi" w:hAnsiTheme="minorHAnsi" w:cstheme="minorHAnsi"/>
                <w:sz w:val="18"/>
                <w:szCs w:val="18"/>
                <w:u w:val="single"/>
              </w:rPr>
            </w:pPr>
            <w:r w:rsidRPr="00E275E6">
              <w:rPr>
                <w:rFonts w:asciiTheme="minorHAnsi" w:hAnsiTheme="minorHAnsi" w:cstheme="minorHAnsi"/>
                <w:sz w:val="18"/>
                <w:szCs w:val="18"/>
                <w:u w:val="single"/>
              </w:rPr>
              <w:t>Valores contabilísticos</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hideMark/>
          </w:tcPr>
          <w:p w14:paraId="34B0E1E5" w14:textId="77777777" w:rsidR="00C93B74" w:rsidRPr="00E275E6" w:rsidRDefault="00C93B74" w:rsidP="00B36274">
            <w:pPr>
              <w:jc w:val="right"/>
              <w:rPr>
                <w:rFonts w:asciiTheme="minorHAnsi" w:hAnsiTheme="minorHAnsi" w:cstheme="minorHAnsi"/>
                <w:sz w:val="18"/>
                <w:szCs w:val="18"/>
              </w:rPr>
            </w:pPr>
            <w:r w:rsidRPr="00E275E6">
              <w:rPr>
                <w:rFonts w:asciiTheme="minorHAnsi" w:hAnsiTheme="minorHAnsi" w:cstheme="minorHAnsi"/>
                <w:sz w:val="18"/>
                <w:szCs w:val="18"/>
              </w:rPr>
              <w:t> </w:t>
            </w:r>
          </w:p>
        </w:tc>
        <w:tc>
          <w:tcPr>
            <w:tcW w:w="1134" w:type="dxa"/>
            <w:tcBorders>
              <w:top w:val="nil"/>
              <w:left w:val="nil"/>
              <w:bottom w:val="single" w:sz="4" w:space="0" w:color="FFFFFF"/>
              <w:right w:val="single" w:sz="4" w:space="0" w:color="FFFFFF"/>
            </w:tcBorders>
            <w:shd w:val="clear" w:color="auto" w:fill="DEEAF6" w:themeFill="accent1" w:themeFillTint="33"/>
            <w:noWrap/>
            <w:vAlign w:val="center"/>
            <w:hideMark/>
          </w:tcPr>
          <w:p w14:paraId="00D6CBA3" w14:textId="77777777" w:rsidR="00C93B74" w:rsidRPr="00E275E6" w:rsidRDefault="00C93B74" w:rsidP="00B36274">
            <w:pPr>
              <w:jc w:val="right"/>
              <w:rPr>
                <w:rFonts w:asciiTheme="minorHAnsi" w:hAnsiTheme="minorHAnsi" w:cstheme="minorHAnsi"/>
                <w:sz w:val="18"/>
                <w:szCs w:val="18"/>
              </w:rPr>
            </w:pPr>
            <w:r w:rsidRPr="00E275E6">
              <w:rPr>
                <w:rFonts w:asciiTheme="minorHAnsi" w:hAnsiTheme="minorHAnsi" w:cstheme="minorHAnsi"/>
                <w:sz w:val="18"/>
                <w:szCs w:val="18"/>
              </w:rPr>
              <w:t> </w:t>
            </w:r>
          </w:p>
        </w:tc>
        <w:tc>
          <w:tcPr>
            <w:tcW w:w="992" w:type="dxa"/>
            <w:tcBorders>
              <w:top w:val="nil"/>
              <w:left w:val="nil"/>
              <w:bottom w:val="single" w:sz="4" w:space="0" w:color="FFFFFF"/>
              <w:right w:val="single" w:sz="4" w:space="0" w:color="FFFFFF"/>
            </w:tcBorders>
            <w:shd w:val="clear" w:color="auto" w:fill="DEEAF6" w:themeFill="accent1" w:themeFillTint="33"/>
            <w:noWrap/>
            <w:vAlign w:val="center"/>
            <w:hideMark/>
          </w:tcPr>
          <w:p w14:paraId="4B4EDD98" w14:textId="77777777" w:rsidR="00C93B74" w:rsidRPr="00E275E6" w:rsidRDefault="00C93B74" w:rsidP="00B36274">
            <w:pPr>
              <w:jc w:val="right"/>
              <w:rPr>
                <w:rFonts w:asciiTheme="minorHAnsi" w:hAnsiTheme="minorHAnsi" w:cstheme="minorHAnsi"/>
                <w:sz w:val="18"/>
                <w:szCs w:val="18"/>
              </w:rPr>
            </w:pPr>
            <w:r w:rsidRPr="00E275E6">
              <w:rPr>
                <w:rFonts w:asciiTheme="minorHAnsi" w:hAnsiTheme="minorHAnsi" w:cstheme="minorHAnsi"/>
                <w:sz w:val="18"/>
                <w:szCs w:val="18"/>
              </w:rPr>
              <w:t> </w:t>
            </w:r>
          </w:p>
        </w:tc>
        <w:tc>
          <w:tcPr>
            <w:tcW w:w="850" w:type="dxa"/>
            <w:tcBorders>
              <w:top w:val="nil"/>
              <w:left w:val="nil"/>
              <w:bottom w:val="single" w:sz="4" w:space="0" w:color="FFFFFF"/>
              <w:right w:val="single" w:sz="4" w:space="0" w:color="FFFFFF"/>
            </w:tcBorders>
            <w:shd w:val="clear" w:color="auto" w:fill="DEEAF6" w:themeFill="accent1" w:themeFillTint="33"/>
            <w:noWrap/>
            <w:vAlign w:val="center"/>
            <w:hideMark/>
          </w:tcPr>
          <w:p w14:paraId="2B97DE99" w14:textId="77777777" w:rsidR="00C93B74" w:rsidRPr="00E275E6" w:rsidRDefault="00C93B74" w:rsidP="00B36274">
            <w:pPr>
              <w:jc w:val="right"/>
              <w:rPr>
                <w:rFonts w:asciiTheme="minorHAnsi" w:hAnsiTheme="minorHAnsi" w:cstheme="minorHAnsi"/>
                <w:sz w:val="18"/>
                <w:szCs w:val="18"/>
              </w:rPr>
            </w:pPr>
            <w:r w:rsidRPr="00E275E6">
              <w:rPr>
                <w:rFonts w:asciiTheme="minorHAnsi" w:hAnsiTheme="minorHAnsi" w:cstheme="minorHAnsi"/>
                <w:sz w:val="18"/>
                <w:szCs w:val="18"/>
              </w:rPr>
              <w:t> </w:t>
            </w:r>
          </w:p>
        </w:tc>
      </w:tr>
      <w:tr w:rsidR="00521275" w:rsidRPr="00E275E6" w14:paraId="76CA5766"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3DBBE898" w14:textId="77777777" w:rsidR="00521275" w:rsidRPr="00A027FB" w:rsidRDefault="00521275" w:rsidP="00521275">
            <w:pPr>
              <w:ind w:firstLineChars="100" w:firstLine="180"/>
              <w:rPr>
                <w:rFonts w:asciiTheme="minorHAnsi" w:hAnsiTheme="minorHAnsi" w:cstheme="minorHAnsi"/>
                <w:sz w:val="18"/>
                <w:szCs w:val="18"/>
              </w:rPr>
            </w:pPr>
            <w:r w:rsidRPr="00A027FB">
              <w:rPr>
                <w:rFonts w:asciiTheme="minorHAnsi" w:hAnsiTheme="minorHAnsi" w:cstheme="minorHAnsi"/>
                <w:sz w:val="18"/>
                <w:szCs w:val="18"/>
              </w:rPr>
              <w:t>Recebimentos (capital e juros)</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6CD6E037" w14:textId="631FBEBF" w:rsidR="00521275" w:rsidRPr="006C0F01" w:rsidRDefault="00521275" w:rsidP="00521275">
            <w:pPr>
              <w:jc w:val="right"/>
              <w:rPr>
                <w:rFonts w:asciiTheme="minorHAnsi" w:hAnsiTheme="minorHAnsi" w:cstheme="minorHAnsi"/>
                <w:sz w:val="18"/>
                <w:szCs w:val="18"/>
              </w:rPr>
            </w:pPr>
            <w:r>
              <w:rPr>
                <w:rFonts w:ascii="Calibri" w:hAnsi="Calibri" w:cs="Calibri"/>
                <w:sz w:val="18"/>
                <w:szCs w:val="18"/>
              </w:rPr>
              <w:t>26 437</w:t>
            </w:r>
          </w:p>
        </w:tc>
        <w:tc>
          <w:tcPr>
            <w:tcW w:w="1134" w:type="dxa"/>
            <w:tcBorders>
              <w:top w:val="nil"/>
              <w:left w:val="nil"/>
              <w:bottom w:val="single" w:sz="4" w:space="0" w:color="FFFFFF"/>
              <w:right w:val="single" w:sz="4" w:space="0" w:color="FFFFFF"/>
            </w:tcBorders>
            <w:shd w:val="clear" w:color="auto" w:fill="DEEAF6" w:themeFill="accent1" w:themeFillTint="33"/>
            <w:noWrap/>
            <w:vAlign w:val="center"/>
            <w:hideMark/>
          </w:tcPr>
          <w:p w14:paraId="0A648563" w14:textId="28B5CA11" w:rsidR="00521275" w:rsidRPr="006C0F01" w:rsidRDefault="00521275" w:rsidP="00521275">
            <w:pPr>
              <w:jc w:val="right"/>
              <w:rPr>
                <w:rFonts w:asciiTheme="minorHAnsi" w:hAnsiTheme="minorHAnsi" w:cstheme="minorHAnsi"/>
                <w:sz w:val="18"/>
                <w:szCs w:val="18"/>
              </w:rPr>
            </w:pPr>
            <w:r>
              <w:rPr>
                <w:rFonts w:ascii="Calibri" w:hAnsi="Calibri" w:cs="Calibri"/>
                <w:sz w:val="18"/>
                <w:szCs w:val="18"/>
              </w:rPr>
              <w:t>56 705</w:t>
            </w: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4D5DCD8D" w14:textId="1D621567" w:rsidR="00521275" w:rsidRPr="006C0F01" w:rsidRDefault="00521275" w:rsidP="00521275">
            <w:pPr>
              <w:jc w:val="right"/>
              <w:rPr>
                <w:rFonts w:ascii="Calibri" w:hAnsi="Calibri" w:cs="Calibri"/>
                <w:sz w:val="18"/>
                <w:szCs w:val="18"/>
              </w:rPr>
            </w:pPr>
            <w:r>
              <w:rPr>
                <w:rFonts w:ascii="Calibri" w:hAnsi="Calibri" w:cs="Calibri"/>
                <w:sz w:val="18"/>
                <w:szCs w:val="18"/>
              </w:rPr>
              <w:t>(30 268)</w:t>
            </w: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22A388F8" w14:textId="4CDF2159" w:rsidR="00521275" w:rsidRPr="006C0F01" w:rsidRDefault="00521275" w:rsidP="00521275">
            <w:pPr>
              <w:jc w:val="right"/>
              <w:rPr>
                <w:rFonts w:ascii="Calibri" w:hAnsi="Calibri" w:cs="Calibri"/>
                <w:sz w:val="18"/>
                <w:szCs w:val="18"/>
              </w:rPr>
            </w:pPr>
            <w:r>
              <w:rPr>
                <w:rFonts w:ascii="Calibri" w:hAnsi="Calibri" w:cs="Calibri"/>
                <w:color w:val="000000"/>
                <w:sz w:val="18"/>
                <w:szCs w:val="18"/>
              </w:rPr>
              <w:t>(53%)</w:t>
            </w:r>
          </w:p>
        </w:tc>
      </w:tr>
      <w:tr w:rsidR="00521275" w:rsidRPr="00E275E6" w14:paraId="0841F823"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4B87E4EE" w14:textId="77777777" w:rsidR="00521275" w:rsidRPr="00A027FB" w:rsidRDefault="00521275" w:rsidP="00521275">
            <w:pPr>
              <w:ind w:firstLineChars="100" w:firstLine="180"/>
              <w:rPr>
                <w:rFonts w:asciiTheme="minorHAnsi" w:hAnsiTheme="minorHAnsi" w:cstheme="minorHAnsi"/>
                <w:sz w:val="18"/>
                <w:szCs w:val="18"/>
              </w:rPr>
            </w:pPr>
            <w:r w:rsidRPr="00A027FB">
              <w:rPr>
                <w:rFonts w:asciiTheme="minorHAnsi" w:hAnsiTheme="minorHAnsi" w:cstheme="minorHAnsi"/>
                <w:sz w:val="18"/>
                <w:szCs w:val="18"/>
              </w:rPr>
              <w:t>Reestruturações</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3766687C" w14:textId="1BA71321" w:rsidR="00521275" w:rsidRPr="006C0F01" w:rsidRDefault="00521275" w:rsidP="00521275">
            <w:pPr>
              <w:jc w:val="right"/>
              <w:rPr>
                <w:rFonts w:asciiTheme="minorHAnsi" w:hAnsiTheme="minorHAnsi" w:cstheme="minorHAnsi"/>
                <w:sz w:val="18"/>
                <w:szCs w:val="18"/>
                <w:highlight w:val="yellow"/>
              </w:rPr>
            </w:pPr>
            <w:r>
              <w:rPr>
                <w:rFonts w:ascii="Calibri" w:hAnsi="Calibri" w:cs="Calibri"/>
                <w:sz w:val="18"/>
                <w:szCs w:val="18"/>
              </w:rPr>
              <w:t>5</w:t>
            </w:r>
          </w:p>
        </w:tc>
        <w:tc>
          <w:tcPr>
            <w:tcW w:w="1134" w:type="dxa"/>
            <w:tcBorders>
              <w:top w:val="nil"/>
              <w:left w:val="nil"/>
              <w:bottom w:val="single" w:sz="4" w:space="0" w:color="FFFFFF"/>
              <w:right w:val="single" w:sz="4" w:space="0" w:color="FFFFFF"/>
            </w:tcBorders>
            <w:shd w:val="clear" w:color="auto" w:fill="DEEAF6" w:themeFill="accent1" w:themeFillTint="33"/>
            <w:noWrap/>
            <w:vAlign w:val="center"/>
            <w:hideMark/>
          </w:tcPr>
          <w:p w14:paraId="6EC337B5" w14:textId="4B2943AE" w:rsidR="00521275" w:rsidRPr="006C0F01" w:rsidRDefault="00521275" w:rsidP="00521275">
            <w:pPr>
              <w:jc w:val="right"/>
              <w:rPr>
                <w:rFonts w:asciiTheme="minorHAnsi" w:hAnsiTheme="minorHAnsi" w:cstheme="minorHAnsi"/>
                <w:sz w:val="18"/>
                <w:szCs w:val="18"/>
              </w:rPr>
            </w:pPr>
            <w:r>
              <w:rPr>
                <w:rFonts w:ascii="Calibri" w:hAnsi="Calibri" w:cs="Calibri"/>
                <w:sz w:val="18"/>
                <w:szCs w:val="18"/>
              </w:rPr>
              <w:t>5</w:t>
            </w: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523D12B7" w14:textId="270F2EE5" w:rsidR="00521275" w:rsidRPr="006C0F01" w:rsidRDefault="00521275" w:rsidP="00521275">
            <w:pPr>
              <w:jc w:val="right"/>
              <w:rPr>
                <w:rFonts w:ascii="Calibri" w:hAnsi="Calibri" w:cs="Calibri"/>
                <w:sz w:val="18"/>
                <w:szCs w:val="18"/>
              </w:rPr>
            </w:pPr>
            <w:r>
              <w:rPr>
                <w:rFonts w:ascii="Calibri" w:hAnsi="Calibri" w:cs="Calibri"/>
                <w:sz w:val="18"/>
                <w:szCs w:val="18"/>
              </w:rPr>
              <w:t>-</w:t>
            </w: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0C03C8FB" w14:textId="0C86DFAF" w:rsidR="00521275" w:rsidRPr="006C0F01" w:rsidRDefault="00521275" w:rsidP="00521275">
            <w:pPr>
              <w:jc w:val="right"/>
              <w:rPr>
                <w:rFonts w:ascii="Calibri" w:hAnsi="Calibri" w:cs="Calibri"/>
                <w:sz w:val="18"/>
                <w:szCs w:val="18"/>
              </w:rPr>
            </w:pPr>
            <w:r>
              <w:rPr>
                <w:rFonts w:ascii="Calibri" w:hAnsi="Calibri" w:cs="Calibri"/>
                <w:color w:val="000000"/>
                <w:sz w:val="18"/>
                <w:szCs w:val="18"/>
              </w:rPr>
              <w:t>-</w:t>
            </w:r>
          </w:p>
        </w:tc>
      </w:tr>
      <w:tr w:rsidR="00521275" w:rsidRPr="00E275E6" w14:paraId="12895FBF"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65D91DF8" w14:textId="77777777" w:rsidR="00521275" w:rsidRPr="00A027FB" w:rsidRDefault="00521275" w:rsidP="00521275">
            <w:pPr>
              <w:ind w:firstLineChars="100" w:firstLine="180"/>
              <w:rPr>
                <w:rFonts w:asciiTheme="minorHAnsi" w:hAnsiTheme="minorHAnsi" w:cstheme="minorHAnsi"/>
                <w:sz w:val="18"/>
                <w:szCs w:val="18"/>
              </w:rPr>
            </w:pPr>
            <w:r w:rsidRPr="00A027FB">
              <w:rPr>
                <w:rFonts w:asciiTheme="minorHAnsi" w:hAnsiTheme="minorHAnsi" w:cstheme="minorHAnsi"/>
                <w:sz w:val="18"/>
                <w:szCs w:val="18"/>
              </w:rPr>
              <w:t>Valor (bruto) da carteira</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555FA954" w14:textId="342110B5" w:rsidR="00521275" w:rsidRPr="006C0F01" w:rsidRDefault="00521275" w:rsidP="00521275">
            <w:pPr>
              <w:jc w:val="right"/>
              <w:rPr>
                <w:rFonts w:asciiTheme="minorHAnsi" w:hAnsiTheme="minorHAnsi" w:cstheme="minorHAnsi"/>
                <w:sz w:val="18"/>
                <w:szCs w:val="18"/>
                <w:highlight w:val="yellow"/>
              </w:rPr>
            </w:pPr>
            <w:r>
              <w:rPr>
                <w:rFonts w:ascii="Calibri" w:hAnsi="Calibri" w:cs="Calibri"/>
                <w:sz w:val="18"/>
                <w:szCs w:val="18"/>
              </w:rPr>
              <w:t>1 384 127</w:t>
            </w:r>
          </w:p>
        </w:tc>
        <w:tc>
          <w:tcPr>
            <w:tcW w:w="1134" w:type="dxa"/>
            <w:tcBorders>
              <w:top w:val="nil"/>
              <w:left w:val="nil"/>
              <w:bottom w:val="single" w:sz="4" w:space="0" w:color="FFFFFF"/>
              <w:right w:val="single" w:sz="4" w:space="0" w:color="FFFFFF"/>
            </w:tcBorders>
            <w:shd w:val="clear" w:color="auto" w:fill="DEEAF6" w:themeFill="accent1" w:themeFillTint="33"/>
            <w:noWrap/>
            <w:vAlign w:val="center"/>
            <w:hideMark/>
          </w:tcPr>
          <w:p w14:paraId="51EFED7B" w14:textId="2F72D1BC" w:rsidR="00521275" w:rsidRPr="006C0F01" w:rsidRDefault="00521275" w:rsidP="00521275">
            <w:pPr>
              <w:jc w:val="right"/>
              <w:rPr>
                <w:rFonts w:asciiTheme="minorHAnsi" w:hAnsiTheme="minorHAnsi" w:cstheme="minorHAnsi"/>
                <w:sz w:val="18"/>
                <w:szCs w:val="18"/>
              </w:rPr>
            </w:pPr>
            <w:r>
              <w:rPr>
                <w:rFonts w:ascii="Calibri" w:hAnsi="Calibri" w:cs="Calibri"/>
                <w:sz w:val="18"/>
                <w:szCs w:val="18"/>
              </w:rPr>
              <w:t>2 298 908</w:t>
            </w: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7C766C16" w14:textId="2D4003E8" w:rsidR="00521275" w:rsidRPr="006C0F01" w:rsidRDefault="00521275" w:rsidP="00521275">
            <w:pPr>
              <w:jc w:val="right"/>
              <w:rPr>
                <w:rFonts w:ascii="Calibri" w:hAnsi="Calibri" w:cs="Calibri"/>
                <w:sz w:val="18"/>
                <w:szCs w:val="18"/>
              </w:rPr>
            </w:pPr>
            <w:r>
              <w:rPr>
                <w:rFonts w:ascii="Calibri" w:hAnsi="Calibri" w:cs="Calibri"/>
                <w:sz w:val="18"/>
                <w:szCs w:val="18"/>
              </w:rPr>
              <w:t>(914 781)</w:t>
            </w: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661D711D" w14:textId="0BE2B220" w:rsidR="00521275" w:rsidRPr="006C0F01" w:rsidRDefault="00521275" w:rsidP="00521275">
            <w:pPr>
              <w:jc w:val="right"/>
              <w:rPr>
                <w:rFonts w:ascii="Calibri" w:hAnsi="Calibri" w:cs="Calibri"/>
                <w:sz w:val="18"/>
                <w:szCs w:val="18"/>
              </w:rPr>
            </w:pPr>
            <w:r>
              <w:rPr>
                <w:rFonts w:ascii="Calibri" w:hAnsi="Calibri" w:cs="Calibri"/>
                <w:color w:val="000000"/>
                <w:sz w:val="18"/>
                <w:szCs w:val="18"/>
              </w:rPr>
              <w:t>(40%)</w:t>
            </w:r>
          </w:p>
        </w:tc>
      </w:tr>
      <w:tr w:rsidR="00DE70A5" w:rsidRPr="00E275E6" w14:paraId="1E9C7B59"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3B2ADFAE" w14:textId="77777777" w:rsidR="00DE70A5" w:rsidRPr="00A027FB" w:rsidRDefault="00DE70A5" w:rsidP="00DE70A5">
            <w:pPr>
              <w:ind w:firstLineChars="100" w:firstLine="180"/>
              <w:rPr>
                <w:rFonts w:asciiTheme="minorHAnsi" w:hAnsiTheme="minorHAnsi" w:cstheme="minorHAnsi"/>
                <w:sz w:val="18"/>
                <w:szCs w:val="18"/>
              </w:rPr>
            </w:pPr>
            <w:r w:rsidRPr="00A027FB">
              <w:rPr>
                <w:rFonts w:asciiTheme="minorHAnsi" w:hAnsiTheme="minorHAnsi" w:cstheme="minorHAnsi"/>
                <w:sz w:val="18"/>
                <w:szCs w:val="18"/>
              </w:rPr>
              <w:t>Imparidades da carteira</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76D3E003" w14:textId="30691871" w:rsidR="00DE70A5" w:rsidRPr="006C0F01" w:rsidRDefault="00DE70A5" w:rsidP="00DE70A5">
            <w:pPr>
              <w:jc w:val="right"/>
              <w:rPr>
                <w:rFonts w:asciiTheme="minorHAnsi" w:hAnsiTheme="minorHAnsi" w:cstheme="minorHAnsi"/>
                <w:sz w:val="18"/>
                <w:szCs w:val="18"/>
              </w:rPr>
            </w:pPr>
            <w:r>
              <w:rPr>
                <w:rFonts w:ascii="Calibri" w:hAnsi="Calibri" w:cs="Calibri"/>
                <w:sz w:val="18"/>
                <w:szCs w:val="18"/>
              </w:rPr>
              <w:t>1 306 903</w:t>
            </w:r>
          </w:p>
        </w:tc>
        <w:tc>
          <w:tcPr>
            <w:tcW w:w="1134" w:type="dxa"/>
            <w:tcBorders>
              <w:top w:val="nil"/>
              <w:left w:val="nil"/>
              <w:bottom w:val="single" w:sz="4" w:space="0" w:color="FFFFFF"/>
              <w:right w:val="single" w:sz="4" w:space="0" w:color="FFFFFF"/>
            </w:tcBorders>
            <w:shd w:val="clear" w:color="auto" w:fill="DEEAF6" w:themeFill="accent1" w:themeFillTint="33"/>
            <w:noWrap/>
            <w:vAlign w:val="center"/>
            <w:hideMark/>
          </w:tcPr>
          <w:p w14:paraId="3945D012" w14:textId="492BC288" w:rsidR="00DE70A5" w:rsidRPr="006C0F01" w:rsidRDefault="00DE70A5" w:rsidP="00DE70A5">
            <w:pPr>
              <w:jc w:val="right"/>
              <w:rPr>
                <w:rFonts w:asciiTheme="minorHAnsi" w:hAnsiTheme="minorHAnsi" w:cstheme="minorHAnsi"/>
                <w:sz w:val="18"/>
                <w:szCs w:val="18"/>
              </w:rPr>
            </w:pPr>
            <w:r>
              <w:rPr>
                <w:rFonts w:ascii="Calibri" w:hAnsi="Calibri" w:cs="Calibri"/>
                <w:sz w:val="18"/>
                <w:szCs w:val="18"/>
              </w:rPr>
              <w:t>2 205 065</w:t>
            </w: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464C1B7B" w14:textId="2ED2B0FA" w:rsidR="00DE70A5" w:rsidRPr="006C0F01" w:rsidRDefault="00DE70A5" w:rsidP="00DE70A5">
            <w:pPr>
              <w:jc w:val="right"/>
              <w:rPr>
                <w:rFonts w:ascii="Calibri" w:hAnsi="Calibri" w:cs="Calibri"/>
                <w:sz w:val="18"/>
                <w:szCs w:val="18"/>
              </w:rPr>
            </w:pPr>
            <w:r>
              <w:rPr>
                <w:rFonts w:ascii="Calibri" w:hAnsi="Calibri" w:cs="Calibri"/>
                <w:sz w:val="18"/>
                <w:szCs w:val="18"/>
              </w:rPr>
              <w:t>(898 162)</w:t>
            </w: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70C70876" w14:textId="63DC2AEE" w:rsidR="00DE70A5" w:rsidRPr="006C0F01" w:rsidRDefault="00DE70A5" w:rsidP="00DE70A5">
            <w:pPr>
              <w:jc w:val="right"/>
              <w:rPr>
                <w:rFonts w:ascii="Calibri" w:hAnsi="Calibri" w:cs="Calibri"/>
                <w:sz w:val="18"/>
                <w:szCs w:val="18"/>
              </w:rPr>
            </w:pPr>
            <w:r>
              <w:rPr>
                <w:rFonts w:ascii="Calibri" w:hAnsi="Calibri" w:cs="Calibri"/>
                <w:color w:val="000000"/>
                <w:sz w:val="18"/>
                <w:szCs w:val="18"/>
              </w:rPr>
              <w:t>(41%)</w:t>
            </w:r>
          </w:p>
        </w:tc>
      </w:tr>
      <w:tr w:rsidR="001E4F8A" w:rsidRPr="00E275E6" w14:paraId="1C9EF2C3"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7434CF22" w14:textId="77777777" w:rsidR="001E4F8A" w:rsidRPr="00A027FB" w:rsidRDefault="001E4F8A" w:rsidP="001E4F8A">
            <w:pPr>
              <w:ind w:firstLineChars="100" w:firstLine="180"/>
              <w:rPr>
                <w:rFonts w:asciiTheme="minorHAnsi" w:hAnsiTheme="minorHAnsi" w:cstheme="minorHAnsi"/>
                <w:sz w:val="18"/>
                <w:szCs w:val="18"/>
              </w:rPr>
            </w:pPr>
            <w:r w:rsidRPr="00A027FB">
              <w:rPr>
                <w:rFonts w:asciiTheme="minorHAnsi" w:hAnsiTheme="minorHAnsi" w:cstheme="minorHAnsi"/>
                <w:sz w:val="18"/>
                <w:szCs w:val="18"/>
              </w:rPr>
              <w:t> </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28FB4855" w14:textId="77777777" w:rsidR="001E4F8A" w:rsidRPr="006C0F01" w:rsidRDefault="001E4F8A" w:rsidP="001E4F8A">
            <w:pPr>
              <w:jc w:val="right"/>
              <w:rPr>
                <w:rFonts w:asciiTheme="minorHAnsi" w:hAnsiTheme="minorHAnsi" w:cstheme="minorHAnsi"/>
                <w:sz w:val="18"/>
                <w:szCs w:val="18"/>
              </w:rPr>
            </w:pPr>
          </w:p>
        </w:tc>
        <w:tc>
          <w:tcPr>
            <w:tcW w:w="1134" w:type="dxa"/>
            <w:tcBorders>
              <w:top w:val="nil"/>
              <w:left w:val="nil"/>
              <w:bottom w:val="single" w:sz="4" w:space="0" w:color="FFFFFF"/>
              <w:right w:val="single" w:sz="4" w:space="0" w:color="FFFFFF"/>
            </w:tcBorders>
            <w:shd w:val="clear" w:color="auto" w:fill="DEEAF6" w:themeFill="accent1" w:themeFillTint="33"/>
            <w:noWrap/>
            <w:vAlign w:val="center"/>
            <w:hideMark/>
          </w:tcPr>
          <w:p w14:paraId="4B12BDD2" w14:textId="77777777" w:rsidR="001E4F8A" w:rsidRPr="006C0F01" w:rsidRDefault="001E4F8A" w:rsidP="001E4F8A">
            <w:pPr>
              <w:jc w:val="right"/>
              <w:rPr>
                <w:rFonts w:asciiTheme="minorHAnsi" w:hAnsiTheme="minorHAnsi" w:cstheme="minorHAnsi"/>
                <w:sz w:val="18"/>
                <w:szCs w:val="18"/>
              </w:rPr>
            </w:pP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2908EC12" w14:textId="77777777" w:rsidR="001E4F8A" w:rsidRPr="006C0F01" w:rsidRDefault="001E4F8A" w:rsidP="001E4F8A">
            <w:pPr>
              <w:jc w:val="right"/>
              <w:rPr>
                <w:rFonts w:ascii="Calibri" w:hAnsi="Calibri" w:cs="Calibri"/>
                <w:sz w:val="18"/>
                <w:szCs w:val="18"/>
              </w:rPr>
            </w:pP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56552CA7" w14:textId="77777777" w:rsidR="001E4F8A" w:rsidRPr="006C0F01" w:rsidRDefault="001E4F8A" w:rsidP="001E4F8A">
            <w:pPr>
              <w:jc w:val="right"/>
              <w:rPr>
                <w:rFonts w:ascii="Calibri" w:hAnsi="Calibri" w:cs="Calibri"/>
                <w:sz w:val="18"/>
                <w:szCs w:val="18"/>
              </w:rPr>
            </w:pPr>
          </w:p>
        </w:tc>
      </w:tr>
      <w:tr w:rsidR="001E4F8A" w:rsidRPr="00E275E6" w14:paraId="7D1D1ED0"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18D3F27E" w14:textId="77777777" w:rsidR="001E4F8A" w:rsidRPr="00A027FB" w:rsidRDefault="001E4F8A" w:rsidP="001E4F8A">
            <w:pPr>
              <w:rPr>
                <w:rFonts w:asciiTheme="minorHAnsi" w:hAnsiTheme="minorHAnsi" w:cstheme="minorHAnsi"/>
                <w:sz w:val="18"/>
                <w:szCs w:val="18"/>
                <w:u w:val="single"/>
              </w:rPr>
            </w:pPr>
            <w:r w:rsidRPr="00A027FB">
              <w:rPr>
                <w:rFonts w:asciiTheme="minorHAnsi" w:hAnsiTheme="minorHAnsi" w:cstheme="minorHAnsi"/>
                <w:sz w:val="18"/>
                <w:szCs w:val="18"/>
                <w:u w:val="single"/>
              </w:rPr>
              <w:t xml:space="preserve">Carteira residente na Plataforma informática LMP/SGV </w:t>
            </w:r>
            <w:r w:rsidRPr="00A027FB">
              <w:rPr>
                <w:rFonts w:asciiTheme="minorHAnsi" w:hAnsiTheme="minorHAnsi" w:cstheme="minorHAnsi"/>
                <w:sz w:val="18"/>
                <w:szCs w:val="18"/>
                <w:u w:val="single"/>
                <w:vertAlign w:val="superscript"/>
              </w:rPr>
              <w:t>*</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160A8279" w14:textId="77777777" w:rsidR="001E4F8A" w:rsidRPr="006C0F01" w:rsidRDefault="001E4F8A" w:rsidP="001E4F8A">
            <w:pPr>
              <w:jc w:val="right"/>
              <w:rPr>
                <w:rFonts w:asciiTheme="minorHAnsi" w:hAnsiTheme="minorHAnsi" w:cstheme="minorHAnsi"/>
                <w:sz w:val="18"/>
                <w:szCs w:val="18"/>
              </w:rPr>
            </w:pPr>
          </w:p>
        </w:tc>
        <w:tc>
          <w:tcPr>
            <w:tcW w:w="1134" w:type="dxa"/>
            <w:tcBorders>
              <w:top w:val="nil"/>
              <w:left w:val="nil"/>
              <w:bottom w:val="single" w:sz="4" w:space="0" w:color="FFFFFF"/>
              <w:right w:val="single" w:sz="4" w:space="0" w:color="FFFFFF"/>
            </w:tcBorders>
            <w:shd w:val="clear" w:color="auto" w:fill="DEEAF6" w:themeFill="accent1" w:themeFillTint="33"/>
            <w:noWrap/>
            <w:vAlign w:val="center"/>
            <w:hideMark/>
          </w:tcPr>
          <w:p w14:paraId="2C3C265D" w14:textId="77777777" w:rsidR="001E4F8A" w:rsidRPr="006C0F01" w:rsidRDefault="001E4F8A" w:rsidP="001E4F8A">
            <w:pPr>
              <w:jc w:val="right"/>
              <w:rPr>
                <w:rFonts w:asciiTheme="minorHAnsi" w:hAnsiTheme="minorHAnsi" w:cstheme="minorHAnsi"/>
                <w:sz w:val="18"/>
                <w:szCs w:val="18"/>
              </w:rPr>
            </w:pP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1A987F6D" w14:textId="77777777" w:rsidR="001E4F8A" w:rsidRPr="006C0F01" w:rsidRDefault="001E4F8A" w:rsidP="001E4F8A">
            <w:pPr>
              <w:jc w:val="right"/>
              <w:rPr>
                <w:rFonts w:asciiTheme="minorHAnsi" w:hAnsiTheme="minorHAnsi" w:cstheme="minorHAnsi"/>
                <w:sz w:val="18"/>
                <w:szCs w:val="18"/>
              </w:rPr>
            </w:pP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675D3091" w14:textId="77777777" w:rsidR="001E4F8A" w:rsidRPr="006C0F01" w:rsidRDefault="001E4F8A" w:rsidP="001E4F8A">
            <w:pPr>
              <w:jc w:val="right"/>
              <w:rPr>
                <w:rFonts w:asciiTheme="minorHAnsi" w:hAnsiTheme="minorHAnsi" w:cstheme="minorHAnsi"/>
                <w:sz w:val="18"/>
                <w:szCs w:val="18"/>
              </w:rPr>
            </w:pPr>
          </w:p>
        </w:tc>
      </w:tr>
      <w:tr w:rsidR="006C0F01" w:rsidRPr="00E275E6" w14:paraId="47FC06B8"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6134003B" w14:textId="77777777" w:rsidR="006C0F01" w:rsidRPr="00A027FB" w:rsidRDefault="006C0F01" w:rsidP="006C0F01">
            <w:pPr>
              <w:ind w:firstLineChars="100" w:firstLine="180"/>
              <w:rPr>
                <w:rFonts w:asciiTheme="minorHAnsi" w:hAnsiTheme="minorHAnsi" w:cstheme="minorHAnsi"/>
                <w:sz w:val="18"/>
                <w:szCs w:val="18"/>
              </w:rPr>
            </w:pPr>
            <w:r w:rsidRPr="00A027FB">
              <w:rPr>
                <w:rFonts w:asciiTheme="minorHAnsi" w:hAnsiTheme="minorHAnsi" w:cstheme="minorHAnsi"/>
                <w:sz w:val="18"/>
                <w:szCs w:val="18"/>
              </w:rPr>
              <w:t>Nº Devedores</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22F9BC37" w14:textId="25BDAE43" w:rsidR="006C0F01" w:rsidRPr="006C0F01" w:rsidRDefault="006C0F01" w:rsidP="006C0F01">
            <w:pPr>
              <w:jc w:val="right"/>
              <w:rPr>
                <w:rFonts w:asciiTheme="minorHAnsi" w:hAnsiTheme="minorHAnsi" w:cstheme="minorHAnsi"/>
                <w:sz w:val="18"/>
                <w:szCs w:val="18"/>
              </w:rPr>
            </w:pPr>
            <w:r w:rsidRPr="006C0F01">
              <w:rPr>
                <w:rFonts w:asciiTheme="minorHAnsi" w:hAnsiTheme="minorHAnsi" w:cstheme="minorHAnsi"/>
                <w:sz w:val="18"/>
                <w:szCs w:val="18"/>
              </w:rPr>
              <w:t>4 957</w:t>
            </w:r>
          </w:p>
        </w:tc>
        <w:tc>
          <w:tcPr>
            <w:tcW w:w="1134" w:type="dxa"/>
            <w:tcBorders>
              <w:top w:val="nil"/>
              <w:left w:val="nil"/>
              <w:bottom w:val="single" w:sz="4" w:space="0" w:color="FFFFFF"/>
              <w:right w:val="single" w:sz="4" w:space="0" w:color="FFFFFF"/>
            </w:tcBorders>
            <w:shd w:val="clear" w:color="auto" w:fill="DEEAF6" w:themeFill="accent1" w:themeFillTint="33"/>
            <w:noWrap/>
            <w:vAlign w:val="center"/>
            <w:hideMark/>
          </w:tcPr>
          <w:p w14:paraId="61B64938" w14:textId="74FFCBB9" w:rsidR="006C0F01" w:rsidRPr="006C0F01" w:rsidRDefault="006C0F01" w:rsidP="006C0F01">
            <w:pPr>
              <w:jc w:val="right"/>
              <w:rPr>
                <w:rFonts w:asciiTheme="minorHAnsi" w:hAnsiTheme="minorHAnsi" w:cstheme="minorHAnsi"/>
                <w:sz w:val="18"/>
                <w:szCs w:val="18"/>
              </w:rPr>
            </w:pPr>
            <w:r w:rsidRPr="006C0F01">
              <w:rPr>
                <w:rFonts w:asciiTheme="minorHAnsi" w:hAnsiTheme="minorHAnsi" w:cstheme="minorHAnsi"/>
                <w:sz w:val="18"/>
                <w:szCs w:val="18"/>
              </w:rPr>
              <w:t>5 365</w:t>
            </w: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2923CEE0" w14:textId="6E4C336B" w:rsidR="006C0F01" w:rsidRPr="006C0F01" w:rsidRDefault="006C0F01" w:rsidP="006C0F01">
            <w:pPr>
              <w:jc w:val="right"/>
              <w:rPr>
                <w:rFonts w:ascii="Calibri" w:hAnsi="Calibri" w:cs="Calibri"/>
                <w:sz w:val="18"/>
                <w:szCs w:val="18"/>
              </w:rPr>
            </w:pPr>
            <w:r w:rsidRPr="006C0F01">
              <w:rPr>
                <w:rFonts w:ascii="Calibri" w:hAnsi="Calibri" w:cs="Calibri"/>
                <w:sz w:val="18"/>
                <w:szCs w:val="18"/>
              </w:rPr>
              <w:t>(408)</w:t>
            </w: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5DC41F92" w14:textId="2B814541" w:rsidR="006C0F01" w:rsidRPr="006C0F01" w:rsidRDefault="006C0F01" w:rsidP="006C0F01">
            <w:pPr>
              <w:jc w:val="right"/>
              <w:rPr>
                <w:rFonts w:ascii="Calibri" w:hAnsi="Calibri" w:cs="Calibri"/>
                <w:sz w:val="18"/>
                <w:szCs w:val="18"/>
              </w:rPr>
            </w:pPr>
            <w:r w:rsidRPr="006C0F01">
              <w:rPr>
                <w:rFonts w:ascii="Calibri" w:hAnsi="Calibri" w:cs="Calibri"/>
                <w:color w:val="000000"/>
                <w:sz w:val="18"/>
                <w:szCs w:val="18"/>
              </w:rPr>
              <w:t>(8%)</w:t>
            </w:r>
          </w:p>
        </w:tc>
      </w:tr>
      <w:tr w:rsidR="006C0F01" w:rsidRPr="00E275E6" w14:paraId="5F2E1550"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2A9AA327" w14:textId="77777777" w:rsidR="006C0F01" w:rsidRPr="00A027FB" w:rsidRDefault="006C0F01" w:rsidP="006C0F01">
            <w:pPr>
              <w:ind w:firstLineChars="100" w:firstLine="180"/>
              <w:rPr>
                <w:rFonts w:asciiTheme="minorHAnsi" w:hAnsiTheme="minorHAnsi" w:cstheme="minorHAnsi"/>
                <w:sz w:val="18"/>
                <w:szCs w:val="18"/>
              </w:rPr>
            </w:pPr>
            <w:r w:rsidRPr="00A027FB">
              <w:rPr>
                <w:rFonts w:asciiTheme="minorHAnsi" w:hAnsiTheme="minorHAnsi" w:cstheme="minorHAnsi"/>
                <w:sz w:val="18"/>
                <w:szCs w:val="18"/>
              </w:rPr>
              <w:t>Nº Contratos</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0971CEA3" w14:textId="78D2F7A2" w:rsidR="006C0F01" w:rsidRPr="006C0F01" w:rsidRDefault="006C0F01" w:rsidP="006C0F01">
            <w:pPr>
              <w:jc w:val="right"/>
              <w:rPr>
                <w:rFonts w:asciiTheme="minorHAnsi" w:hAnsiTheme="minorHAnsi" w:cstheme="minorHAnsi"/>
                <w:sz w:val="18"/>
                <w:szCs w:val="18"/>
              </w:rPr>
            </w:pPr>
            <w:r w:rsidRPr="006C0F01">
              <w:rPr>
                <w:rFonts w:asciiTheme="minorHAnsi" w:hAnsiTheme="minorHAnsi" w:cstheme="minorHAnsi"/>
                <w:sz w:val="18"/>
                <w:szCs w:val="18"/>
              </w:rPr>
              <w:t>10 868</w:t>
            </w:r>
          </w:p>
        </w:tc>
        <w:tc>
          <w:tcPr>
            <w:tcW w:w="1134" w:type="dxa"/>
            <w:tcBorders>
              <w:top w:val="nil"/>
              <w:left w:val="nil"/>
              <w:bottom w:val="single" w:sz="4" w:space="0" w:color="FFFFFF"/>
              <w:right w:val="single" w:sz="4" w:space="0" w:color="FFFFFF"/>
            </w:tcBorders>
            <w:shd w:val="clear" w:color="auto" w:fill="DEEAF6" w:themeFill="accent1" w:themeFillTint="33"/>
            <w:noWrap/>
            <w:vAlign w:val="center"/>
            <w:hideMark/>
          </w:tcPr>
          <w:p w14:paraId="6E10F0EB" w14:textId="305DB718" w:rsidR="006C0F01" w:rsidRPr="006C0F01" w:rsidRDefault="006C0F01" w:rsidP="006C0F01">
            <w:pPr>
              <w:jc w:val="right"/>
              <w:rPr>
                <w:rFonts w:asciiTheme="minorHAnsi" w:hAnsiTheme="minorHAnsi" w:cstheme="minorHAnsi"/>
                <w:sz w:val="18"/>
                <w:szCs w:val="18"/>
              </w:rPr>
            </w:pPr>
            <w:r w:rsidRPr="006C0F01">
              <w:rPr>
                <w:rFonts w:asciiTheme="minorHAnsi" w:hAnsiTheme="minorHAnsi" w:cstheme="minorHAnsi"/>
                <w:sz w:val="18"/>
                <w:szCs w:val="18"/>
              </w:rPr>
              <w:t>11 823</w:t>
            </w: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1AF75FEF" w14:textId="60107D1B" w:rsidR="006C0F01" w:rsidRPr="006C0F01" w:rsidRDefault="006C0F01" w:rsidP="006C0F01">
            <w:pPr>
              <w:jc w:val="right"/>
              <w:rPr>
                <w:rFonts w:ascii="Calibri" w:hAnsi="Calibri" w:cs="Calibri"/>
                <w:sz w:val="18"/>
                <w:szCs w:val="18"/>
              </w:rPr>
            </w:pPr>
            <w:r w:rsidRPr="006C0F01">
              <w:rPr>
                <w:rFonts w:ascii="Calibri" w:hAnsi="Calibri" w:cs="Calibri"/>
                <w:sz w:val="18"/>
                <w:szCs w:val="18"/>
              </w:rPr>
              <w:t>(955)</w:t>
            </w: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1F281158" w14:textId="4EDE03D6" w:rsidR="006C0F01" w:rsidRPr="006C0F01" w:rsidRDefault="006C0F01" w:rsidP="006C0F01">
            <w:pPr>
              <w:jc w:val="right"/>
              <w:rPr>
                <w:rFonts w:ascii="Calibri" w:hAnsi="Calibri" w:cs="Calibri"/>
                <w:sz w:val="18"/>
                <w:szCs w:val="18"/>
              </w:rPr>
            </w:pPr>
            <w:r w:rsidRPr="006C0F01">
              <w:rPr>
                <w:rFonts w:ascii="Calibri" w:hAnsi="Calibri" w:cs="Calibri"/>
                <w:color w:val="000000"/>
                <w:sz w:val="18"/>
                <w:szCs w:val="18"/>
              </w:rPr>
              <w:t>(8%)</w:t>
            </w:r>
          </w:p>
        </w:tc>
      </w:tr>
      <w:tr w:rsidR="006C0F01" w:rsidRPr="00E275E6" w14:paraId="082E0D6C"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05F48EAF" w14:textId="77777777" w:rsidR="006C0F01" w:rsidRPr="00A027FB" w:rsidRDefault="006C0F01" w:rsidP="006C0F01">
            <w:pPr>
              <w:ind w:firstLineChars="100" w:firstLine="180"/>
              <w:rPr>
                <w:rFonts w:asciiTheme="minorHAnsi" w:hAnsiTheme="minorHAnsi" w:cstheme="minorHAnsi"/>
                <w:sz w:val="18"/>
                <w:szCs w:val="18"/>
              </w:rPr>
            </w:pPr>
            <w:r w:rsidRPr="00A027FB">
              <w:rPr>
                <w:rFonts w:asciiTheme="minorHAnsi" w:hAnsiTheme="minorHAnsi" w:cstheme="minorHAnsi"/>
                <w:sz w:val="18"/>
                <w:szCs w:val="18"/>
              </w:rPr>
              <w:t>Nº Processos Judiciais</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12128347" w14:textId="50730400" w:rsidR="006C0F01" w:rsidRPr="006C0F01" w:rsidRDefault="006C0F01" w:rsidP="006C0F01">
            <w:pPr>
              <w:jc w:val="right"/>
              <w:rPr>
                <w:rFonts w:asciiTheme="minorHAnsi" w:hAnsiTheme="minorHAnsi" w:cstheme="minorHAnsi"/>
                <w:sz w:val="18"/>
                <w:szCs w:val="18"/>
              </w:rPr>
            </w:pPr>
            <w:r w:rsidRPr="006C0F01">
              <w:rPr>
                <w:rFonts w:asciiTheme="minorHAnsi" w:hAnsiTheme="minorHAnsi" w:cstheme="minorHAnsi"/>
                <w:sz w:val="18"/>
                <w:szCs w:val="18"/>
              </w:rPr>
              <w:t>4 735</w:t>
            </w:r>
          </w:p>
        </w:tc>
        <w:tc>
          <w:tcPr>
            <w:tcW w:w="1134" w:type="dxa"/>
            <w:tcBorders>
              <w:top w:val="nil"/>
              <w:left w:val="nil"/>
              <w:bottom w:val="single" w:sz="4" w:space="0" w:color="FFFFFF"/>
              <w:right w:val="single" w:sz="4" w:space="0" w:color="FFFFFF"/>
            </w:tcBorders>
            <w:shd w:val="clear" w:color="auto" w:fill="DEEAF6" w:themeFill="accent1" w:themeFillTint="33"/>
            <w:noWrap/>
            <w:vAlign w:val="center"/>
            <w:hideMark/>
          </w:tcPr>
          <w:p w14:paraId="6B42FB01" w14:textId="13B478C1" w:rsidR="006C0F01" w:rsidRPr="006C0F01" w:rsidRDefault="006C0F01" w:rsidP="006C0F01">
            <w:pPr>
              <w:jc w:val="right"/>
              <w:rPr>
                <w:rFonts w:asciiTheme="minorHAnsi" w:hAnsiTheme="minorHAnsi" w:cstheme="minorHAnsi"/>
                <w:sz w:val="18"/>
                <w:szCs w:val="18"/>
              </w:rPr>
            </w:pPr>
            <w:r w:rsidRPr="006C0F01">
              <w:rPr>
                <w:rFonts w:asciiTheme="minorHAnsi" w:hAnsiTheme="minorHAnsi" w:cstheme="minorHAnsi"/>
                <w:sz w:val="18"/>
                <w:szCs w:val="18"/>
              </w:rPr>
              <w:t>5 125</w:t>
            </w: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03A448C2" w14:textId="3A0E3B13" w:rsidR="006C0F01" w:rsidRPr="006C0F01" w:rsidRDefault="006C0F01" w:rsidP="006C0F01">
            <w:pPr>
              <w:jc w:val="right"/>
              <w:rPr>
                <w:rFonts w:ascii="Calibri" w:hAnsi="Calibri" w:cs="Calibri"/>
                <w:sz w:val="18"/>
                <w:szCs w:val="18"/>
              </w:rPr>
            </w:pPr>
            <w:r w:rsidRPr="006C0F01">
              <w:rPr>
                <w:rFonts w:ascii="Calibri" w:hAnsi="Calibri" w:cs="Calibri"/>
                <w:sz w:val="18"/>
                <w:szCs w:val="18"/>
              </w:rPr>
              <w:t>(390)</w:t>
            </w: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5087E376" w14:textId="5D07AA18" w:rsidR="006C0F01" w:rsidRPr="006C0F01" w:rsidRDefault="006C0F01" w:rsidP="006C0F01">
            <w:pPr>
              <w:jc w:val="right"/>
              <w:rPr>
                <w:rFonts w:ascii="Calibri" w:hAnsi="Calibri" w:cs="Calibri"/>
                <w:sz w:val="18"/>
                <w:szCs w:val="18"/>
              </w:rPr>
            </w:pPr>
            <w:r w:rsidRPr="006C0F01">
              <w:rPr>
                <w:rFonts w:ascii="Calibri" w:hAnsi="Calibri" w:cs="Calibri"/>
                <w:color w:val="000000"/>
                <w:sz w:val="18"/>
                <w:szCs w:val="18"/>
              </w:rPr>
              <w:t>(8%)</w:t>
            </w:r>
          </w:p>
        </w:tc>
      </w:tr>
      <w:tr w:rsidR="006C0F01" w:rsidRPr="00E275E6" w14:paraId="68F26D2F"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69C59CC2" w14:textId="77777777" w:rsidR="006C0F01" w:rsidRPr="00A027FB" w:rsidRDefault="006C0F01" w:rsidP="006C0F01">
            <w:pPr>
              <w:ind w:firstLineChars="100" w:firstLine="180"/>
              <w:rPr>
                <w:rFonts w:asciiTheme="minorHAnsi" w:hAnsiTheme="minorHAnsi" w:cstheme="minorHAnsi"/>
                <w:sz w:val="18"/>
                <w:szCs w:val="18"/>
              </w:rPr>
            </w:pPr>
            <w:r w:rsidRPr="00A027FB">
              <w:rPr>
                <w:rFonts w:asciiTheme="minorHAnsi" w:hAnsiTheme="minorHAnsi" w:cstheme="minorHAnsi"/>
                <w:sz w:val="18"/>
                <w:szCs w:val="18"/>
              </w:rPr>
              <w:t>Repartição do crédito:</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5D1BA4FA" w14:textId="676D6178" w:rsidR="006C0F01" w:rsidRPr="006C0F01" w:rsidRDefault="006C0F01" w:rsidP="006C0F01">
            <w:pPr>
              <w:jc w:val="right"/>
              <w:rPr>
                <w:rFonts w:asciiTheme="minorHAnsi" w:hAnsiTheme="minorHAnsi" w:cstheme="minorHAnsi"/>
                <w:sz w:val="18"/>
                <w:szCs w:val="18"/>
              </w:rPr>
            </w:pPr>
            <w:r w:rsidRPr="006C0F01">
              <w:rPr>
                <w:rFonts w:asciiTheme="minorHAnsi" w:hAnsiTheme="minorHAnsi" w:cstheme="minorHAnsi"/>
                <w:sz w:val="18"/>
                <w:szCs w:val="18"/>
              </w:rPr>
              <w:t> </w:t>
            </w:r>
          </w:p>
        </w:tc>
        <w:tc>
          <w:tcPr>
            <w:tcW w:w="1134" w:type="dxa"/>
            <w:tcBorders>
              <w:top w:val="nil"/>
              <w:left w:val="nil"/>
              <w:bottom w:val="single" w:sz="4" w:space="0" w:color="FFFFFF"/>
              <w:right w:val="single" w:sz="4" w:space="0" w:color="FFFFFF"/>
            </w:tcBorders>
            <w:shd w:val="clear" w:color="auto" w:fill="DEEAF6" w:themeFill="accent1" w:themeFillTint="33"/>
            <w:noWrap/>
            <w:vAlign w:val="center"/>
          </w:tcPr>
          <w:p w14:paraId="0894F73F" w14:textId="64B34730" w:rsidR="006C0F01" w:rsidRPr="006C0F01" w:rsidRDefault="006C0F01" w:rsidP="006C0F01">
            <w:pPr>
              <w:jc w:val="right"/>
              <w:rPr>
                <w:rFonts w:asciiTheme="minorHAnsi" w:hAnsiTheme="minorHAnsi" w:cstheme="minorHAnsi"/>
                <w:sz w:val="18"/>
                <w:szCs w:val="18"/>
              </w:rPr>
            </w:pPr>
            <w:r w:rsidRPr="006C0F01">
              <w:rPr>
                <w:rFonts w:asciiTheme="minorHAnsi" w:hAnsiTheme="minorHAnsi" w:cstheme="minorHAnsi"/>
                <w:sz w:val="18"/>
                <w:szCs w:val="18"/>
              </w:rPr>
              <w:t> </w:t>
            </w: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55DDD8FE" w14:textId="6DC9FE5F" w:rsidR="006C0F01" w:rsidRPr="006C0F01" w:rsidRDefault="006C0F01" w:rsidP="006C0F01">
            <w:pPr>
              <w:jc w:val="right"/>
              <w:rPr>
                <w:rFonts w:ascii="Calibri" w:hAnsi="Calibri" w:cs="Calibri"/>
                <w:sz w:val="18"/>
                <w:szCs w:val="18"/>
              </w:rPr>
            </w:pPr>
            <w:r w:rsidRPr="006C0F01">
              <w:rPr>
                <w:rFonts w:ascii="Calibri" w:hAnsi="Calibri" w:cs="Calibri"/>
                <w:sz w:val="18"/>
                <w:szCs w:val="18"/>
              </w:rPr>
              <w:t> </w:t>
            </w: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3ADA6F73" w14:textId="555E34DD" w:rsidR="006C0F01" w:rsidRPr="006C0F01" w:rsidRDefault="006C0F01" w:rsidP="006C0F01">
            <w:pPr>
              <w:jc w:val="right"/>
              <w:rPr>
                <w:rFonts w:ascii="Calibri" w:hAnsi="Calibri" w:cs="Calibri"/>
                <w:sz w:val="18"/>
                <w:szCs w:val="18"/>
              </w:rPr>
            </w:pPr>
            <w:r w:rsidRPr="006C0F01">
              <w:rPr>
                <w:rFonts w:ascii="Calibri" w:hAnsi="Calibri" w:cs="Calibri"/>
                <w:color w:val="000000"/>
                <w:sz w:val="18"/>
                <w:szCs w:val="18"/>
              </w:rPr>
              <w:t> </w:t>
            </w:r>
          </w:p>
        </w:tc>
      </w:tr>
      <w:tr w:rsidR="006C0F01" w:rsidRPr="00E275E6" w14:paraId="76876918"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37539F2F" w14:textId="77777777" w:rsidR="006C0F01" w:rsidRPr="00A027FB" w:rsidRDefault="006C0F01" w:rsidP="006C0F01">
            <w:pPr>
              <w:ind w:firstLineChars="200" w:firstLine="360"/>
              <w:rPr>
                <w:rFonts w:asciiTheme="minorHAnsi" w:hAnsiTheme="minorHAnsi" w:cstheme="minorHAnsi"/>
                <w:sz w:val="18"/>
                <w:szCs w:val="18"/>
              </w:rPr>
            </w:pPr>
            <w:r w:rsidRPr="00A027FB">
              <w:rPr>
                <w:rFonts w:asciiTheme="minorHAnsi" w:hAnsiTheme="minorHAnsi" w:cstheme="minorHAnsi"/>
                <w:sz w:val="18"/>
                <w:szCs w:val="18"/>
              </w:rPr>
              <w:t>Particulares</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1E0E9243" w14:textId="6A4120E4" w:rsidR="006C0F01" w:rsidRPr="006C0F01" w:rsidRDefault="006C0F01" w:rsidP="006C0F01">
            <w:pPr>
              <w:jc w:val="right"/>
              <w:rPr>
                <w:rFonts w:asciiTheme="minorHAnsi" w:hAnsiTheme="minorHAnsi" w:cstheme="minorHAnsi"/>
                <w:sz w:val="18"/>
                <w:szCs w:val="18"/>
              </w:rPr>
            </w:pPr>
            <w:r w:rsidRPr="006C0F01">
              <w:rPr>
                <w:rFonts w:asciiTheme="minorHAnsi" w:hAnsiTheme="minorHAnsi" w:cstheme="minorHAnsi"/>
                <w:sz w:val="18"/>
                <w:szCs w:val="18"/>
              </w:rPr>
              <w:t>15%</w:t>
            </w:r>
          </w:p>
        </w:tc>
        <w:tc>
          <w:tcPr>
            <w:tcW w:w="1134" w:type="dxa"/>
            <w:tcBorders>
              <w:top w:val="nil"/>
              <w:left w:val="nil"/>
              <w:bottom w:val="single" w:sz="4" w:space="0" w:color="FFFFFF"/>
              <w:right w:val="single" w:sz="4" w:space="0" w:color="FFFFFF"/>
            </w:tcBorders>
            <w:shd w:val="clear" w:color="auto" w:fill="DEEAF6" w:themeFill="accent1" w:themeFillTint="33"/>
            <w:noWrap/>
            <w:vAlign w:val="center"/>
          </w:tcPr>
          <w:p w14:paraId="300DD30E" w14:textId="5459A37C" w:rsidR="006C0F01" w:rsidRPr="006C0F01" w:rsidRDefault="006C0F01" w:rsidP="006C0F01">
            <w:pPr>
              <w:jc w:val="right"/>
              <w:rPr>
                <w:rFonts w:asciiTheme="minorHAnsi" w:hAnsiTheme="minorHAnsi" w:cstheme="minorHAnsi"/>
                <w:sz w:val="18"/>
                <w:szCs w:val="18"/>
              </w:rPr>
            </w:pPr>
            <w:r w:rsidRPr="006C0F01">
              <w:rPr>
                <w:rFonts w:asciiTheme="minorHAnsi" w:hAnsiTheme="minorHAnsi" w:cstheme="minorHAnsi"/>
                <w:sz w:val="18"/>
                <w:szCs w:val="18"/>
              </w:rPr>
              <w:t>9%</w:t>
            </w: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1D669B34" w14:textId="2F1D3035" w:rsidR="006C0F01" w:rsidRPr="006C0F01" w:rsidRDefault="006C0F01" w:rsidP="006C0F01">
            <w:pPr>
              <w:jc w:val="right"/>
              <w:rPr>
                <w:rFonts w:ascii="Calibri" w:hAnsi="Calibri" w:cs="Calibri"/>
                <w:sz w:val="18"/>
                <w:szCs w:val="18"/>
              </w:rPr>
            </w:pPr>
            <w:r w:rsidRPr="006C0F01">
              <w:rPr>
                <w:rFonts w:ascii="Calibri" w:hAnsi="Calibri" w:cs="Calibri"/>
                <w:sz w:val="18"/>
                <w:szCs w:val="18"/>
              </w:rPr>
              <w:t>6%</w:t>
            </w: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045CC893" w14:textId="62F54F8F" w:rsidR="006C0F01" w:rsidRPr="006C0F01" w:rsidRDefault="006C0F01" w:rsidP="006C0F01">
            <w:pPr>
              <w:jc w:val="right"/>
              <w:rPr>
                <w:rFonts w:ascii="Calibri" w:hAnsi="Calibri" w:cs="Calibri"/>
                <w:sz w:val="18"/>
                <w:szCs w:val="18"/>
              </w:rPr>
            </w:pPr>
            <w:r w:rsidRPr="006C0F01">
              <w:rPr>
                <w:rFonts w:ascii="Calibri" w:hAnsi="Calibri" w:cs="Calibri"/>
                <w:color w:val="000000"/>
                <w:sz w:val="18"/>
                <w:szCs w:val="18"/>
              </w:rPr>
              <w:t>67%</w:t>
            </w:r>
          </w:p>
        </w:tc>
      </w:tr>
      <w:tr w:rsidR="006C0F01" w:rsidRPr="00E275E6" w14:paraId="58A2A468"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43D7B8AD" w14:textId="77777777" w:rsidR="006C0F01" w:rsidRPr="00A027FB" w:rsidRDefault="006C0F01" w:rsidP="006C0F01">
            <w:pPr>
              <w:ind w:firstLineChars="200" w:firstLine="360"/>
              <w:rPr>
                <w:rFonts w:asciiTheme="minorHAnsi" w:hAnsiTheme="minorHAnsi" w:cstheme="minorHAnsi"/>
                <w:sz w:val="18"/>
                <w:szCs w:val="18"/>
              </w:rPr>
            </w:pPr>
            <w:r w:rsidRPr="00A027FB">
              <w:rPr>
                <w:rFonts w:asciiTheme="minorHAnsi" w:hAnsiTheme="minorHAnsi" w:cstheme="minorHAnsi"/>
                <w:sz w:val="18"/>
                <w:szCs w:val="18"/>
              </w:rPr>
              <w:t>Empresas</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45D4A189" w14:textId="5F97C509" w:rsidR="006C0F01" w:rsidRPr="006C0F01" w:rsidRDefault="006C0F01" w:rsidP="006C0F01">
            <w:pPr>
              <w:jc w:val="right"/>
              <w:rPr>
                <w:rFonts w:asciiTheme="minorHAnsi" w:hAnsiTheme="minorHAnsi" w:cstheme="minorHAnsi"/>
                <w:sz w:val="18"/>
                <w:szCs w:val="18"/>
              </w:rPr>
            </w:pPr>
            <w:r w:rsidRPr="006C0F01">
              <w:rPr>
                <w:rFonts w:asciiTheme="minorHAnsi" w:hAnsiTheme="minorHAnsi" w:cstheme="minorHAnsi"/>
                <w:sz w:val="18"/>
                <w:szCs w:val="18"/>
              </w:rPr>
              <w:t>85%</w:t>
            </w:r>
          </w:p>
        </w:tc>
        <w:tc>
          <w:tcPr>
            <w:tcW w:w="1134" w:type="dxa"/>
            <w:tcBorders>
              <w:top w:val="nil"/>
              <w:left w:val="nil"/>
              <w:bottom w:val="single" w:sz="4" w:space="0" w:color="FFFFFF"/>
              <w:right w:val="single" w:sz="4" w:space="0" w:color="FFFFFF"/>
            </w:tcBorders>
            <w:shd w:val="clear" w:color="auto" w:fill="DEEAF6" w:themeFill="accent1" w:themeFillTint="33"/>
            <w:noWrap/>
            <w:vAlign w:val="center"/>
          </w:tcPr>
          <w:p w14:paraId="0945D2B3" w14:textId="256C1E37" w:rsidR="006C0F01" w:rsidRPr="006C0F01" w:rsidRDefault="006C0F01" w:rsidP="006C0F01">
            <w:pPr>
              <w:jc w:val="right"/>
              <w:rPr>
                <w:rFonts w:asciiTheme="minorHAnsi" w:hAnsiTheme="minorHAnsi" w:cstheme="minorHAnsi"/>
                <w:sz w:val="18"/>
                <w:szCs w:val="18"/>
              </w:rPr>
            </w:pPr>
            <w:r w:rsidRPr="006C0F01">
              <w:rPr>
                <w:rFonts w:asciiTheme="minorHAnsi" w:hAnsiTheme="minorHAnsi" w:cstheme="minorHAnsi"/>
                <w:sz w:val="18"/>
                <w:szCs w:val="18"/>
              </w:rPr>
              <w:t>91%</w:t>
            </w: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56B0CCE8" w14:textId="50D3F27A" w:rsidR="006C0F01" w:rsidRPr="006C0F01" w:rsidRDefault="006C0F01" w:rsidP="006C0F01">
            <w:pPr>
              <w:jc w:val="right"/>
              <w:rPr>
                <w:rFonts w:ascii="Calibri" w:hAnsi="Calibri" w:cs="Calibri"/>
                <w:sz w:val="18"/>
                <w:szCs w:val="18"/>
              </w:rPr>
            </w:pPr>
            <w:r w:rsidRPr="006C0F01">
              <w:rPr>
                <w:rFonts w:ascii="Calibri" w:hAnsi="Calibri" w:cs="Calibri"/>
                <w:sz w:val="18"/>
                <w:szCs w:val="18"/>
              </w:rPr>
              <w:t>-6%</w:t>
            </w: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57B1BCBE" w14:textId="1647271E" w:rsidR="006C0F01" w:rsidRPr="006C0F01" w:rsidRDefault="006C0F01" w:rsidP="006C0F01">
            <w:pPr>
              <w:jc w:val="right"/>
              <w:rPr>
                <w:rFonts w:ascii="Calibri" w:hAnsi="Calibri" w:cs="Calibri"/>
                <w:sz w:val="18"/>
                <w:szCs w:val="18"/>
              </w:rPr>
            </w:pPr>
            <w:r w:rsidRPr="006C0F01">
              <w:rPr>
                <w:rFonts w:ascii="Calibri" w:hAnsi="Calibri" w:cs="Calibri"/>
                <w:color w:val="000000"/>
                <w:sz w:val="18"/>
                <w:szCs w:val="18"/>
              </w:rPr>
              <w:t>(7%)</w:t>
            </w:r>
          </w:p>
        </w:tc>
      </w:tr>
      <w:tr w:rsidR="00C93B74" w:rsidRPr="00E275E6" w14:paraId="350A0D4E" w14:textId="77777777" w:rsidTr="00351BC7">
        <w:trPr>
          <w:trHeight w:hRule="exact" w:val="455"/>
        </w:trPr>
        <w:tc>
          <w:tcPr>
            <w:tcW w:w="8505" w:type="dxa"/>
            <w:gridSpan w:val="5"/>
            <w:tcBorders>
              <w:top w:val="single" w:sz="4" w:space="0" w:color="FFFFFF"/>
              <w:left w:val="single" w:sz="4" w:space="0" w:color="FFFFFF"/>
              <w:bottom w:val="single" w:sz="4" w:space="0" w:color="FFFFFF"/>
              <w:right w:val="single" w:sz="4" w:space="0" w:color="FFFFFF"/>
            </w:tcBorders>
            <w:shd w:val="clear" w:color="auto" w:fill="DEEAF6" w:themeFill="accent1" w:themeFillTint="33"/>
            <w:vAlign w:val="center"/>
            <w:hideMark/>
          </w:tcPr>
          <w:p w14:paraId="728A0C62" w14:textId="77777777" w:rsidR="00C93B74" w:rsidRPr="006C0F01" w:rsidRDefault="00C93B74" w:rsidP="00B36274">
            <w:pPr>
              <w:ind w:left="72"/>
              <w:rPr>
                <w:rFonts w:ascii="Calibri" w:hAnsi="Calibri" w:cs="Calibri"/>
                <w:sz w:val="16"/>
                <w:szCs w:val="16"/>
              </w:rPr>
            </w:pPr>
            <w:r w:rsidRPr="006C0F01">
              <w:rPr>
                <w:rFonts w:ascii="Calibri" w:hAnsi="Calibri" w:cs="Calibri"/>
                <w:sz w:val="16"/>
                <w:szCs w:val="16"/>
                <w:vertAlign w:val="superscript"/>
              </w:rPr>
              <w:t>*</w:t>
            </w:r>
            <w:r w:rsidRPr="006C0F01">
              <w:rPr>
                <w:rFonts w:ascii="Calibri" w:hAnsi="Calibri" w:cs="Calibri"/>
                <w:sz w:val="16"/>
                <w:szCs w:val="16"/>
              </w:rPr>
              <w:t xml:space="preserve"> carteira Parvalorem com exceção dos créditos que foram objeto de titularização e dos créditos que, não podendo ainda ter sido transmitidos, se encontram em adiantamentos a fornecedores.</w:t>
            </w:r>
          </w:p>
        </w:tc>
      </w:tr>
      <w:tr w:rsidR="00C93B74" w:rsidRPr="00E275E6" w14:paraId="3370D55C"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5DAD2CFF" w14:textId="77777777" w:rsidR="00C93B74" w:rsidRPr="00A027FB" w:rsidRDefault="00C93B74" w:rsidP="00B36274">
            <w:pPr>
              <w:rPr>
                <w:rFonts w:asciiTheme="minorHAnsi" w:hAnsiTheme="minorHAnsi" w:cstheme="minorHAnsi"/>
                <w:color w:val="000000"/>
                <w:sz w:val="18"/>
                <w:szCs w:val="18"/>
              </w:rPr>
            </w:pPr>
            <w:r w:rsidRPr="00A027FB">
              <w:rPr>
                <w:rFonts w:asciiTheme="minorHAnsi" w:hAnsiTheme="minorHAnsi" w:cstheme="minorHAnsi"/>
                <w:color w:val="000000"/>
                <w:sz w:val="18"/>
                <w:szCs w:val="18"/>
              </w:rPr>
              <w:t> </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hideMark/>
          </w:tcPr>
          <w:p w14:paraId="57A40D4D" w14:textId="77777777" w:rsidR="00C93B74" w:rsidRPr="006C0F01" w:rsidRDefault="00C93B74" w:rsidP="00B36274">
            <w:pPr>
              <w:jc w:val="right"/>
              <w:rPr>
                <w:rFonts w:asciiTheme="minorHAnsi" w:hAnsiTheme="minorHAnsi" w:cstheme="minorHAnsi"/>
                <w:sz w:val="18"/>
                <w:szCs w:val="18"/>
              </w:rPr>
            </w:pPr>
            <w:r w:rsidRPr="006C0F01">
              <w:rPr>
                <w:rFonts w:asciiTheme="minorHAnsi" w:hAnsiTheme="minorHAnsi" w:cstheme="minorHAnsi"/>
                <w:sz w:val="18"/>
                <w:szCs w:val="18"/>
              </w:rPr>
              <w:t> </w:t>
            </w:r>
          </w:p>
        </w:tc>
        <w:tc>
          <w:tcPr>
            <w:tcW w:w="1134" w:type="dxa"/>
            <w:tcBorders>
              <w:top w:val="nil"/>
              <w:left w:val="nil"/>
              <w:bottom w:val="single" w:sz="4" w:space="0" w:color="FFFFFF"/>
              <w:right w:val="single" w:sz="4" w:space="0" w:color="FFFFFF"/>
            </w:tcBorders>
            <w:shd w:val="clear" w:color="auto" w:fill="DEEAF6" w:themeFill="accent1" w:themeFillTint="33"/>
            <w:noWrap/>
            <w:vAlign w:val="center"/>
            <w:hideMark/>
          </w:tcPr>
          <w:p w14:paraId="4B9F1492" w14:textId="77777777" w:rsidR="00C93B74" w:rsidRPr="006C0F01" w:rsidRDefault="00C93B74" w:rsidP="00B36274">
            <w:pPr>
              <w:jc w:val="right"/>
              <w:rPr>
                <w:rFonts w:asciiTheme="minorHAnsi" w:hAnsiTheme="minorHAnsi" w:cstheme="minorHAnsi"/>
                <w:sz w:val="18"/>
                <w:szCs w:val="18"/>
              </w:rPr>
            </w:pPr>
            <w:r w:rsidRPr="006C0F01">
              <w:rPr>
                <w:rFonts w:asciiTheme="minorHAnsi" w:hAnsiTheme="minorHAnsi" w:cstheme="minorHAnsi"/>
                <w:sz w:val="18"/>
                <w:szCs w:val="18"/>
              </w:rPr>
              <w:t> </w:t>
            </w:r>
          </w:p>
        </w:tc>
        <w:tc>
          <w:tcPr>
            <w:tcW w:w="992" w:type="dxa"/>
            <w:tcBorders>
              <w:top w:val="nil"/>
              <w:left w:val="nil"/>
              <w:bottom w:val="single" w:sz="4" w:space="0" w:color="FFFFFF"/>
              <w:right w:val="single" w:sz="4" w:space="0" w:color="FFFFFF"/>
            </w:tcBorders>
            <w:shd w:val="clear" w:color="auto" w:fill="DEEAF6" w:themeFill="accent1" w:themeFillTint="33"/>
            <w:noWrap/>
            <w:vAlign w:val="center"/>
            <w:hideMark/>
          </w:tcPr>
          <w:p w14:paraId="30E4F776" w14:textId="77777777" w:rsidR="00C93B74" w:rsidRPr="006C0F01" w:rsidRDefault="00C93B74" w:rsidP="00B36274">
            <w:pPr>
              <w:jc w:val="right"/>
              <w:rPr>
                <w:rFonts w:ascii="Calibri" w:hAnsi="Calibri" w:cs="Calibri"/>
                <w:sz w:val="18"/>
                <w:szCs w:val="18"/>
              </w:rPr>
            </w:pPr>
            <w:r w:rsidRPr="006C0F01">
              <w:rPr>
                <w:rFonts w:ascii="Calibri" w:hAnsi="Calibri" w:cs="Calibri"/>
                <w:sz w:val="18"/>
                <w:szCs w:val="18"/>
              </w:rPr>
              <w:t> </w:t>
            </w:r>
          </w:p>
        </w:tc>
        <w:tc>
          <w:tcPr>
            <w:tcW w:w="850" w:type="dxa"/>
            <w:tcBorders>
              <w:top w:val="nil"/>
              <w:left w:val="nil"/>
              <w:bottom w:val="single" w:sz="4" w:space="0" w:color="FFFFFF"/>
              <w:right w:val="single" w:sz="4" w:space="0" w:color="FFFFFF"/>
            </w:tcBorders>
            <w:shd w:val="clear" w:color="auto" w:fill="DEEAF6" w:themeFill="accent1" w:themeFillTint="33"/>
            <w:noWrap/>
            <w:vAlign w:val="center"/>
            <w:hideMark/>
          </w:tcPr>
          <w:p w14:paraId="5AF63C36" w14:textId="77777777" w:rsidR="00C93B74" w:rsidRPr="006C0F01" w:rsidRDefault="00C93B74" w:rsidP="00B36274">
            <w:pPr>
              <w:jc w:val="right"/>
              <w:rPr>
                <w:rFonts w:ascii="Calibri" w:hAnsi="Calibri" w:cs="Calibri"/>
                <w:color w:val="C65911"/>
                <w:sz w:val="18"/>
                <w:szCs w:val="18"/>
              </w:rPr>
            </w:pPr>
            <w:r w:rsidRPr="006C0F01">
              <w:rPr>
                <w:rFonts w:ascii="Calibri" w:hAnsi="Calibri" w:cs="Calibri"/>
                <w:color w:val="C65911"/>
                <w:sz w:val="18"/>
                <w:szCs w:val="18"/>
              </w:rPr>
              <w:t> </w:t>
            </w:r>
          </w:p>
        </w:tc>
      </w:tr>
      <w:tr w:rsidR="00C93B74" w:rsidRPr="00E275E6" w14:paraId="57DB823D"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0AB5F9ED" w14:textId="77777777" w:rsidR="00C93B74" w:rsidRPr="00A027FB" w:rsidRDefault="00C93B74" w:rsidP="00B36274">
            <w:pPr>
              <w:rPr>
                <w:rFonts w:asciiTheme="minorHAnsi" w:hAnsiTheme="minorHAnsi" w:cstheme="minorHAnsi"/>
                <w:b/>
                <w:bCs/>
                <w:color w:val="000000"/>
                <w:sz w:val="18"/>
                <w:szCs w:val="18"/>
              </w:rPr>
            </w:pPr>
            <w:r w:rsidRPr="00A027FB">
              <w:rPr>
                <w:rFonts w:asciiTheme="minorHAnsi" w:hAnsiTheme="minorHAnsi" w:cstheme="minorHAnsi"/>
                <w:b/>
                <w:bCs/>
                <w:color w:val="000000"/>
                <w:sz w:val="18"/>
                <w:szCs w:val="18"/>
              </w:rPr>
              <w:t>IMÓVEIS</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hideMark/>
          </w:tcPr>
          <w:p w14:paraId="0241A1DD" w14:textId="77777777" w:rsidR="00C93B74" w:rsidRPr="006C0F01" w:rsidRDefault="00C93B74" w:rsidP="00B36274">
            <w:pPr>
              <w:jc w:val="right"/>
              <w:rPr>
                <w:rFonts w:asciiTheme="minorHAnsi" w:hAnsiTheme="minorHAnsi" w:cstheme="minorHAnsi"/>
                <w:sz w:val="18"/>
                <w:szCs w:val="18"/>
              </w:rPr>
            </w:pPr>
            <w:r w:rsidRPr="006C0F01">
              <w:rPr>
                <w:rFonts w:asciiTheme="minorHAnsi" w:hAnsiTheme="minorHAnsi" w:cstheme="minorHAnsi"/>
                <w:sz w:val="18"/>
                <w:szCs w:val="18"/>
              </w:rPr>
              <w:t> </w:t>
            </w:r>
          </w:p>
        </w:tc>
        <w:tc>
          <w:tcPr>
            <w:tcW w:w="1134" w:type="dxa"/>
            <w:tcBorders>
              <w:top w:val="nil"/>
              <w:left w:val="nil"/>
              <w:bottom w:val="single" w:sz="4" w:space="0" w:color="FFFFFF"/>
              <w:right w:val="single" w:sz="4" w:space="0" w:color="FFFFFF"/>
            </w:tcBorders>
            <w:shd w:val="clear" w:color="auto" w:fill="DEEAF6" w:themeFill="accent1" w:themeFillTint="33"/>
            <w:noWrap/>
            <w:vAlign w:val="center"/>
            <w:hideMark/>
          </w:tcPr>
          <w:p w14:paraId="2AEB4792" w14:textId="77777777" w:rsidR="00C93B74" w:rsidRPr="006C0F01" w:rsidRDefault="00C93B74" w:rsidP="00B36274">
            <w:pPr>
              <w:jc w:val="right"/>
              <w:rPr>
                <w:rFonts w:asciiTheme="minorHAnsi" w:hAnsiTheme="minorHAnsi" w:cstheme="minorHAnsi"/>
                <w:sz w:val="18"/>
                <w:szCs w:val="18"/>
              </w:rPr>
            </w:pPr>
            <w:r w:rsidRPr="006C0F01">
              <w:rPr>
                <w:rFonts w:asciiTheme="minorHAnsi" w:hAnsiTheme="minorHAnsi" w:cstheme="minorHAnsi"/>
                <w:sz w:val="18"/>
                <w:szCs w:val="18"/>
              </w:rPr>
              <w:t> </w:t>
            </w:r>
          </w:p>
        </w:tc>
        <w:tc>
          <w:tcPr>
            <w:tcW w:w="992" w:type="dxa"/>
            <w:tcBorders>
              <w:top w:val="nil"/>
              <w:left w:val="nil"/>
              <w:bottom w:val="single" w:sz="4" w:space="0" w:color="FFFFFF"/>
              <w:right w:val="single" w:sz="4" w:space="0" w:color="FFFFFF"/>
            </w:tcBorders>
            <w:shd w:val="clear" w:color="auto" w:fill="DEEAF6" w:themeFill="accent1" w:themeFillTint="33"/>
            <w:noWrap/>
            <w:vAlign w:val="center"/>
            <w:hideMark/>
          </w:tcPr>
          <w:p w14:paraId="1F256CEE" w14:textId="77777777" w:rsidR="00C93B74" w:rsidRPr="006C0F01" w:rsidRDefault="00C93B74" w:rsidP="00B36274">
            <w:pPr>
              <w:jc w:val="right"/>
              <w:rPr>
                <w:rFonts w:ascii="Calibri" w:hAnsi="Calibri" w:cs="Calibri"/>
                <w:sz w:val="18"/>
                <w:szCs w:val="18"/>
              </w:rPr>
            </w:pPr>
            <w:r w:rsidRPr="006C0F01">
              <w:rPr>
                <w:rFonts w:ascii="Calibri" w:hAnsi="Calibri" w:cs="Calibri"/>
                <w:sz w:val="18"/>
                <w:szCs w:val="18"/>
              </w:rPr>
              <w:t> </w:t>
            </w:r>
          </w:p>
        </w:tc>
        <w:tc>
          <w:tcPr>
            <w:tcW w:w="850" w:type="dxa"/>
            <w:tcBorders>
              <w:top w:val="nil"/>
              <w:left w:val="nil"/>
              <w:bottom w:val="single" w:sz="4" w:space="0" w:color="FFFFFF"/>
              <w:right w:val="single" w:sz="4" w:space="0" w:color="FFFFFF"/>
            </w:tcBorders>
            <w:shd w:val="clear" w:color="auto" w:fill="DEEAF6" w:themeFill="accent1" w:themeFillTint="33"/>
            <w:noWrap/>
            <w:vAlign w:val="center"/>
            <w:hideMark/>
          </w:tcPr>
          <w:p w14:paraId="79D0BC7A" w14:textId="77777777" w:rsidR="00C93B74" w:rsidRPr="006C0F01" w:rsidRDefault="00C93B74" w:rsidP="00B36274">
            <w:pPr>
              <w:jc w:val="right"/>
              <w:rPr>
                <w:rFonts w:ascii="Calibri" w:hAnsi="Calibri" w:cs="Calibri"/>
                <w:color w:val="C65911"/>
                <w:sz w:val="18"/>
                <w:szCs w:val="18"/>
              </w:rPr>
            </w:pPr>
            <w:r w:rsidRPr="006C0F01">
              <w:rPr>
                <w:rFonts w:ascii="Calibri" w:hAnsi="Calibri" w:cs="Calibri"/>
                <w:color w:val="C65911"/>
                <w:sz w:val="18"/>
                <w:szCs w:val="18"/>
              </w:rPr>
              <w:t> </w:t>
            </w:r>
          </w:p>
        </w:tc>
      </w:tr>
      <w:tr w:rsidR="006C0F01" w:rsidRPr="00E275E6" w14:paraId="132E868E"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tcPr>
          <w:p w14:paraId="1B2049FC" w14:textId="77777777" w:rsidR="006C0F01" w:rsidRPr="00A027FB" w:rsidRDefault="006C0F01" w:rsidP="006C0F01">
            <w:pPr>
              <w:ind w:firstLineChars="100" w:firstLine="180"/>
              <w:rPr>
                <w:rFonts w:asciiTheme="minorHAnsi" w:hAnsiTheme="minorHAnsi" w:cstheme="minorHAnsi"/>
                <w:color w:val="000000"/>
                <w:sz w:val="18"/>
                <w:szCs w:val="18"/>
              </w:rPr>
            </w:pPr>
            <w:r w:rsidRPr="00A027FB">
              <w:rPr>
                <w:rFonts w:asciiTheme="minorHAnsi" w:hAnsiTheme="minorHAnsi" w:cstheme="minorHAnsi"/>
                <w:color w:val="000000"/>
                <w:sz w:val="18"/>
                <w:szCs w:val="18"/>
              </w:rPr>
              <w:t>Recebimentos (vendas e arrendamentos)</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40C30AA2" w14:textId="5E3CC16F" w:rsidR="006C0F01" w:rsidRPr="006C0F01" w:rsidRDefault="006C0F01" w:rsidP="006C0F01">
            <w:pPr>
              <w:jc w:val="right"/>
              <w:rPr>
                <w:rFonts w:asciiTheme="minorHAnsi" w:hAnsiTheme="minorHAnsi" w:cstheme="minorHAnsi"/>
                <w:sz w:val="18"/>
                <w:szCs w:val="18"/>
              </w:rPr>
            </w:pPr>
            <w:r w:rsidRPr="006C0F01">
              <w:rPr>
                <w:rFonts w:asciiTheme="minorHAnsi" w:hAnsiTheme="minorHAnsi" w:cstheme="minorHAnsi"/>
                <w:sz w:val="18"/>
                <w:szCs w:val="18"/>
              </w:rPr>
              <w:t>14 939</w:t>
            </w:r>
          </w:p>
        </w:tc>
        <w:tc>
          <w:tcPr>
            <w:tcW w:w="1134" w:type="dxa"/>
            <w:tcBorders>
              <w:top w:val="nil"/>
              <w:left w:val="nil"/>
              <w:bottom w:val="single" w:sz="4" w:space="0" w:color="FFFFFF"/>
              <w:right w:val="single" w:sz="4" w:space="0" w:color="FFFFFF"/>
            </w:tcBorders>
            <w:shd w:val="clear" w:color="auto" w:fill="DEEAF6" w:themeFill="accent1" w:themeFillTint="33"/>
            <w:noWrap/>
            <w:vAlign w:val="center"/>
          </w:tcPr>
          <w:p w14:paraId="157BCAA3" w14:textId="471CF262" w:rsidR="006C0F01" w:rsidRPr="006C0F01" w:rsidRDefault="006C0F01" w:rsidP="006C0F01">
            <w:pPr>
              <w:jc w:val="right"/>
              <w:rPr>
                <w:rFonts w:asciiTheme="minorHAnsi" w:hAnsiTheme="minorHAnsi" w:cstheme="minorHAnsi"/>
                <w:sz w:val="18"/>
                <w:szCs w:val="18"/>
              </w:rPr>
            </w:pPr>
            <w:r w:rsidRPr="006C0F01">
              <w:rPr>
                <w:rFonts w:asciiTheme="minorHAnsi" w:hAnsiTheme="minorHAnsi" w:cstheme="minorHAnsi"/>
                <w:sz w:val="18"/>
                <w:szCs w:val="18"/>
              </w:rPr>
              <w:t>10 647</w:t>
            </w: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49198444" w14:textId="593C6680" w:rsidR="006C0F01" w:rsidRPr="006C0F01" w:rsidRDefault="006C0F01" w:rsidP="006C0F01">
            <w:pPr>
              <w:jc w:val="right"/>
              <w:rPr>
                <w:rFonts w:ascii="Calibri" w:hAnsi="Calibri" w:cs="Calibri"/>
                <w:sz w:val="18"/>
                <w:szCs w:val="18"/>
              </w:rPr>
            </w:pPr>
            <w:r w:rsidRPr="006C0F01">
              <w:rPr>
                <w:rFonts w:ascii="Calibri" w:hAnsi="Calibri" w:cs="Calibri"/>
                <w:sz w:val="18"/>
                <w:szCs w:val="18"/>
              </w:rPr>
              <w:t>4 292</w:t>
            </w: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72F3EF41" w14:textId="789E39AA" w:rsidR="006C0F01" w:rsidRPr="006C0F01" w:rsidRDefault="006C0F01" w:rsidP="006C0F01">
            <w:pPr>
              <w:jc w:val="right"/>
              <w:rPr>
                <w:rFonts w:ascii="Calibri" w:hAnsi="Calibri" w:cs="Calibri"/>
                <w:sz w:val="18"/>
                <w:szCs w:val="18"/>
              </w:rPr>
            </w:pPr>
            <w:r w:rsidRPr="006C0F01">
              <w:rPr>
                <w:rFonts w:ascii="Calibri" w:hAnsi="Calibri" w:cs="Calibri"/>
                <w:color w:val="000000"/>
                <w:sz w:val="18"/>
                <w:szCs w:val="18"/>
              </w:rPr>
              <w:t>40%</w:t>
            </w:r>
          </w:p>
        </w:tc>
      </w:tr>
      <w:tr w:rsidR="006C0F01" w:rsidRPr="00E275E6" w14:paraId="62E84DB6"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7AECA576" w14:textId="77777777" w:rsidR="006C0F01" w:rsidRPr="00A027FB" w:rsidRDefault="006C0F01" w:rsidP="006C0F01">
            <w:pPr>
              <w:ind w:firstLineChars="100" w:firstLine="180"/>
              <w:rPr>
                <w:rFonts w:asciiTheme="minorHAnsi" w:hAnsiTheme="minorHAnsi" w:cstheme="minorHAnsi"/>
                <w:color w:val="000000"/>
                <w:sz w:val="18"/>
                <w:szCs w:val="18"/>
              </w:rPr>
            </w:pPr>
            <w:r w:rsidRPr="00A027FB">
              <w:rPr>
                <w:rFonts w:asciiTheme="minorHAnsi" w:hAnsiTheme="minorHAnsi" w:cstheme="minorHAnsi"/>
                <w:color w:val="000000"/>
                <w:sz w:val="18"/>
                <w:szCs w:val="18"/>
              </w:rPr>
              <w:t xml:space="preserve">Número de imóveis vendidos </w:t>
            </w:r>
            <w:r w:rsidRPr="00A027FB">
              <w:rPr>
                <w:rFonts w:asciiTheme="minorHAnsi" w:hAnsiTheme="minorHAnsi" w:cstheme="minorHAnsi"/>
                <w:color w:val="000000"/>
                <w:sz w:val="18"/>
                <w:szCs w:val="18"/>
                <w:vertAlign w:val="superscript"/>
              </w:rPr>
              <w:t>*</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6394A2B1" w14:textId="329BAE2E" w:rsidR="006C0F01" w:rsidRPr="006C0F01" w:rsidRDefault="006C0F01" w:rsidP="006C0F01">
            <w:pPr>
              <w:jc w:val="right"/>
              <w:rPr>
                <w:rFonts w:asciiTheme="minorHAnsi" w:hAnsiTheme="minorHAnsi" w:cstheme="minorHAnsi"/>
                <w:sz w:val="18"/>
                <w:szCs w:val="18"/>
              </w:rPr>
            </w:pPr>
            <w:r w:rsidRPr="006C0F01">
              <w:rPr>
                <w:rFonts w:asciiTheme="minorHAnsi" w:hAnsiTheme="minorHAnsi" w:cstheme="minorHAnsi"/>
                <w:sz w:val="18"/>
                <w:szCs w:val="18"/>
              </w:rPr>
              <w:t>183</w:t>
            </w:r>
          </w:p>
        </w:tc>
        <w:tc>
          <w:tcPr>
            <w:tcW w:w="1134" w:type="dxa"/>
            <w:tcBorders>
              <w:top w:val="nil"/>
              <w:left w:val="nil"/>
              <w:bottom w:val="single" w:sz="4" w:space="0" w:color="FFFFFF"/>
              <w:right w:val="single" w:sz="4" w:space="0" w:color="FFFFFF"/>
            </w:tcBorders>
            <w:shd w:val="clear" w:color="auto" w:fill="DEEAF6" w:themeFill="accent1" w:themeFillTint="33"/>
            <w:noWrap/>
            <w:vAlign w:val="center"/>
            <w:hideMark/>
          </w:tcPr>
          <w:p w14:paraId="58323FD5" w14:textId="4B797B7D" w:rsidR="006C0F01" w:rsidRPr="006C0F01" w:rsidRDefault="006C0F01" w:rsidP="006C0F01">
            <w:pPr>
              <w:jc w:val="right"/>
              <w:rPr>
                <w:rFonts w:asciiTheme="minorHAnsi" w:hAnsiTheme="minorHAnsi" w:cstheme="minorHAnsi"/>
                <w:sz w:val="18"/>
                <w:szCs w:val="18"/>
              </w:rPr>
            </w:pPr>
            <w:r w:rsidRPr="006C0F01">
              <w:rPr>
                <w:rFonts w:asciiTheme="minorHAnsi" w:hAnsiTheme="minorHAnsi" w:cstheme="minorHAnsi"/>
                <w:sz w:val="18"/>
                <w:szCs w:val="18"/>
              </w:rPr>
              <w:t>61</w:t>
            </w: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1AC7BEEC" w14:textId="0068238F" w:rsidR="006C0F01" w:rsidRPr="006C0F01" w:rsidRDefault="006C0F01" w:rsidP="006C0F01">
            <w:pPr>
              <w:jc w:val="right"/>
              <w:rPr>
                <w:rFonts w:ascii="Calibri" w:hAnsi="Calibri" w:cs="Calibri"/>
                <w:sz w:val="18"/>
                <w:szCs w:val="18"/>
              </w:rPr>
            </w:pPr>
            <w:r w:rsidRPr="006C0F01">
              <w:rPr>
                <w:rFonts w:ascii="Calibri" w:hAnsi="Calibri" w:cs="Calibri"/>
                <w:sz w:val="18"/>
                <w:szCs w:val="18"/>
              </w:rPr>
              <w:t>122</w:t>
            </w: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7BF436D4" w14:textId="59231256" w:rsidR="006C0F01" w:rsidRPr="006C0F01" w:rsidRDefault="006C0F01" w:rsidP="006C0F01">
            <w:pPr>
              <w:jc w:val="right"/>
              <w:rPr>
                <w:rFonts w:ascii="Calibri" w:hAnsi="Calibri" w:cs="Calibri"/>
                <w:sz w:val="18"/>
                <w:szCs w:val="18"/>
              </w:rPr>
            </w:pPr>
            <w:r w:rsidRPr="006C0F01">
              <w:rPr>
                <w:rFonts w:ascii="Calibri" w:hAnsi="Calibri" w:cs="Calibri"/>
                <w:color w:val="000000"/>
                <w:sz w:val="18"/>
                <w:szCs w:val="18"/>
              </w:rPr>
              <w:t>200%</w:t>
            </w:r>
          </w:p>
        </w:tc>
      </w:tr>
      <w:tr w:rsidR="006C0F01" w:rsidRPr="00E275E6" w14:paraId="54F6CC62"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04FA3223" w14:textId="77777777" w:rsidR="006C0F01" w:rsidRPr="00A027FB" w:rsidRDefault="006C0F01" w:rsidP="006C0F01">
            <w:pPr>
              <w:ind w:firstLineChars="100" w:firstLine="180"/>
              <w:rPr>
                <w:rFonts w:asciiTheme="minorHAnsi" w:hAnsiTheme="minorHAnsi" w:cstheme="minorHAnsi"/>
                <w:color w:val="000000"/>
                <w:sz w:val="18"/>
                <w:szCs w:val="18"/>
              </w:rPr>
            </w:pPr>
            <w:r w:rsidRPr="00A027FB">
              <w:rPr>
                <w:rFonts w:asciiTheme="minorHAnsi" w:hAnsiTheme="minorHAnsi" w:cstheme="minorHAnsi"/>
                <w:color w:val="000000"/>
                <w:sz w:val="18"/>
                <w:szCs w:val="18"/>
              </w:rPr>
              <w:t xml:space="preserve">Número de imóveis recebidos em dação </w:t>
            </w:r>
            <w:r w:rsidRPr="00A027FB">
              <w:rPr>
                <w:rFonts w:asciiTheme="minorHAnsi" w:hAnsiTheme="minorHAnsi" w:cstheme="minorHAnsi"/>
                <w:color w:val="000000"/>
                <w:sz w:val="18"/>
                <w:szCs w:val="18"/>
                <w:vertAlign w:val="superscript"/>
              </w:rPr>
              <w:t>*</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0D62153A" w14:textId="6522733F" w:rsidR="006C0F01" w:rsidRPr="006C0F01" w:rsidRDefault="006C0F01" w:rsidP="006C0F01">
            <w:pPr>
              <w:jc w:val="right"/>
              <w:rPr>
                <w:rFonts w:asciiTheme="minorHAnsi" w:hAnsiTheme="minorHAnsi" w:cstheme="minorHAnsi"/>
                <w:sz w:val="18"/>
                <w:szCs w:val="18"/>
              </w:rPr>
            </w:pPr>
            <w:r w:rsidRPr="006C0F01">
              <w:rPr>
                <w:rFonts w:asciiTheme="minorHAnsi" w:hAnsiTheme="minorHAnsi" w:cstheme="minorHAnsi"/>
                <w:sz w:val="18"/>
                <w:szCs w:val="18"/>
              </w:rPr>
              <w:t>23</w:t>
            </w:r>
          </w:p>
        </w:tc>
        <w:tc>
          <w:tcPr>
            <w:tcW w:w="1134" w:type="dxa"/>
            <w:tcBorders>
              <w:top w:val="nil"/>
              <w:left w:val="nil"/>
              <w:bottom w:val="single" w:sz="4" w:space="0" w:color="FFFFFF"/>
              <w:right w:val="single" w:sz="4" w:space="0" w:color="FFFFFF"/>
            </w:tcBorders>
            <w:shd w:val="clear" w:color="auto" w:fill="DEEAF6" w:themeFill="accent1" w:themeFillTint="33"/>
            <w:noWrap/>
            <w:vAlign w:val="center"/>
            <w:hideMark/>
          </w:tcPr>
          <w:p w14:paraId="06D50181" w14:textId="5D179A55" w:rsidR="006C0F01" w:rsidRPr="006C0F01" w:rsidRDefault="006C0F01" w:rsidP="006C0F01">
            <w:pPr>
              <w:jc w:val="right"/>
              <w:rPr>
                <w:rFonts w:asciiTheme="minorHAnsi" w:hAnsiTheme="minorHAnsi" w:cstheme="minorHAnsi"/>
                <w:sz w:val="18"/>
                <w:szCs w:val="18"/>
              </w:rPr>
            </w:pPr>
            <w:r w:rsidRPr="006C0F01">
              <w:rPr>
                <w:rFonts w:asciiTheme="minorHAnsi" w:hAnsiTheme="minorHAnsi" w:cstheme="minorHAnsi"/>
                <w:sz w:val="18"/>
                <w:szCs w:val="18"/>
              </w:rPr>
              <w:t>52</w:t>
            </w: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34A76484" w14:textId="0A8ADF0B" w:rsidR="006C0F01" w:rsidRPr="006C0F01" w:rsidRDefault="006C0F01" w:rsidP="006C0F01">
            <w:pPr>
              <w:jc w:val="right"/>
              <w:rPr>
                <w:rFonts w:ascii="Calibri" w:hAnsi="Calibri" w:cs="Calibri"/>
                <w:sz w:val="18"/>
                <w:szCs w:val="18"/>
              </w:rPr>
            </w:pPr>
            <w:r w:rsidRPr="006C0F01">
              <w:rPr>
                <w:rFonts w:ascii="Calibri" w:hAnsi="Calibri" w:cs="Calibri"/>
                <w:sz w:val="18"/>
                <w:szCs w:val="18"/>
              </w:rPr>
              <w:t>(29)</w:t>
            </w: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14C7EDB4" w14:textId="3FD85863" w:rsidR="006C0F01" w:rsidRPr="006C0F01" w:rsidRDefault="006C0F01" w:rsidP="006C0F01">
            <w:pPr>
              <w:jc w:val="right"/>
              <w:rPr>
                <w:rFonts w:ascii="Calibri" w:hAnsi="Calibri" w:cs="Calibri"/>
                <w:sz w:val="18"/>
                <w:szCs w:val="18"/>
              </w:rPr>
            </w:pPr>
            <w:r w:rsidRPr="006C0F01">
              <w:rPr>
                <w:rFonts w:ascii="Calibri" w:hAnsi="Calibri" w:cs="Calibri"/>
                <w:color w:val="000000"/>
                <w:sz w:val="18"/>
                <w:szCs w:val="18"/>
              </w:rPr>
              <w:t>(56%)</w:t>
            </w:r>
          </w:p>
        </w:tc>
      </w:tr>
      <w:tr w:rsidR="007D1D4E" w:rsidRPr="00E275E6" w14:paraId="0114085F"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1B0BBC12" w14:textId="77777777" w:rsidR="007D1D4E" w:rsidRPr="00A027FB" w:rsidRDefault="007D1D4E" w:rsidP="007D1D4E">
            <w:pPr>
              <w:ind w:firstLineChars="100" w:firstLine="180"/>
              <w:rPr>
                <w:rFonts w:asciiTheme="minorHAnsi" w:hAnsiTheme="minorHAnsi" w:cstheme="minorHAnsi"/>
                <w:color w:val="000000"/>
                <w:sz w:val="18"/>
                <w:szCs w:val="18"/>
              </w:rPr>
            </w:pPr>
            <w:r w:rsidRPr="00A027FB">
              <w:rPr>
                <w:rFonts w:asciiTheme="minorHAnsi" w:hAnsiTheme="minorHAnsi" w:cstheme="minorHAnsi"/>
                <w:color w:val="000000"/>
                <w:sz w:val="18"/>
                <w:szCs w:val="18"/>
              </w:rPr>
              <w:t xml:space="preserve">Valor (bruto) da carteira </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2C3ACAAB" w14:textId="54AA38EE" w:rsidR="007D1D4E" w:rsidRPr="006C0F01" w:rsidRDefault="007D1D4E" w:rsidP="007D1D4E">
            <w:pPr>
              <w:jc w:val="right"/>
              <w:rPr>
                <w:rFonts w:asciiTheme="minorHAnsi" w:hAnsiTheme="minorHAnsi" w:cstheme="minorHAnsi"/>
                <w:sz w:val="18"/>
                <w:szCs w:val="18"/>
              </w:rPr>
            </w:pPr>
            <w:r>
              <w:rPr>
                <w:rFonts w:ascii="Calibri" w:hAnsi="Calibri" w:cs="Calibri"/>
                <w:sz w:val="18"/>
                <w:szCs w:val="18"/>
              </w:rPr>
              <w:t>110 992</w:t>
            </w:r>
          </w:p>
        </w:tc>
        <w:tc>
          <w:tcPr>
            <w:tcW w:w="1134" w:type="dxa"/>
            <w:tcBorders>
              <w:top w:val="nil"/>
              <w:left w:val="nil"/>
              <w:bottom w:val="single" w:sz="4" w:space="0" w:color="FFFFFF"/>
              <w:right w:val="single" w:sz="4" w:space="0" w:color="FFFFFF"/>
            </w:tcBorders>
            <w:shd w:val="clear" w:color="auto" w:fill="DEEAF6" w:themeFill="accent1" w:themeFillTint="33"/>
            <w:noWrap/>
            <w:vAlign w:val="center"/>
            <w:hideMark/>
          </w:tcPr>
          <w:p w14:paraId="667DCA93" w14:textId="2EC5D4E8" w:rsidR="007D1D4E" w:rsidRPr="006C0F01" w:rsidRDefault="007D1D4E" w:rsidP="007D1D4E">
            <w:pPr>
              <w:jc w:val="right"/>
              <w:rPr>
                <w:rFonts w:asciiTheme="minorHAnsi" w:hAnsiTheme="minorHAnsi" w:cstheme="minorHAnsi"/>
                <w:sz w:val="18"/>
                <w:szCs w:val="18"/>
              </w:rPr>
            </w:pPr>
            <w:r w:rsidRPr="006C0F01">
              <w:rPr>
                <w:rFonts w:asciiTheme="minorHAnsi" w:hAnsiTheme="minorHAnsi" w:cstheme="minorHAnsi"/>
                <w:sz w:val="18"/>
                <w:szCs w:val="18"/>
              </w:rPr>
              <w:t>111 397</w:t>
            </w: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02D15C0C" w14:textId="3E479706" w:rsidR="007D1D4E" w:rsidRPr="006C0F01" w:rsidRDefault="007D1D4E" w:rsidP="007D1D4E">
            <w:pPr>
              <w:jc w:val="right"/>
              <w:rPr>
                <w:rFonts w:ascii="Calibri" w:hAnsi="Calibri" w:cs="Calibri"/>
                <w:sz w:val="18"/>
                <w:szCs w:val="18"/>
              </w:rPr>
            </w:pPr>
            <w:r>
              <w:rPr>
                <w:rFonts w:ascii="Calibri" w:hAnsi="Calibri" w:cs="Calibri"/>
                <w:sz w:val="18"/>
                <w:szCs w:val="18"/>
              </w:rPr>
              <w:t>(188)</w:t>
            </w: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34C4E864" w14:textId="5B79A68E" w:rsidR="007D1D4E" w:rsidRPr="006C0F01" w:rsidRDefault="007D1D4E" w:rsidP="007D1D4E">
            <w:pPr>
              <w:jc w:val="right"/>
              <w:rPr>
                <w:rFonts w:ascii="Calibri" w:hAnsi="Calibri" w:cs="Calibri"/>
                <w:sz w:val="18"/>
                <w:szCs w:val="18"/>
              </w:rPr>
            </w:pPr>
            <w:r>
              <w:rPr>
                <w:rFonts w:ascii="Calibri" w:hAnsi="Calibri" w:cs="Calibri"/>
                <w:color w:val="000000"/>
                <w:sz w:val="18"/>
                <w:szCs w:val="18"/>
              </w:rPr>
              <w:t>(0%)</w:t>
            </w:r>
          </w:p>
        </w:tc>
      </w:tr>
      <w:tr w:rsidR="007D1D4E" w:rsidRPr="00E275E6" w14:paraId="78EA08F1"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7891C5ED" w14:textId="77777777" w:rsidR="007D1D4E" w:rsidRPr="00A027FB" w:rsidRDefault="007D1D4E" w:rsidP="007D1D4E">
            <w:pPr>
              <w:ind w:firstLineChars="100" w:firstLine="180"/>
              <w:rPr>
                <w:rFonts w:asciiTheme="minorHAnsi" w:hAnsiTheme="minorHAnsi" w:cstheme="minorHAnsi"/>
                <w:color w:val="000000"/>
                <w:sz w:val="18"/>
                <w:szCs w:val="18"/>
              </w:rPr>
            </w:pPr>
            <w:r w:rsidRPr="00A027FB">
              <w:rPr>
                <w:rFonts w:asciiTheme="minorHAnsi" w:hAnsiTheme="minorHAnsi" w:cstheme="minorHAnsi"/>
                <w:color w:val="000000"/>
                <w:sz w:val="18"/>
                <w:szCs w:val="18"/>
              </w:rPr>
              <w:t xml:space="preserve">Imparidades da carteira </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0B6315C1" w14:textId="407D824C" w:rsidR="007D1D4E" w:rsidRPr="006C0F01" w:rsidRDefault="007D1D4E" w:rsidP="007D1D4E">
            <w:pPr>
              <w:jc w:val="right"/>
              <w:rPr>
                <w:rFonts w:asciiTheme="minorHAnsi" w:hAnsiTheme="minorHAnsi" w:cstheme="minorHAnsi"/>
                <w:sz w:val="18"/>
                <w:szCs w:val="18"/>
              </w:rPr>
            </w:pPr>
            <w:r>
              <w:rPr>
                <w:rFonts w:ascii="Calibri" w:hAnsi="Calibri" w:cs="Calibri"/>
                <w:sz w:val="18"/>
                <w:szCs w:val="18"/>
              </w:rPr>
              <w:t>(11 393)</w:t>
            </w:r>
          </w:p>
        </w:tc>
        <w:tc>
          <w:tcPr>
            <w:tcW w:w="1134" w:type="dxa"/>
            <w:tcBorders>
              <w:top w:val="nil"/>
              <w:left w:val="nil"/>
              <w:bottom w:val="single" w:sz="4" w:space="0" w:color="FFFFFF"/>
              <w:right w:val="single" w:sz="4" w:space="0" w:color="FFFFFF"/>
            </w:tcBorders>
            <w:shd w:val="clear" w:color="auto" w:fill="DEEAF6" w:themeFill="accent1" w:themeFillTint="33"/>
            <w:noWrap/>
            <w:vAlign w:val="center"/>
            <w:hideMark/>
          </w:tcPr>
          <w:p w14:paraId="7346477B" w14:textId="7E7E5E61" w:rsidR="007D1D4E" w:rsidRPr="006C0F01" w:rsidRDefault="007D1D4E" w:rsidP="007D1D4E">
            <w:pPr>
              <w:jc w:val="right"/>
              <w:rPr>
                <w:rFonts w:asciiTheme="minorHAnsi" w:hAnsiTheme="minorHAnsi" w:cstheme="minorHAnsi"/>
                <w:sz w:val="18"/>
                <w:szCs w:val="18"/>
              </w:rPr>
            </w:pPr>
            <w:r w:rsidRPr="006C0F01">
              <w:rPr>
                <w:rFonts w:asciiTheme="minorHAnsi" w:hAnsiTheme="minorHAnsi" w:cstheme="minorHAnsi"/>
                <w:sz w:val="18"/>
                <w:szCs w:val="18"/>
              </w:rPr>
              <w:t>(18 995)</w:t>
            </w: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6A3126A1" w14:textId="64F78C92" w:rsidR="007D1D4E" w:rsidRPr="006C0F01" w:rsidRDefault="007D1D4E" w:rsidP="007D1D4E">
            <w:pPr>
              <w:jc w:val="right"/>
              <w:rPr>
                <w:rFonts w:ascii="Calibri" w:hAnsi="Calibri" w:cs="Calibri"/>
                <w:sz w:val="18"/>
                <w:szCs w:val="18"/>
              </w:rPr>
            </w:pPr>
            <w:r>
              <w:rPr>
                <w:rFonts w:ascii="Calibri" w:hAnsi="Calibri" w:cs="Calibri"/>
                <w:sz w:val="18"/>
                <w:szCs w:val="18"/>
              </w:rPr>
              <w:t>7 601</w:t>
            </w: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7AA3CC85" w14:textId="07D8A7F7" w:rsidR="007D1D4E" w:rsidRPr="006C0F01" w:rsidRDefault="007D1D4E" w:rsidP="007D1D4E">
            <w:pPr>
              <w:jc w:val="right"/>
              <w:rPr>
                <w:rFonts w:ascii="Calibri" w:hAnsi="Calibri" w:cs="Calibri"/>
                <w:sz w:val="18"/>
                <w:szCs w:val="18"/>
              </w:rPr>
            </w:pPr>
            <w:r>
              <w:rPr>
                <w:rFonts w:ascii="Calibri" w:hAnsi="Calibri" w:cs="Calibri"/>
                <w:color w:val="000000"/>
                <w:sz w:val="18"/>
                <w:szCs w:val="18"/>
              </w:rPr>
              <w:t>40%</w:t>
            </w:r>
          </w:p>
        </w:tc>
      </w:tr>
      <w:tr w:rsidR="006C0F01" w:rsidRPr="00E275E6" w14:paraId="2AC7094B"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456604DB" w14:textId="77777777" w:rsidR="006C0F01" w:rsidRPr="00A027FB" w:rsidRDefault="006C0F01" w:rsidP="006C0F01">
            <w:pPr>
              <w:ind w:firstLineChars="100" w:firstLine="180"/>
              <w:rPr>
                <w:rFonts w:asciiTheme="minorHAnsi" w:hAnsiTheme="minorHAnsi" w:cstheme="minorHAnsi"/>
                <w:color w:val="000000"/>
                <w:sz w:val="18"/>
                <w:szCs w:val="18"/>
              </w:rPr>
            </w:pPr>
            <w:r w:rsidRPr="00A027FB">
              <w:rPr>
                <w:rFonts w:asciiTheme="minorHAnsi" w:hAnsiTheme="minorHAnsi" w:cstheme="minorHAnsi"/>
                <w:color w:val="000000"/>
                <w:sz w:val="18"/>
                <w:szCs w:val="18"/>
              </w:rPr>
              <w:t>Número de imóveis</w:t>
            </w:r>
            <w:r w:rsidRPr="00A027FB">
              <w:rPr>
                <w:rFonts w:asciiTheme="minorHAnsi" w:hAnsiTheme="minorHAnsi" w:cstheme="minorHAnsi"/>
                <w:color w:val="000000"/>
                <w:sz w:val="18"/>
                <w:szCs w:val="18"/>
                <w:vertAlign w:val="superscript"/>
              </w:rPr>
              <w:t xml:space="preserve"> </w:t>
            </w:r>
            <w:r w:rsidRPr="00A027FB">
              <w:rPr>
                <w:rFonts w:asciiTheme="minorHAnsi" w:hAnsiTheme="minorHAnsi" w:cstheme="minorHAnsi"/>
                <w:color w:val="000000"/>
                <w:sz w:val="18"/>
                <w:szCs w:val="18"/>
              </w:rPr>
              <w:t>em carteira</w:t>
            </w:r>
            <w:r w:rsidRPr="00A027FB">
              <w:rPr>
                <w:rFonts w:asciiTheme="minorHAnsi" w:hAnsiTheme="minorHAnsi" w:cstheme="minorHAnsi"/>
                <w:color w:val="000000"/>
                <w:sz w:val="18"/>
                <w:szCs w:val="18"/>
                <w:vertAlign w:val="superscript"/>
              </w:rPr>
              <w:t xml:space="preserve"> *</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09E37798" w14:textId="0B0F4541" w:rsidR="006C0F01" w:rsidRPr="006C0F01" w:rsidRDefault="006C0F01" w:rsidP="006C0F01">
            <w:pPr>
              <w:jc w:val="right"/>
              <w:rPr>
                <w:rFonts w:asciiTheme="minorHAnsi" w:hAnsiTheme="minorHAnsi" w:cstheme="minorHAnsi"/>
                <w:sz w:val="18"/>
                <w:szCs w:val="18"/>
              </w:rPr>
            </w:pPr>
            <w:r w:rsidRPr="006C0F01">
              <w:rPr>
                <w:rFonts w:asciiTheme="minorHAnsi" w:hAnsiTheme="minorHAnsi" w:cstheme="minorHAnsi"/>
                <w:sz w:val="18"/>
                <w:szCs w:val="18"/>
              </w:rPr>
              <w:t>411 </w:t>
            </w:r>
          </w:p>
        </w:tc>
        <w:tc>
          <w:tcPr>
            <w:tcW w:w="1134" w:type="dxa"/>
            <w:tcBorders>
              <w:top w:val="nil"/>
              <w:left w:val="nil"/>
              <w:bottom w:val="single" w:sz="4" w:space="0" w:color="FFFFFF"/>
              <w:right w:val="single" w:sz="4" w:space="0" w:color="FFFFFF"/>
            </w:tcBorders>
            <w:shd w:val="clear" w:color="auto" w:fill="DEEAF6" w:themeFill="accent1" w:themeFillTint="33"/>
            <w:noWrap/>
            <w:vAlign w:val="center"/>
            <w:hideMark/>
          </w:tcPr>
          <w:p w14:paraId="766FC7F9" w14:textId="4A03C8EF" w:rsidR="006C0F01" w:rsidRPr="006C0F01" w:rsidRDefault="006C0F01" w:rsidP="006C0F01">
            <w:pPr>
              <w:jc w:val="right"/>
              <w:rPr>
                <w:rFonts w:asciiTheme="minorHAnsi" w:hAnsiTheme="minorHAnsi" w:cstheme="minorHAnsi"/>
                <w:sz w:val="18"/>
                <w:szCs w:val="18"/>
              </w:rPr>
            </w:pPr>
            <w:r w:rsidRPr="006C0F01">
              <w:rPr>
                <w:rFonts w:asciiTheme="minorHAnsi" w:hAnsiTheme="minorHAnsi" w:cstheme="minorHAnsi"/>
                <w:sz w:val="18"/>
                <w:szCs w:val="18"/>
              </w:rPr>
              <w:t>571</w:t>
            </w: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39579FC8" w14:textId="2631C273" w:rsidR="006C0F01" w:rsidRPr="006C0F01" w:rsidRDefault="006C0F01" w:rsidP="006C0F01">
            <w:pPr>
              <w:jc w:val="right"/>
              <w:rPr>
                <w:rFonts w:ascii="Calibri" w:hAnsi="Calibri" w:cs="Calibri"/>
                <w:sz w:val="18"/>
                <w:szCs w:val="18"/>
              </w:rPr>
            </w:pPr>
            <w:r w:rsidRPr="006C0F01">
              <w:rPr>
                <w:rFonts w:ascii="Calibri" w:hAnsi="Calibri" w:cs="Calibri"/>
                <w:sz w:val="18"/>
                <w:szCs w:val="18"/>
              </w:rPr>
              <w:t>(160)</w:t>
            </w: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71998D1A" w14:textId="626D3E3A" w:rsidR="006C0F01" w:rsidRPr="006C0F01" w:rsidRDefault="006C0F01" w:rsidP="006C0F01">
            <w:pPr>
              <w:jc w:val="right"/>
              <w:rPr>
                <w:rFonts w:ascii="Calibri" w:hAnsi="Calibri" w:cs="Calibri"/>
                <w:sz w:val="18"/>
                <w:szCs w:val="18"/>
              </w:rPr>
            </w:pPr>
            <w:r w:rsidRPr="006C0F01">
              <w:rPr>
                <w:rFonts w:ascii="Calibri" w:hAnsi="Calibri" w:cs="Calibri"/>
                <w:color w:val="000000"/>
                <w:sz w:val="18"/>
                <w:szCs w:val="18"/>
              </w:rPr>
              <w:t>(28%)</w:t>
            </w:r>
          </w:p>
        </w:tc>
      </w:tr>
      <w:tr w:rsidR="001E4F8A" w:rsidRPr="00E275E6" w14:paraId="611C803F"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30BC5CFC" w14:textId="77777777" w:rsidR="001E4F8A" w:rsidRPr="00522B7B" w:rsidRDefault="001E4F8A" w:rsidP="001E4F8A">
            <w:pPr>
              <w:ind w:left="214"/>
              <w:rPr>
                <w:rFonts w:asciiTheme="minorHAnsi" w:hAnsiTheme="minorHAnsi" w:cstheme="minorHAnsi"/>
                <w:sz w:val="16"/>
                <w:szCs w:val="16"/>
                <w:vertAlign w:val="superscript"/>
              </w:rPr>
            </w:pPr>
            <w:r w:rsidRPr="00522B7B">
              <w:rPr>
                <w:rFonts w:asciiTheme="minorHAnsi" w:hAnsiTheme="minorHAnsi" w:cstheme="minorHAnsi"/>
                <w:sz w:val="16"/>
                <w:szCs w:val="16"/>
                <w:vertAlign w:val="superscript"/>
              </w:rPr>
              <w:t xml:space="preserve">* </w:t>
            </w:r>
            <w:proofErr w:type="spellStart"/>
            <w:r w:rsidRPr="00522B7B">
              <w:rPr>
                <w:rFonts w:asciiTheme="minorHAnsi" w:hAnsiTheme="minorHAnsi" w:cstheme="minorHAnsi"/>
                <w:sz w:val="16"/>
                <w:szCs w:val="16"/>
              </w:rPr>
              <w:t>nr</w:t>
            </w:r>
            <w:proofErr w:type="spellEnd"/>
            <w:r w:rsidRPr="00522B7B">
              <w:rPr>
                <w:rFonts w:asciiTheme="minorHAnsi" w:hAnsiTheme="minorHAnsi" w:cstheme="minorHAnsi"/>
                <w:sz w:val="16"/>
                <w:szCs w:val="16"/>
              </w:rPr>
              <w:t xml:space="preserve"> de artigos matriciais</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4548081D" w14:textId="77777777" w:rsidR="001E4F8A" w:rsidRPr="006C0F01" w:rsidRDefault="001E4F8A" w:rsidP="001E4F8A">
            <w:pPr>
              <w:rPr>
                <w:rFonts w:asciiTheme="minorHAnsi" w:hAnsiTheme="minorHAnsi" w:cstheme="minorHAnsi"/>
                <w:sz w:val="18"/>
                <w:szCs w:val="18"/>
                <w:vertAlign w:val="superscript"/>
              </w:rPr>
            </w:pPr>
          </w:p>
        </w:tc>
        <w:tc>
          <w:tcPr>
            <w:tcW w:w="1134" w:type="dxa"/>
            <w:tcBorders>
              <w:top w:val="nil"/>
              <w:left w:val="nil"/>
              <w:bottom w:val="single" w:sz="4" w:space="0" w:color="FFFFFF"/>
              <w:right w:val="single" w:sz="4" w:space="0" w:color="FFFFFF"/>
            </w:tcBorders>
            <w:shd w:val="clear" w:color="auto" w:fill="DEEAF6" w:themeFill="accent1" w:themeFillTint="33"/>
            <w:noWrap/>
            <w:vAlign w:val="center"/>
            <w:hideMark/>
          </w:tcPr>
          <w:p w14:paraId="776C0ED5" w14:textId="77777777" w:rsidR="001E4F8A" w:rsidRPr="006C0F01" w:rsidRDefault="001E4F8A" w:rsidP="001E4F8A">
            <w:pPr>
              <w:rPr>
                <w:rFonts w:asciiTheme="minorHAnsi" w:hAnsiTheme="minorHAnsi" w:cstheme="minorHAnsi"/>
                <w:sz w:val="18"/>
                <w:szCs w:val="18"/>
                <w:vertAlign w:val="superscript"/>
              </w:rPr>
            </w:pP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0781FA77" w14:textId="77777777" w:rsidR="001E4F8A" w:rsidRPr="006C0F01" w:rsidRDefault="001E4F8A" w:rsidP="001E4F8A">
            <w:pPr>
              <w:rPr>
                <w:rFonts w:asciiTheme="minorHAnsi" w:hAnsiTheme="minorHAnsi" w:cstheme="minorHAnsi"/>
                <w:sz w:val="18"/>
                <w:szCs w:val="18"/>
                <w:vertAlign w:val="superscript"/>
              </w:rPr>
            </w:pP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20726F17" w14:textId="77777777" w:rsidR="001E4F8A" w:rsidRPr="006C0F01" w:rsidRDefault="001E4F8A" w:rsidP="001E4F8A">
            <w:pPr>
              <w:rPr>
                <w:rFonts w:asciiTheme="minorHAnsi" w:hAnsiTheme="minorHAnsi" w:cstheme="minorHAnsi"/>
                <w:sz w:val="18"/>
                <w:szCs w:val="18"/>
                <w:vertAlign w:val="superscript"/>
              </w:rPr>
            </w:pPr>
          </w:p>
        </w:tc>
      </w:tr>
      <w:tr w:rsidR="001E4F8A" w:rsidRPr="00E275E6" w14:paraId="65773456"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tcPr>
          <w:p w14:paraId="1D70E840" w14:textId="77777777" w:rsidR="001E4F8A" w:rsidRPr="00E275E6" w:rsidRDefault="001E4F8A" w:rsidP="001E4F8A">
            <w:pPr>
              <w:rPr>
                <w:rFonts w:asciiTheme="minorHAnsi" w:hAnsiTheme="minorHAnsi" w:cstheme="minorHAnsi"/>
                <w:b/>
                <w:bCs/>
                <w:color w:val="000000"/>
                <w:sz w:val="18"/>
                <w:szCs w:val="18"/>
              </w:rPr>
            </w:pP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0F8AA04B" w14:textId="77777777" w:rsidR="001E4F8A" w:rsidRPr="006C0F01" w:rsidRDefault="001E4F8A" w:rsidP="001E4F8A">
            <w:pPr>
              <w:jc w:val="right"/>
              <w:rPr>
                <w:rFonts w:asciiTheme="minorHAnsi" w:hAnsiTheme="minorHAnsi" w:cstheme="minorHAnsi"/>
                <w:sz w:val="18"/>
                <w:szCs w:val="18"/>
              </w:rPr>
            </w:pPr>
          </w:p>
        </w:tc>
        <w:tc>
          <w:tcPr>
            <w:tcW w:w="1134" w:type="dxa"/>
            <w:tcBorders>
              <w:top w:val="nil"/>
              <w:left w:val="nil"/>
              <w:bottom w:val="single" w:sz="4" w:space="0" w:color="FFFFFF"/>
              <w:right w:val="single" w:sz="4" w:space="0" w:color="FFFFFF"/>
            </w:tcBorders>
            <w:shd w:val="clear" w:color="auto" w:fill="DEEAF6" w:themeFill="accent1" w:themeFillTint="33"/>
            <w:noWrap/>
            <w:vAlign w:val="center"/>
          </w:tcPr>
          <w:p w14:paraId="543403D5" w14:textId="77777777" w:rsidR="001E4F8A" w:rsidRPr="006C0F01" w:rsidRDefault="001E4F8A" w:rsidP="001E4F8A">
            <w:pPr>
              <w:jc w:val="right"/>
              <w:rPr>
                <w:rFonts w:asciiTheme="minorHAnsi" w:hAnsiTheme="minorHAnsi" w:cstheme="minorHAnsi"/>
                <w:sz w:val="18"/>
                <w:szCs w:val="18"/>
              </w:rPr>
            </w:pP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6A83F11F" w14:textId="77777777" w:rsidR="001E4F8A" w:rsidRPr="006C0F01" w:rsidRDefault="001E4F8A" w:rsidP="001E4F8A">
            <w:pPr>
              <w:jc w:val="right"/>
              <w:rPr>
                <w:rFonts w:asciiTheme="minorHAnsi" w:hAnsiTheme="minorHAnsi" w:cstheme="minorHAnsi"/>
                <w:sz w:val="18"/>
                <w:szCs w:val="18"/>
              </w:rPr>
            </w:pP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62C61DEF" w14:textId="77777777" w:rsidR="001E4F8A" w:rsidRPr="006C0F01" w:rsidRDefault="001E4F8A" w:rsidP="001E4F8A">
            <w:pPr>
              <w:jc w:val="right"/>
              <w:rPr>
                <w:rFonts w:asciiTheme="minorHAnsi" w:hAnsiTheme="minorHAnsi" w:cstheme="minorHAnsi"/>
                <w:sz w:val="18"/>
                <w:szCs w:val="18"/>
              </w:rPr>
            </w:pPr>
          </w:p>
        </w:tc>
      </w:tr>
      <w:tr w:rsidR="001E4F8A" w:rsidRPr="00E275E6" w14:paraId="117DF53E"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291FB144" w14:textId="77777777" w:rsidR="001E4F8A" w:rsidRPr="00E275E6" w:rsidRDefault="001E4F8A" w:rsidP="001E4F8A">
            <w:pPr>
              <w:rPr>
                <w:rFonts w:asciiTheme="minorHAnsi" w:hAnsiTheme="minorHAnsi" w:cstheme="minorHAnsi"/>
                <w:b/>
                <w:bCs/>
                <w:color w:val="000000"/>
                <w:sz w:val="18"/>
                <w:szCs w:val="18"/>
              </w:rPr>
            </w:pPr>
            <w:r w:rsidRPr="00E275E6">
              <w:rPr>
                <w:rFonts w:asciiTheme="minorHAnsi" w:hAnsiTheme="minorHAnsi" w:cstheme="minorHAnsi"/>
                <w:b/>
                <w:bCs/>
                <w:color w:val="000000"/>
                <w:sz w:val="18"/>
                <w:szCs w:val="18"/>
              </w:rPr>
              <w:t>PARTICIPAÇÕES FINANCEIRAS</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3FE0585E" w14:textId="77777777" w:rsidR="001E4F8A" w:rsidRPr="006C0F01" w:rsidRDefault="001E4F8A" w:rsidP="001E4F8A">
            <w:pPr>
              <w:jc w:val="right"/>
              <w:rPr>
                <w:rFonts w:asciiTheme="minorHAnsi" w:hAnsiTheme="minorHAnsi" w:cstheme="minorHAnsi"/>
                <w:sz w:val="18"/>
                <w:szCs w:val="18"/>
              </w:rPr>
            </w:pPr>
          </w:p>
        </w:tc>
        <w:tc>
          <w:tcPr>
            <w:tcW w:w="1134" w:type="dxa"/>
            <w:tcBorders>
              <w:top w:val="nil"/>
              <w:left w:val="nil"/>
              <w:bottom w:val="single" w:sz="4" w:space="0" w:color="FFFFFF"/>
              <w:right w:val="single" w:sz="4" w:space="0" w:color="FFFFFF"/>
            </w:tcBorders>
            <w:shd w:val="clear" w:color="auto" w:fill="DEEAF6" w:themeFill="accent1" w:themeFillTint="33"/>
            <w:noWrap/>
            <w:vAlign w:val="center"/>
            <w:hideMark/>
          </w:tcPr>
          <w:p w14:paraId="1CAADFBF" w14:textId="77777777" w:rsidR="001E4F8A" w:rsidRPr="006C0F01" w:rsidRDefault="001E4F8A" w:rsidP="001E4F8A">
            <w:pPr>
              <w:jc w:val="right"/>
              <w:rPr>
                <w:rFonts w:asciiTheme="minorHAnsi" w:hAnsiTheme="minorHAnsi" w:cstheme="minorHAnsi"/>
                <w:sz w:val="18"/>
                <w:szCs w:val="18"/>
              </w:rPr>
            </w:pP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625674CE" w14:textId="77777777" w:rsidR="001E4F8A" w:rsidRPr="006C0F01" w:rsidRDefault="001E4F8A" w:rsidP="001E4F8A">
            <w:pPr>
              <w:jc w:val="right"/>
              <w:rPr>
                <w:rFonts w:asciiTheme="minorHAnsi" w:hAnsiTheme="minorHAnsi" w:cstheme="minorHAnsi"/>
                <w:sz w:val="18"/>
                <w:szCs w:val="18"/>
              </w:rPr>
            </w:pP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29CBFB8C" w14:textId="77777777" w:rsidR="001E4F8A" w:rsidRPr="006C0F01" w:rsidRDefault="001E4F8A" w:rsidP="001E4F8A">
            <w:pPr>
              <w:jc w:val="right"/>
              <w:rPr>
                <w:rFonts w:asciiTheme="minorHAnsi" w:hAnsiTheme="minorHAnsi" w:cstheme="minorHAnsi"/>
                <w:sz w:val="18"/>
                <w:szCs w:val="18"/>
              </w:rPr>
            </w:pPr>
          </w:p>
        </w:tc>
      </w:tr>
      <w:tr w:rsidR="0067066B" w:rsidRPr="00E275E6" w14:paraId="097CF6EB"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2835F4A9" w14:textId="56D6AC19" w:rsidR="0067066B" w:rsidRPr="00E275E6" w:rsidRDefault="0067066B" w:rsidP="0067066B">
            <w:pPr>
              <w:ind w:firstLineChars="100" w:firstLine="180"/>
              <w:rPr>
                <w:rFonts w:asciiTheme="minorHAnsi" w:hAnsiTheme="minorHAnsi" w:cstheme="minorHAnsi"/>
                <w:color w:val="000000"/>
                <w:sz w:val="18"/>
                <w:szCs w:val="18"/>
              </w:rPr>
            </w:pPr>
            <w:r w:rsidRPr="00E275E6">
              <w:rPr>
                <w:rFonts w:asciiTheme="minorHAnsi" w:hAnsiTheme="minorHAnsi" w:cstheme="minorHAnsi"/>
                <w:color w:val="000000"/>
                <w:sz w:val="18"/>
                <w:szCs w:val="18"/>
              </w:rPr>
              <w:t>Recebimentos (</w:t>
            </w:r>
            <w:proofErr w:type="spellStart"/>
            <w:r w:rsidRPr="00E275E6">
              <w:rPr>
                <w:rFonts w:asciiTheme="minorHAnsi" w:hAnsiTheme="minorHAnsi" w:cstheme="minorHAnsi"/>
                <w:color w:val="000000"/>
                <w:sz w:val="18"/>
                <w:szCs w:val="18"/>
              </w:rPr>
              <w:t>distrib</w:t>
            </w:r>
            <w:proofErr w:type="spellEnd"/>
            <w:r w:rsidRPr="00E275E6">
              <w:rPr>
                <w:rFonts w:asciiTheme="minorHAnsi" w:hAnsiTheme="minorHAnsi" w:cstheme="minorHAnsi"/>
                <w:color w:val="000000"/>
                <w:sz w:val="18"/>
                <w:szCs w:val="18"/>
              </w:rPr>
              <w:t xml:space="preserve">. de capital, </w:t>
            </w:r>
            <w:proofErr w:type="spellStart"/>
            <w:r w:rsidRPr="00E275E6">
              <w:rPr>
                <w:rFonts w:asciiTheme="minorHAnsi" w:hAnsiTheme="minorHAnsi" w:cstheme="minorHAnsi"/>
                <w:color w:val="000000"/>
                <w:sz w:val="18"/>
                <w:szCs w:val="18"/>
              </w:rPr>
              <w:t>rend</w:t>
            </w:r>
            <w:proofErr w:type="spellEnd"/>
            <w:r w:rsidR="00F7627C">
              <w:rPr>
                <w:rFonts w:asciiTheme="minorHAnsi" w:hAnsiTheme="minorHAnsi" w:cstheme="minorHAnsi"/>
                <w:color w:val="000000"/>
                <w:sz w:val="18"/>
                <w:szCs w:val="18"/>
              </w:rPr>
              <w:t>.</w:t>
            </w:r>
            <w:r w:rsidRPr="00E275E6">
              <w:rPr>
                <w:rFonts w:asciiTheme="minorHAnsi" w:hAnsiTheme="minorHAnsi" w:cstheme="minorHAnsi"/>
                <w:color w:val="000000"/>
                <w:sz w:val="18"/>
                <w:szCs w:val="18"/>
              </w:rPr>
              <w:t xml:space="preserve"> e </w:t>
            </w:r>
            <w:r w:rsidR="00F7627C">
              <w:rPr>
                <w:rFonts w:asciiTheme="minorHAnsi" w:hAnsiTheme="minorHAnsi" w:cstheme="minorHAnsi"/>
                <w:color w:val="000000"/>
                <w:sz w:val="18"/>
                <w:szCs w:val="18"/>
              </w:rPr>
              <w:t>alienações)</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1A97EE4B" w14:textId="3760AE67" w:rsidR="0067066B" w:rsidRPr="0067066B" w:rsidRDefault="0067066B" w:rsidP="0067066B">
            <w:pPr>
              <w:jc w:val="right"/>
              <w:rPr>
                <w:rFonts w:ascii="Calibri" w:hAnsi="Calibri" w:cs="Calibri"/>
                <w:sz w:val="18"/>
                <w:szCs w:val="18"/>
              </w:rPr>
            </w:pPr>
            <w:r w:rsidRPr="0067066B">
              <w:rPr>
                <w:rFonts w:ascii="Calibri" w:hAnsi="Calibri" w:cs="Calibri"/>
                <w:sz w:val="18"/>
                <w:szCs w:val="18"/>
              </w:rPr>
              <w:t>34 331</w:t>
            </w:r>
          </w:p>
          <w:p w14:paraId="38F7C685" w14:textId="4816EAC1" w:rsidR="0067066B" w:rsidRPr="0067066B" w:rsidRDefault="0067066B" w:rsidP="0067066B">
            <w:pPr>
              <w:jc w:val="right"/>
              <w:rPr>
                <w:rFonts w:ascii="Calibri" w:hAnsi="Calibri" w:cs="Calibri"/>
                <w:sz w:val="18"/>
                <w:szCs w:val="18"/>
              </w:rPr>
            </w:pPr>
          </w:p>
        </w:tc>
        <w:tc>
          <w:tcPr>
            <w:tcW w:w="1134" w:type="dxa"/>
            <w:tcBorders>
              <w:top w:val="nil"/>
              <w:left w:val="nil"/>
              <w:bottom w:val="single" w:sz="4" w:space="0" w:color="FFFFFF"/>
              <w:right w:val="single" w:sz="4" w:space="0" w:color="FFFFFF"/>
            </w:tcBorders>
            <w:shd w:val="clear" w:color="auto" w:fill="DEEAF6" w:themeFill="accent1" w:themeFillTint="33"/>
            <w:noWrap/>
            <w:vAlign w:val="center"/>
            <w:hideMark/>
          </w:tcPr>
          <w:p w14:paraId="1487AEF7" w14:textId="5587ABBB" w:rsidR="0067066B" w:rsidRPr="006C0F01" w:rsidRDefault="0067066B" w:rsidP="0067066B">
            <w:pPr>
              <w:jc w:val="right"/>
              <w:rPr>
                <w:rFonts w:asciiTheme="minorHAnsi" w:hAnsiTheme="minorHAnsi" w:cstheme="minorHAnsi"/>
                <w:sz w:val="18"/>
                <w:szCs w:val="18"/>
              </w:rPr>
            </w:pPr>
            <w:r w:rsidRPr="006C0F01">
              <w:rPr>
                <w:rFonts w:asciiTheme="minorHAnsi" w:hAnsiTheme="minorHAnsi" w:cstheme="minorHAnsi"/>
                <w:sz w:val="18"/>
                <w:szCs w:val="18"/>
              </w:rPr>
              <w:t>10 503</w:t>
            </w: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344FFA9F" w14:textId="2012B023" w:rsidR="0067066B" w:rsidRPr="006C0F01" w:rsidRDefault="0067066B" w:rsidP="0067066B">
            <w:pPr>
              <w:jc w:val="right"/>
              <w:rPr>
                <w:rFonts w:asciiTheme="minorHAnsi" w:hAnsiTheme="minorHAnsi" w:cstheme="minorHAnsi"/>
                <w:sz w:val="18"/>
                <w:szCs w:val="18"/>
              </w:rPr>
            </w:pPr>
            <w:r>
              <w:rPr>
                <w:rFonts w:ascii="Calibri" w:hAnsi="Calibri" w:cs="Calibri"/>
                <w:sz w:val="18"/>
                <w:szCs w:val="18"/>
              </w:rPr>
              <w:t>23 828</w:t>
            </w: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7B4E64C6" w14:textId="07FBFDD8" w:rsidR="0067066B" w:rsidRPr="006C0F01" w:rsidRDefault="0067066B" w:rsidP="0067066B">
            <w:pPr>
              <w:jc w:val="right"/>
              <w:rPr>
                <w:rFonts w:asciiTheme="minorHAnsi" w:hAnsiTheme="minorHAnsi" w:cstheme="minorHAnsi"/>
                <w:sz w:val="18"/>
                <w:szCs w:val="18"/>
              </w:rPr>
            </w:pPr>
            <w:r>
              <w:rPr>
                <w:rFonts w:ascii="Calibri" w:hAnsi="Calibri" w:cs="Calibri"/>
                <w:color w:val="000000"/>
                <w:sz w:val="18"/>
                <w:szCs w:val="18"/>
              </w:rPr>
              <w:t>227%</w:t>
            </w:r>
          </w:p>
        </w:tc>
      </w:tr>
      <w:tr w:rsidR="007D1D4E" w:rsidRPr="00E275E6" w14:paraId="633A11DE"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26B398A8" w14:textId="77777777" w:rsidR="007D1D4E" w:rsidRPr="00E275E6" w:rsidRDefault="007D1D4E" w:rsidP="007D1D4E">
            <w:pPr>
              <w:ind w:firstLineChars="100" w:firstLine="180"/>
              <w:rPr>
                <w:rFonts w:asciiTheme="minorHAnsi" w:hAnsiTheme="minorHAnsi" w:cstheme="minorHAnsi"/>
                <w:color w:val="000000"/>
                <w:sz w:val="18"/>
                <w:szCs w:val="18"/>
              </w:rPr>
            </w:pPr>
            <w:r w:rsidRPr="00E275E6">
              <w:rPr>
                <w:rFonts w:asciiTheme="minorHAnsi" w:hAnsiTheme="minorHAnsi" w:cstheme="minorHAnsi"/>
                <w:color w:val="000000"/>
                <w:sz w:val="18"/>
                <w:szCs w:val="18"/>
              </w:rPr>
              <w:t>Valor contabilístico de balanço</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52F420AC" w14:textId="41CCE117" w:rsidR="007D1D4E" w:rsidRPr="006C0F01" w:rsidRDefault="007D1D4E" w:rsidP="007D1D4E">
            <w:pPr>
              <w:jc w:val="right"/>
              <w:rPr>
                <w:rFonts w:asciiTheme="minorHAnsi" w:hAnsiTheme="minorHAnsi" w:cstheme="minorHAnsi"/>
                <w:sz w:val="18"/>
                <w:szCs w:val="18"/>
              </w:rPr>
            </w:pPr>
            <w:r>
              <w:rPr>
                <w:rFonts w:asciiTheme="minorHAnsi" w:hAnsiTheme="minorHAnsi" w:cstheme="minorHAnsi"/>
                <w:sz w:val="18"/>
                <w:szCs w:val="18"/>
              </w:rPr>
              <w:t>238 99</w:t>
            </w:r>
            <w:r w:rsidR="00375A76">
              <w:rPr>
                <w:rFonts w:asciiTheme="minorHAnsi" w:hAnsiTheme="minorHAnsi" w:cstheme="minorHAnsi"/>
                <w:sz w:val="18"/>
                <w:szCs w:val="18"/>
              </w:rPr>
              <w:t>0</w:t>
            </w:r>
          </w:p>
        </w:tc>
        <w:tc>
          <w:tcPr>
            <w:tcW w:w="1134" w:type="dxa"/>
            <w:tcBorders>
              <w:top w:val="nil"/>
              <w:left w:val="nil"/>
              <w:bottom w:val="single" w:sz="4" w:space="0" w:color="FFFFFF"/>
              <w:right w:val="single" w:sz="4" w:space="0" w:color="FFFFFF"/>
            </w:tcBorders>
            <w:shd w:val="clear" w:color="auto" w:fill="DEEAF6" w:themeFill="accent1" w:themeFillTint="33"/>
            <w:noWrap/>
            <w:vAlign w:val="center"/>
            <w:hideMark/>
          </w:tcPr>
          <w:p w14:paraId="7A9656CC" w14:textId="6F7D2820" w:rsidR="007D1D4E" w:rsidRPr="006C0F01" w:rsidRDefault="007D1D4E" w:rsidP="007D1D4E">
            <w:pPr>
              <w:jc w:val="right"/>
              <w:rPr>
                <w:rFonts w:asciiTheme="minorHAnsi" w:hAnsiTheme="minorHAnsi" w:cstheme="minorHAnsi"/>
                <w:sz w:val="18"/>
                <w:szCs w:val="18"/>
              </w:rPr>
            </w:pPr>
            <w:r w:rsidRPr="006C0F01">
              <w:rPr>
                <w:rFonts w:asciiTheme="minorHAnsi" w:hAnsiTheme="minorHAnsi" w:cstheme="minorHAnsi"/>
                <w:sz w:val="18"/>
                <w:szCs w:val="18"/>
              </w:rPr>
              <w:t>264 518</w:t>
            </w: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748CDB06" w14:textId="762D6074" w:rsidR="007D1D4E" w:rsidRPr="006C0F01" w:rsidRDefault="007D1D4E" w:rsidP="007D1D4E">
            <w:pPr>
              <w:jc w:val="right"/>
              <w:rPr>
                <w:rFonts w:asciiTheme="minorHAnsi" w:hAnsiTheme="minorHAnsi" w:cstheme="minorHAnsi"/>
                <w:sz w:val="18"/>
                <w:szCs w:val="18"/>
              </w:rPr>
            </w:pPr>
            <w:r>
              <w:rPr>
                <w:rFonts w:ascii="Calibri" w:hAnsi="Calibri" w:cs="Calibri"/>
                <w:sz w:val="18"/>
                <w:szCs w:val="18"/>
              </w:rPr>
              <w:t>(25 527)</w:t>
            </w: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5ABB6C64" w14:textId="45DA2F16" w:rsidR="007D1D4E" w:rsidRPr="006C0F01" w:rsidRDefault="007D1D4E" w:rsidP="007D1D4E">
            <w:pPr>
              <w:jc w:val="right"/>
              <w:rPr>
                <w:rFonts w:asciiTheme="minorHAnsi" w:hAnsiTheme="minorHAnsi" w:cstheme="minorHAnsi"/>
                <w:sz w:val="18"/>
                <w:szCs w:val="18"/>
              </w:rPr>
            </w:pPr>
            <w:r>
              <w:rPr>
                <w:rFonts w:ascii="Calibri" w:hAnsi="Calibri" w:cs="Calibri"/>
                <w:color w:val="000000"/>
                <w:sz w:val="18"/>
                <w:szCs w:val="18"/>
              </w:rPr>
              <w:t>(10%)</w:t>
            </w:r>
          </w:p>
        </w:tc>
      </w:tr>
      <w:tr w:rsidR="0067066B" w:rsidRPr="00E275E6" w14:paraId="5345BDD3"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45CC4DCF" w14:textId="77777777" w:rsidR="0067066B" w:rsidRPr="001F5102" w:rsidRDefault="0067066B" w:rsidP="0067066B">
            <w:pPr>
              <w:ind w:firstLineChars="100" w:firstLine="180"/>
              <w:rPr>
                <w:rFonts w:asciiTheme="minorHAnsi" w:hAnsiTheme="minorHAnsi" w:cstheme="minorHAnsi"/>
                <w:color w:val="000000"/>
                <w:sz w:val="18"/>
                <w:szCs w:val="18"/>
              </w:rPr>
            </w:pPr>
            <w:r w:rsidRPr="001F5102">
              <w:rPr>
                <w:rFonts w:asciiTheme="minorHAnsi" w:hAnsiTheme="minorHAnsi" w:cstheme="minorHAnsi"/>
                <w:color w:val="000000"/>
                <w:sz w:val="18"/>
                <w:szCs w:val="18"/>
              </w:rPr>
              <w:t>Número de participações financeiras</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3A1947D1" w14:textId="77777777" w:rsidR="0067066B" w:rsidRDefault="0067066B" w:rsidP="0067066B">
            <w:pPr>
              <w:jc w:val="right"/>
              <w:rPr>
                <w:rFonts w:asciiTheme="minorHAnsi" w:hAnsiTheme="minorHAnsi" w:cstheme="minorHAnsi"/>
                <w:sz w:val="18"/>
                <w:szCs w:val="18"/>
              </w:rPr>
            </w:pPr>
            <w:r>
              <w:rPr>
                <w:rFonts w:asciiTheme="minorHAnsi" w:hAnsiTheme="minorHAnsi" w:cstheme="minorHAnsi"/>
                <w:sz w:val="18"/>
                <w:szCs w:val="18"/>
              </w:rPr>
              <w:t>26</w:t>
            </w:r>
          </w:p>
          <w:p w14:paraId="49D1E813" w14:textId="51058184" w:rsidR="0067066B" w:rsidRPr="006C0F01" w:rsidRDefault="0067066B" w:rsidP="0067066B">
            <w:pPr>
              <w:jc w:val="right"/>
              <w:rPr>
                <w:rFonts w:asciiTheme="minorHAnsi" w:hAnsiTheme="minorHAnsi" w:cstheme="minorHAnsi"/>
                <w:sz w:val="18"/>
                <w:szCs w:val="18"/>
              </w:rPr>
            </w:pPr>
          </w:p>
        </w:tc>
        <w:tc>
          <w:tcPr>
            <w:tcW w:w="1134" w:type="dxa"/>
            <w:tcBorders>
              <w:top w:val="nil"/>
              <w:left w:val="nil"/>
              <w:bottom w:val="single" w:sz="4" w:space="0" w:color="FFFFFF"/>
              <w:right w:val="single" w:sz="4" w:space="0" w:color="FFFFFF"/>
            </w:tcBorders>
            <w:shd w:val="clear" w:color="auto" w:fill="DEEAF6" w:themeFill="accent1" w:themeFillTint="33"/>
            <w:noWrap/>
            <w:vAlign w:val="center"/>
            <w:hideMark/>
          </w:tcPr>
          <w:p w14:paraId="14C0EDA2" w14:textId="5B1EEE85" w:rsidR="0067066B" w:rsidRPr="006C0F01" w:rsidRDefault="0067066B" w:rsidP="0067066B">
            <w:pPr>
              <w:jc w:val="right"/>
              <w:rPr>
                <w:rFonts w:asciiTheme="minorHAnsi" w:hAnsiTheme="minorHAnsi" w:cstheme="minorHAnsi"/>
                <w:sz w:val="18"/>
                <w:szCs w:val="18"/>
              </w:rPr>
            </w:pPr>
            <w:r w:rsidRPr="006C0F01">
              <w:rPr>
                <w:rFonts w:asciiTheme="minorHAnsi" w:hAnsiTheme="minorHAnsi" w:cstheme="minorHAnsi"/>
                <w:sz w:val="18"/>
                <w:szCs w:val="18"/>
              </w:rPr>
              <w:t>31</w:t>
            </w: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48691354" w14:textId="461DEA4C" w:rsidR="0067066B" w:rsidRPr="006C0F01" w:rsidRDefault="0067066B" w:rsidP="0067066B">
            <w:pPr>
              <w:jc w:val="right"/>
              <w:rPr>
                <w:rFonts w:asciiTheme="minorHAnsi" w:hAnsiTheme="minorHAnsi" w:cstheme="minorHAnsi"/>
                <w:sz w:val="18"/>
                <w:szCs w:val="18"/>
              </w:rPr>
            </w:pPr>
            <w:r>
              <w:rPr>
                <w:rFonts w:ascii="Calibri" w:hAnsi="Calibri" w:cs="Calibri"/>
                <w:sz w:val="18"/>
                <w:szCs w:val="18"/>
              </w:rPr>
              <w:t>(5)</w:t>
            </w: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02174F31" w14:textId="04B23FC1" w:rsidR="0067066B" w:rsidRPr="006C0F01" w:rsidRDefault="0067066B" w:rsidP="0067066B">
            <w:pPr>
              <w:jc w:val="right"/>
              <w:rPr>
                <w:rFonts w:asciiTheme="minorHAnsi" w:hAnsiTheme="minorHAnsi" w:cstheme="minorHAnsi"/>
                <w:sz w:val="18"/>
                <w:szCs w:val="18"/>
              </w:rPr>
            </w:pPr>
            <w:r>
              <w:rPr>
                <w:rFonts w:ascii="Calibri" w:hAnsi="Calibri" w:cs="Calibri"/>
                <w:color w:val="000000"/>
                <w:sz w:val="18"/>
                <w:szCs w:val="18"/>
              </w:rPr>
              <w:t>(16%)</w:t>
            </w:r>
          </w:p>
        </w:tc>
      </w:tr>
      <w:tr w:rsidR="00421F95" w:rsidRPr="00E275E6" w14:paraId="65CB7C6C"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35903C3E" w14:textId="77777777" w:rsidR="00421F95" w:rsidRPr="00E275E6" w:rsidRDefault="00421F95" w:rsidP="00421F95">
            <w:pPr>
              <w:rPr>
                <w:rFonts w:asciiTheme="minorHAnsi" w:hAnsiTheme="minorHAnsi" w:cstheme="minorHAnsi"/>
                <w:color w:val="000000"/>
                <w:sz w:val="18"/>
                <w:szCs w:val="18"/>
              </w:rPr>
            </w:pPr>
            <w:r w:rsidRPr="00E275E6">
              <w:rPr>
                <w:rFonts w:asciiTheme="minorHAnsi" w:hAnsiTheme="minorHAnsi" w:cstheme="minorHAnsi"/>
                <w:color w:val="000000"/>
                <w:sz w:val="18"/>
                <w:szCs w:val="18"/>
              </w:rPr>
              <w:t> </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7963F947" w14:textId="77777777" w:rsidR="00421F95" w:rsidRPr="006C0F01" w:rsidRDefault="00421F95" w:rsidP="00421F95">
            <w:pPr>
              <w:jc w:val="right"/>
              <w:rPr>
                <w:rFonts w:asciiTheme="minorHAnsi" w:hAnsiTheme="minorHAnsi" w:cstheme="minorHAnsi"/>
                <w:sz w:val="18"/>
                <w:szCs w:val="18"/>
              </w:rPr>
            </w:pPr>
          </w:p>
        </w:tc>
        <w:tc>
          <w:tcPr>
            <w:tcW w:w="1134" w:type="dxa"/>
            <w:tcBorders>
              <w:top w:val="nil"/>
              <w:left w:val="nil"/>
              <w:bottom w:val="single" w:sz="4" w:space="0" w:color="FFFFFF"/>
              <w:right w:val="single" w:sz="4" w:space="0" w:color="FFFFFF"/>
            </w:tcBorders>
            <w:shd w:val="clear" w:color="auto" w:fill="DEEAF6" w:themeFill="accent1" w:themeFillTint="33"/>
            <w:noWrap/>
            <w:vAlign w:val="center"/>
            <w:hideMark/>
          </w:tcPr>
          <w:p w14:paraId="0B5F0212" w14:textId="77777777" w:rsidR="00421F95" w:rsidRPr="006C0F01" w:rsidRDefault="00421F95" w:rsidP="00421F95">
            <w:pPr>
              <w:jc w:val="right"/>
              <w:rPr>
                <w:rFonts w:asciiTheme="minorHAnsi" w:hAnsiTheme="minorHAnsi" w:cstheme="minorHAnsi"/>
                <w:sz w:val="18"/>
                <w:szCs w:val="18"/>
              </w:rPr>
            </w:pP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56DF27F5" w14:textId="77777777" w:rsidR="00421F95" w:rsidRPr="006C0F01" w:rsidRDefault="00421F95" w:rsidP="00421F95">
            <w:pPr>
              <w:jc w:val="right"/>
              <w:rPr>
                <w:rFonts w:asciiTheme="minorHAnsi" w:hAnsiTheme="minorHAnsi" w:cstheme="minorHAnsi"/>
                <w:sz w:val="18"/>
                <w:szCs w:val="18"/>
              </w:rPr>
            </w:pP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4A0CBD6B" w14:textId="77777777" w:rsidR="00421F95" w:rsidRPr="006C0F01" w:rsidRDefault="00421F95" w:rsidP="00421F95">
            <w:pPr>
              <w:jc w:val="right"/>
              <w:rPr>
                <w:rFonts w:asciiTheme="minorHAnsi" w:hAnsiTheme="minorHAnsi" w:cstheme="minorHAnsi"/>
                <w:sz w:val="18"/>
                <w:szCs w:val="18"/>
              </w:rPr>
            </w:pPr>
          </w:p>
        </w:tc>
      </w:tr>
      <w:tr w:rsidR="00421F95" w:rsidRPr="00E275E6" w14:paraId="073C6D83"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4A71312C" w14:textId="77777777" w:rsidR="00421F95" w:rsidRPr="00E275E6" w:rsidRDefault="00421F95" w:rsidP="00421F95">
            <w:pPr>
              <w:rPr>
                <w:rFonts w:asciiTheme="minorHAnsi" w:hAnsiTheme="minorHAnsi" w:cstheme="minorHAnsi"/>
                <w:b/>
                <w:bCs/>
                <w:color w:val="000000"/>
                <w:sz w:val="18"/>
                <w:szCs w:val="18"/>
              </w:rPr>
            </w:pPr>
            <w:r w:rsidRPr="00E275E6">
              <w:rPr>
                <w:rFonts w:asciiTheme="minorHAnsi" w:hAnsiTheme="minorHAnsi" w:cstheme="minorHAnsi"/>
                <w:b/>
                <w:bCs/>
                <w:color w:val="000000"/>
                <w:sz w:val="18"/>
                <w:szCs w:val="18"/>
              </w:rPr>
              <w:t>INDICADORES ECONÓMICOS</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73783B13" w14:textId="77777777" w:rsidR="00421F95" w:rsidRPr="006C0F01" w:rsidRDefault="00421F95" w:rsidP="00421F95">
            <w:pPr>
              <w:jc w:val="right"/>
              <w:rPr>
                <w:rFonts w:asciiTheme="minorHAnsi" w:hAnsiTheme="minorHAnsi" w:cstheme="minorHAnsi"/>
                <w:sz w:val="18"/>
                <w:szCs w:val="18"/>
              </w:rPr>
            </w:pPr>
          </w:p>
        </w:tc>
        <w:tc>
          <w:tcPr>
            <w:tcW w:w="1134" w:type="dxa"/>
            <w:tcBorders>
              <w:top w:val="nil"/>
              <w:left w:val="nil"/>
              <w:bottom w:val="single" w:sz="4" w:space="0" w:color="FFFFFF"/>
              <w:right w:val="single" w:sz="4" w:space="0" w:color="FFFFFF"/>
            </w:tcBorders>
            <w:shd w:val="clear" w:color="auto" w:fill="DEEAF6" w:themeFill="accent1" w:themeFillTint="33"/>
            <w:noWrap/>
            <w:vAlign w:val="center"/>
            <w:hideMark/>
          </w:tcPr>
          <w:p w14:paraId="667F3CCA" w14:textId="77777777" w:rsidR="00421F95" w:rsidRPr="006C0F01" w:rsidRDefault="00421F95" w:rsidP="00421F95">
            <w:pPr>
              <w:jc w:val="right"/>
              <w:rPr>
                <w:rFonts w:asciiTheme="minorHAnsi" w:hAnsiTheme="minorHAnsi" w:cstheme="minorHAnsi"/>
                <w:sz w:val="18"/>
                <w:szCs w:val="18"/>
              </w:rPr>
            </w:pP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3A4BF902" w14:textId="77777777" w:rsidR="00421F95" w:rsidRPr="006C0F01" w:rsidRDefault="00421F95" w:rsidP="00421F95">
            <w:pPr>
              <w:jc w:val="right"/>
              <w:rPr>
                <w:rFonts w:asciiTheme="minorHAnsi" w:hAnsiTheme="minorHAnsi" w:cstheme="minorHAnsi"/>
                <w:sz w:val="18"/>
                <w:szCs w:val="18"/>
              </w:rPr>
            </w:pP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0F9CA396" w14:textId="77777777" w:rsidR="00421F95" w:rsidRPr="006C0F01" w:rsidRDefault="00421F95" w:rsidP="00421F95">
            <w:pPr>
              <w:jc w:val="right"/>
              <w:rPr>
                <w:rFonts w:asciiTheme="minorHAnsi" w:hAnsiTheme="minorHAnsi" w:cstheme="minorHAnsi"/>
                <w:sz w:val="18"/>
                <w:szCs w:val="18"/>
              </w:rPr>
            </w:pPr>
          </w:p>
        </w:tc>
      </w:tr>
      <w:tr w:rsidR="007D1D4E" w:rsidRPr="00E275E6" w14:paraId="56DAD5F1"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34420106" w14:textId="77777777" w:rsidR="007D1D4E" w:rsidRPr="00E275E6" w:rsidRDefault="007D1D4E" w:rsidP="007D1D4E">
            <w:pPr>
              <w:ind w:firstLineChars="100" w:firstLine="180"/>
              <w:rPr>
                <w:rFonts w:asciiTheme="minorHAnsi" w:hAnsiTheme="minorHAnsi" w:cstheme="minorHAnsi"/>
                <w:sz w:val="18"/>
                <w:szCs w:val="18"/>
              </w:rPr>
            </w:pPr>
            <w:r w:rsidRPr="00E275E6">
              <w:rPr>
                <w:rFonts w:asciiTheme="minorHAnsi" w:hAnsiTheme="minorHAnsi" w:cstheme="minorHAnsi"/>
                <w:sz w:val="18"/>
                <w:szCs w:val="18"/>
              </w:rPr>
              <w:t>FSE</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632E1320" w14:textId="339D362F" w:rsidR="007D1D4E" w:rsidRPr="006C0F01" w:rsidRDefault="007D1D4E" w:rsidP="007D1D4E">
            <w:pPr>
              <w:jc w:val="right"/>
              <w:rPr>
                <w:rFonts w:asciiTheme="minorHAnsi" w:hAnsiTheme="minorHAnsi" w:cstheme="minorHAnsi"/>
                <w:sz w:val="18"/>
                <w:szCs w:val="18"/>
              </w:rPr>
            </w:pPr>
            <w:r>
              <w:rPr>
                <w:rFonts w:ascii="Calibri" w:hAnsi="Calibri" w:cs="Calibri"/>
                <w:sz w:val="18"/>
                <w:szCs w:val="18"/>
              </w:rPr>
              <w:t>3 837</w:t>
            </w:r>
          </w:p>
        </w:tc>
        <w:tc>
          <w:tcPr>
            <w:tcW w:w="1134" w:type="dxa"/>
            <w:tcBorders>
              <w:top w:val="nil"/>
              <w:left w:val="nil"/>
              <w:bottom w:val="single" w:sz="4" w:space="0" w:color="FFFFFF"/>
              <w:right w:val="single" w:sz="4" w:space="0" w:color="FFFFFF"/>
            </w:tcBorders>
            <w:shd w:val="clear" w:color="auto" w:fill="DEEAF6" w:themeFill="accent1" w:themeFillTint="33"/>
            <w:noWrap/>
            <w:vAlign w:val="center"/>
            <w:hideMark/>
          </w:tcPr>
          <w:p w14:paraId="79A0AB8E" w14:textId="46C89A18" w:rsidR="007D1D4E" w:rsidRPr="006C0F01" w:rsidRDefault="007D1D4E" w:rsidP="007D1D4E">
            <w:pPr>
              <w:jc w:val="right"/>
              <w:rPr>
                <w:rFonts w:asciiTheme="minorHAnsi" w:hAnsiTheme="minorHAnsi" w:cstheme="minorHAnsi"/>
                <w:sz w:val="18"/>
                <w:szCs w:val="18"/>
              </w:rPr>
            </w:pPr>
            <w:r>
              <w:rPr>
                <w:rFonts w:ascii="Calibri" w:hAnsi="Calibri" w:cs="Calibri"/>
                <w:sz w:val="18"/>
                <w:szCs w:val="18"/>
              </w:rPr>
              <w:t>4 203</w:t>
            </w: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23E26D3C" w14:textId="2B5313AE" w:rsidR="007D1D4E" w:rsidRPr="006C0F01" w:rsidRDefault="007D1D4E" w:rsidP="007D1D4E">
            <w:pPr>
              <w:jc w:val="right"/>
              <w:rPr>
                <w:rFonts w:asciiTheme="minorHAnsi" w:hAnsiTheme="minorHAnsi" w:cstheme="minorHAnsi"/>
                <w:sz w:val="18"/>
                <w:szCs w:val="18"/>
              </w:rPr>
            </w:pPr>
            <w:r>
              <w:rPr>
                <w:rFonts w:ascii="Calibri" w:hAnsi="Calibri" w:cs="Calibri"/>
                <w:sz w:val="18"/>
                <w:szCs w:val="18"/>
              </w:rPr>
              <w:t>(366)</w:t>
            </w: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40855A02" w14:textId="2D26D074" w:rsidR="007D1D4E" w:rsidRPr="006C0F01" w:rsidRDefault="007D1D4E" w:rsidP="007D1D4E">
            <w:pPr>
              <w:jc w:val="right"/>
              <w:rPr>
                <w:rFonts w:asciiTheme="minorHAnsi" w:hAnsiTheme="minorHAnsi" w:cstheme="minorHAnsi"/>
                <w:sz w:val="18"/>
                <w:szCs w:val="18"/>
              </w:rPr>
            </w:pPr>
            <w:r>
              <w:rPr>
                <w:rFonts w:ascii="Calibri" w:hAnsi="Calibri" w:cs="Calibri"/>
                <w:color w:val="000000"/>
                <w:sz w:val="18"/>
                <w:szCs w:val="18"/>
              </w:rPr>
              <w:t>(9%)</w:t>
            </w:r>
          </w:p>
        </w:tc>
      </w:tr>
      <w:tr w:rsidR="001E4F8A" w:rsidRPr="00E275E6" w14:paraId="20ED22E5"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244E68E0" w14:textId="77777777" w:rsidR="001E4F8A" w:rsidRPr="00E275E6" w:rsidRDefault="001E4F8A" w:rsidP="001E4F8A">
            <w:pPr>
              <w:ind w:firstLineChars="100" w:firstLine="180"/>
              <w:rPr>
                <w:rFonts w:asciiTheme="minorHAnsi" w:hAnsiTheme="minorHAnsi" w:cstheme="minorHAnsi"/>
                <w:sz w:val="18"/>
                <w:szCs w:val="18"/>
              </w:rPr>
            </w:pPr>
            <w:r w:rsidRPr="00E275E6">
              <w:rPr>
                <w:rFonts w:asciiTheme="minorHAnsi" w:hAnsiTheme="minorHAnsi" w:cstheme="minorHAnsi"/>
                <w:sz w:val="18"/>
                <w:szCs w:val="18"/>
              </w:rPr>
              <w:t>Gastos com Pessoal</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6F1A298C" w14:textId="0BDDD1EB" w:rsidR="001E4F8A" w:rsidRPr="006C0F01" w:rsidRDefault="001E4F8A" w:rsidP="001E4F8A">
            <w:pPr>
              <w:jc w:val="right"/>
              <w:rPr>
                <w:rFonts w:asciiTheme="minorHAnsi" w:hAnsiTheme="minorHAnsi" w:cstheme="minorHAnsi"/>
                <w:sz w:val="18"/>
                <w:szCs w:val="18"/>
              </w:rPr>
            </w:pPr>
          </w:p>
        </w:tc>
        <w:tc>
          <w:tcPr>
            <w:tcW w:w="1134" w:type="dxa"/>
            <w:tcBorders>
              <w:top w:val="nil"/>
              <w:left w:val="nil"/>
              <w:bottom w:val="single" w:sz="4" w:space="0" w:color="FFFFFF"/>
              <w:right w:val="single" w:sz="4" w:space="0" w:color="FFFFFF"/>
            </w:tcBorders>
            <w:shd w:val="clear" w:color="auto" w:fill="DEEAF6" w:themeFill="accent1" w:themeFillTint="33"/>
            <w:noWrap/>
            <w:vAlign w:val="center"/>
            <w:hideMark/>
          </w:tcPr>
          <w:p w14:paraId="59B8C756" w14:textId="3D563C65" w:rsidR="001E4F8A" w:rsidRPr="006C0F01" w:rsidRDefault="001E4F8A" w:rsidP="001E4F8A">
            <w:pPr>
              <w:jc w:val="right"/>
              <w:rPr>
                <w:rFonts w:asciiTheme="minorHAnsi" w:hAnsiTheme="minorHAnsi" w:cstheme="minorHAnsi"/>
                <w:sz w:val="18"/>
                <w:szCs w:val="18"/>
              </w:rPr>
            </w:pPr>
            <w:r w:rsidRPr="006C0F01">
              <w:rPr>
                <w:rFonts w:asciiTheme="minorHAnsi" w:hAnsiTheme="minorHAnsi" w:cstheme="minorHAnsi"/>
                <w:sz w:val="18"/>
                <w:szCs w:val="18"/>
              </w:rPr>
              <w:t> </w:t>
            </w: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20C4023D" w14:textId="1E1ABC31" w:rsidR="001E4F8A" w:rsidRPr="006C0F01" w:rsidRDefault="001E4F8A" w:rsidP="001E4F8A">
            <w:pPr>
              <w:jc w:val="right"/>
              <w:rPr>
                <w:rFonts w:asciiTheme="minorHAnsi" w:hAnsiTheme="minorHAnsi" w:cstheme="minorHAnsi"/>
                <w:sz w:val="18"/>
                <w:szCs w:val="18"/>
              </w:rPr>
            </w:pP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1A96A964" w14:textId="14D08212" w:rsidR="001E4F8A" w:rsidRPr="006C0F01" w:rsidRDefault="001E4F8A" w:rsidP="001E4F8A">
            <w:pPr>
              <w:jc w:val="right"/>
              <w:rPr>
                <w:rFonts w:asciiTheme="minorHAnsi" w:hAnsiTheme="minorHAnsi" w:cstheme="minorHAnsi"/>
                <w:sz w:val="18"/>
                <w:szCs w:val="18"/>
              </w:rPr>
            </w:pPr>
          </w:p>
        </w:tc>
      </w:tr>
      <w:tr w:rsidR="00521275" w:rsidRPr="00E275E6" w14:paraId="5E276D45"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tcPr>
          <w:p w14:paraId="44605C32" w14:textId="77777777" w:rsidR="00521275" w:rsidRPr="00E275E6" w:rsidRDefault="00521275" w:rsidP="00521275">
            <w:pPr>
              <w:ind w:firstLineChars="200" w:firstLine="360"/>
              <w:rPr>
                <w:rFonts w:asciiTheme="minorHAnsi" w:hAnsiTheme="minorHAnsi" w:cstheme="minorHAnsi"/>
                <w:sz w:val="18"/>
                <w:szCs w:val="18"/>
              </w:rPr>
            </w:pPr>
            <w:r w:rsidRPr="00E275E6">
              <w:rPr>
                <w:rFonts w:asciiTheme="minorHAnsi" w:hAnsiTheme="minorHAnsi" w:cstheme="minorHAnsi"/>
                <w:sz w:val="18"/>
                <w:szCs w:val="18"/>
              </w:rPr>
              <w:t>Remunerações e outros custos</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3FBDBC10" w14:textId="33B61584" w:rsidR="00521275" w:rsidRPr="006C0F01" w:rsidRDefault="00521275" w:rsidP="00521275">
            <w:pPr>
              <w:jc w:val="right"/>
              <w:rPr>
                <w:rFonts w:asciiTheme="minorHAnsi" w:hAnsiTheme="minorHAnsi" w:cstheme="minorHAnsi"/>
                <w:sz w:val="18"/>
                <w:szCs w:val="18"/>
              </w:rPr>
            </w:pPr>
            <w:r>
              <w:rPr>
                <w:rFonts w:ascii="Calibri" w:hAnsi="Calibri" w:cs="Calibri"/>
                <w:sz w:val="18"/>
                <w:szCs w:val="18"/>
              </w:rPr>
              <w:t>4 800</w:t>
            </w:r>
          </w:p>
        </w:tc>
        <w:tc>
          <w:tcPr>
            <w:tcW w:w="1134" w:type="dxa"/>
            <w:tcBorders>
              <w:top w:val="nil"/>
              <w:left w:val="nil"/>
              <w:bottom w:val="single" w:sz="4" w:space="0" w:color="FFFFFF"/>
              <w:right w:val="single" w:sz="4" w:space="0" w:color="FFFFFF"/>
            </w:tcBorders>
            <w:shd w:val="clear" w:color="auto" w:fill="DEEAF6" w:themeFill="accent1" w:themeFillTint="33"/>
            <w:noWrap/>
            <w:vAlign w:val="center"/>
          </w:tcPr>
          <w:p w14:paraId="6CE479BE" w14:textId="7F7A61E4" w:rsidR="00521275" w:rsidRPr="006C0F01" w:rsidRDefault="00521275" w:rsidP="00521275">
            <w:pPr>
              <w:jc w:val="right"/>
              <w:rPr>
                <w:rFonts w:asciiTheme="minorHAnsi" w:hAnsiTheme="minorHAnsi" w:cstheme="minorHAnsi"/>
                <w:sz w:val="18"/>
                <w:szCs w:val="18"/>
              </w:rPr>
            </w:pPr>
            <w:r>
              <w:rPr>
                <w:rFonts w:ascii="Calibri" w:hAnsi="Calibri" w:cs="Calibri"/>
                <w:sz w:val="18"/>
                <w:szCs w:val="18"/>
              </w:rPr>
              <w:t>4 697</w:t>
            </w: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141F5640" w14:textId="2451D852" w:rsidR="00521275" w:rsidRPr="006C0F01" w:rsidRDefault="00521275" w:rsidP="00521275">
            <w:pPr>
              <w:jc w:val="right"/>
              <w:rPr>
                <w:rFonts w:asciiTheme="minorHAnsi" w:hAnsiTheme="minorHAnsi" w:cstheme="minorHAnsi"/>
                <w:sz w:val="18"/>
                <w:szCs w:val="18"/>
              </w:rPr>
            </w:pPr>
            <w:r>
              <w:rPr>
                <w:rFonts w:ascii="Calibri" w:hAnsi="Calibri" w:cs="Calibri"/>
                <w:sz w:val="18"/>
                <w:szCs w:val="18"/>
              </w:rPr>
              <w:t>103</w:t>
            </w: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113CA234" w14:textId="41C9BF7F" w:rsidR="00521275" w:rsidRPr="006C0F01" w:rsidRDefault="00521275" w:rsidP="00521275">
            <w:pPr>
              <w:jc w:val="right"/>
              <w:rPr>
                <w:rFonts w:asciiTheme="minorHAnsi" w:hAnsiTheme="minorHAnsi" w:cstheme="minorHAnsi"/>
                <w:sz w:val="18"/>
                <w:szCs w:val="18"/>
              </w:rPr>
            </w:pPr>
            <w:r>
              <w:rPr>
                <w:rFonts w:ascii="Calibri" w:hAnsi="Calibri" w:cs="Calibri"/>
                <w:color w:val="000000"/>
                <w:sz w:val="18"/>
                <w:szCs w:val="18"/>
              </w:rPr>
              <w:t>2%</w:t>
            </w:r>
          </w:p>
        </w:tc>
      </w:tr>
      <w:tr w:rsidR="00521275" w:rsidRPr="00E275E6" w14:paraId="49EA7485"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tcPr>
          <w:p w14:paraId="2997DBBD" w14:textId="77777777" w:rsidR="00521275" w:rsidRPr="00E275E6" w:rsidRDefault="00521275" w:rsidP="00521275">
            <w:pPr>
              <w:ind w:firstLineChars="200" w:firstLine="360"/>
              <w:rPr>
                <w:rFonts w:asciiTheme="minorHAnsi" w:hAnsiTheme="minorHAnsi" w:cstheme="minorHAnsi"/>
                <w:sz w:val="18"/>
                <w:szCs w:val="18"/>
              </w:rPr>
            </w:pPr>
            <w:r w:rsidRPr="00E275E6">
              <w:rPr>
                <w:rFonts w:asciiTheme="minorHAnsi" w:hAnsiTheme="minorHAnsi" w:cstheme="minorHAnsi"/>
                <w:sz w:val="18"/>
                <w:szCs w:val="18"/>
              </w:rPr>
              <w:t>Indemnizações</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41D5BC2C" w14:textId="497FA116" w:rsidR="00521275" w:rsidRPr="006C0F01" w:rsidRDefault="00521275" w:rsidP="00521275">
            <w:pPr>
              <w:jc w:val="right"/>
              <w:rPr>
                <w:rFonts w:asciiTheme="minorHAnsi" w:hAnsiTheme="minorHAnsi" w:cstheme="minorHAnsi"/>
                <w:sz w:val="18"/>
                <w:szCs w:val="18"/>
              </w:rPr>
            </w:pPr>
            <w:r>
              <w:rPr>
                <w:rFonts w:ascii="Calibri" w:hAnsi="Calibri" w:cs="Calibri"/>
                <w:sz w:val="18"/>
                <w:szCs w:val="18"/>
              </w:rPr>
              <w:t>428</w:t>
            </w:r>
          </w:p>
        </w:tc>
        <w:tc>
          <w:tcPr>
            <w:tcW w:w="1134" w:type="dxa"/>
            <w:tcBorders>
              <w:top w:val="nil"/>
              <w:left w:val="nil"/>
              <w:bottom w:val="single" w:sz="4" w:space="0" w:color="FFFFFF"/>
              <w:right w:val="single" w:sz="4" w:space="0" w:color="FFFFFF"/>
            </w:tcBorders>
            <w:shd w:val="clear" w:color="auto" w:fill="DEEAF6" w:themeFill="accent1" w:themeFillTint="33"/>
            <w:noWrap/>
            <w:vAlign w:val="center"/>
          </w:tcPr>
          <w:p w14:paraId="3FA0CE02" w14:textId="646C6D9C" w:rsidR="00521275" w:rsidRPr="006C0F01" w:rsidRDefault="00521275" w:rsidP="00521275">
            <w:pPr>
              <w:jc w:val="right"/>
              <w:rPr>
                <w:rFonts w:asciiTheme="minorHAnsi" w:hAnsiTheme="minorHAnsi" w:cstheme="minorHAnsi"/>
                <w:sz w:val="18"/>
                <w:szCs w:val="18"/>
              </w:rPr>
            </w:pPr>
            <w:r>
              <w:rPr>
                <w:rFonts w:ascii="Calibri" w:hAnsi="Calibri" w:cs="Calibri"/>
                <w:sz w:val="18"/>
                <w:szCs w:val="18"/>
              </w:rPr>
              <w:t>97</w:t>
            </w: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170BFD65" w14:textId="4A3E0C03" w:rsidR="00521275" w:rsidRPr="006C0F01" w:rsidRDefault="00521275" w:rsidP="00521275">
            <w:pPr>
              <w:jc w:val="right"/>
              <w:rPr>
                <w:rFonts w:asciiTheme="minorHAnsi" w:hAnsiTheme="minorHAnsi" w:cstheme="minorHAnsi"/>
                <w:sz w:val="18"/>
                <w:szCs w:val="18"/>
              </w:rPr>
            </w:pPr>
            <w:r>
              <w:rPr>
                <w:rFonts w:ascii="Calibri" w:hAnsi="Calibri" w:cs="Calibri"/>
                <w:sz w:val="18"/>
                <w:szCs w:val="18"/>
              </w:rPr>
              <w:t>331</w:t>
            </w: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4204B6ED" w14:textId="75340BE4" w:rsidR="00521275" w:rsidRPr="006C0F01" w:rsidRDefault="00521275" w:rsidP="00521275">
            <w:pPr>
              <w:jc w:val="right"/>
              <w:rPr>
                <w:rFonts w:asciiTheme="minorHAnsi" w:hAnsiTheme="minorHAnsi" w:cstheme="minorHAnsi"/>
                <w:sz w:val="18"/>
                <w:szCs w:val="18"/>
              </w:rPr>
            </w:pPr>
            <w:r>
              <w:rPr>
                <w:rFonts w:ascii="Calibri" w:hAnsi="Calibri" w:cs="Calibri"/>
                <w:color w:val="000000"/>
                <w:sz w:val="18"/>
                <w:szCs w:val="18"/>
              </w:rPr>
              <w:t>342%</w:t>
            </w:r>
          </w:p>
        </w:tc>
      </w:tr>
      <w:tr w:rsidR="00521275" w:rsidRPr="00E275E6" w14:paraId="615C3D48"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4284E4AA" w14:textId="77777777" w:rsidR="00521275" w:rsidRPr="00E275E6" w:rsidRDefault="00521275" w:rsidP="00521275">
            <w:pPr>
              <w:ind w:firstLineChars="200" w:firstLine="360"/>
              <w:rPr>
                <w:rFonts w:asciiTheme="minorHAnsi" w:hAnsiTheme="minorHAnsi" w:cstheme="minorHAnsi"/>
                <w:sz w:val="18"/>
                <w:szCs w:val="18"/>
              </w:rPr>
            </w:pPr>
            <w:r w:rsidRPr="00E275E6">
              <w:rPr>
                <w:rFonts w:asciiTheme="minorHAnsi" w:hAnsiTheme="minorHAnsi" w:cstheme="minorHAnsi"/>
                <w:sz w:val="18"/>
                <w:szCs w:val="18"/>
              </w:rPr>
              <w:t>Número de colaboradores</w:t>
            </w:r>
            <w:r>
              <w:rPr>
                <w:rFonts w:asciiTheme="minorHAnsi" w:hAnsiTheme="minorHAnsi" w:cstheme="minorHAnsi"/>
                <w:sz w:val="18"/>
                <w:szCs w:val="18"/>
              </w:rPr>
              <w:t xml:space="preserve"> (não inclui O.S.)</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7F451922" w14:textId="1157B091" w:rsidR="00521275" w:rsidRPr="006C0F01" w:rsidRDefault="00521275" w:rsidP="00521275">
            <w:pPr>
              <w:jc w:val="right"/>
              <w:rPr>
                <w:rFonts w:asciiTheme="minorHAnsi" w:hAnsiTheme="minorHAnsi" w:cstheme="minorHAnsi"/>
                <w:sz w:val="18"/>
                <w:szCs w:val="18"/>
              </w:rPr>
            </w:pPr>
            <w:r>
              <w:rPr>
                <w:rFonts w:ascii="Calibri" w:hAnsi="Calibri" w:cs="Calibri"/>
                <w:sz w:val="18"/>
                <w:szCs w:val="18"/>
              </w:rPr>
              <w:t>79</w:t>
            </w:r>
          </w:p>
        </w:tc>
        <w:tc>
          <w:tcPr>
            <w:tcW w:w="1134" w:type="dxa"/>
            <w:tcBorders>
              <w:top w:val="nil"/>
              <w:left w:val="nil"/>
              <w:bottom w:val="single" w:sz="4" w:space="0" w:color="FFFFFF"/>
              <w:right w:val="single" w:sz="4" w:space="0" w:color="FFFFFF"/>
            </w:tcBorders>
            <w:shd w:val="clear" w:color="auto" w:fill="DEEAF6" w:themeFill="accent1" w:themeFillTint="33"/>
            <w:noWrap/>
            <w:vAlign w:val="center"/>
            <w:hideMark/>
          </w:tcPr>
          <w:p w14:paraId="18E22337" w14:textId="3D4D345E" w:rsidR="00521275" w:rsidRPr="006C0F01" w:rsidRDefault="00521275" w:rsidP="00521275">
            <w:pPr>
              <w:jc w:val="right"/>
              <w:rPr>
                <w:rFonts w:asciiTheme="minorHAnsi" w:hAnsiTheme="minorHAnsi" w:cstheme="minorHAnsi"/>
                <w:sz w:val="18"/>
                <w:szCs w:val="18"/>
              </w:rPr>
            </w:pPr>
            <w:r>
              <w:rPr>
                <w:rFonts w:ascii="Calibri" w:hAnsi="Calibri" w:cs="Calibri"/>
                <w:sz w:val="18"/>
                <w:szCs w:val="18"/>
              </w:rPr>
              <w:t>80</w:t>
            </w: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366DC42E" w14:textId="1F4CAC29" w:rsidR="00521275" w:rsidRPr="006C0F01" w:rsidRDefault="00521275" w:rsidP="00521275">
            <w:pPr>
              <w:jc w:val="right"/>
              <w:rPr>
                <w:rFonts w:asciiTheme="minorHAnsi" w:hAnsiTheme="minorHAnsi" w:cstheme="minorHAnsi"/>
                <w:sz w:val="18"/>
                <w:szCs w:val="18"/>
              </w:rPr>
            </w:pPr>
            <w:r>
              <w:rPr>
                <w:rFonts w:ascii="Calibri" w:hAnsi="Calibri" w:cs="Calibri"/>
                <w:sz w:val="18"/>
                <w:szCs w:val="18"/>
              </w:rPr>
              <w:t>(1)</w:t>
            </w: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2C0BF254" w14:textId="410CDCD8" w:rsidR="00521275" w:rsidRPr="006C0F01" w:rsidRDefault="00521275" w:rsidP="00521275">
            <w:pPr>
              <w:jc w:val="right"/>
              <w:rPr>
                <w:rFonts w:asciiTheme="minorHAnsi" w:hAnsiTheme="minorHAnsi" w:cstheme="minorHAnsi"/>
                <w:sz w:val="18"/>
                <w:szCs w:val="18"/>
              </w:rPr>
            </w:pPr>
            <w:r>
              <w:rPr>
                <w:rFonts w:ascii="Calibri" w:hAnsi="Calibri" w:cs="Calibri"/>
                <w:color w:val="000000"/>
                <w:sz w:val="18"/>
                <w:szCs w:val="18"/>
              </w:rPr>
              <w:t>(1%)</w:t>
            </w:r>
          </w:p>
        </w:tc>
      </w:tr>
      <w:tr w:rsidR="00521275" w:rsidRPr="00E275E6" w14:paraId="21158F35"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2AA7D8E9" w14:textId="77777777" w:rsidR="00521275" w:rsidRPr="00E275E6" w:rsidRDefault="00521275" w:rsidP="00521275">
            <w:pPr>
              <w:ind w:firstLineChars="100" w:firstLine="180"/>
              <w:rPr>
                <w:rFonts w:asciiTheme="minorHAnsi" w:hAnsiTheme="minorHAnsi" w:cstheme="minorHAnsi"/>
                <w:sz w:val="18"/>
                <w:szCs w:val="18"/>
                <w:highlight w:val="yellow"/>
              </w:rPr>
            </w:pPr>
            <w:r w:rsidRPr="00E275E6">
              <w:rPr>
                <w:rFonts w:asciiTheme="minorHAnsi" w:hAnsiTheme="minorHAnsi" w:cstheme="minorHAnsi"/>
                <w:sz w:val="18"/>
                <w:szCs w:val="18"/>
              </w:rPr>
              <w:t>Provisões e perdas por imparidade - reforços/(reversões)</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04392FC0" w14:textId="5F077322" w:rsidR="00521275" w:rsidRPr="006C0F01" w:rsidRDefault="00521275" w:rsidP="00521275">
            <w:pPr>
              <w:jc w:val="right"/>
              <w:rPr>
                <w:rFonts w:asciiTheme="minorHAnsi" w:hAnsiTheme="minorHAnsi" w:cstheme="minorHAnsi"/>
                <w:sz w:val="18"/>
                <w:szCs w:val="18"/>
              </w:rPr>
            </w:pPr>
            <w:r>
              <w:rPr>
                <w:rFonts w:ascii="Calibri" w:hAnsi="Calibri" w:cs="Calibri"/>
                <w:sz w:val="18"/>
                <w:szCs w:val="18"/>
              </w:rPr>
              <w:t>25 114</w:t>
            </w:r>
          </w:p>
        </w:tc>
        <w:tc>
          <w:tcPr>
            <w:tcW w:w="1134" w:type="dxa"/>
            <w:tcBorders>
              <w:top w:val="nil"/>
              <w:left w:val="nil"/>
              <w:bottom w:val="single" w:sz="4" w:space="0" w:color="FFFFFF"/>
              <w:right w:val="single" w:sz="4" w:space="0" w:color="FFFFFF"/>
            </w:tcBorders>
            <w:shd w:val="clear" w:color="auto" w:fill="DEEAF6" w:themeFill="accent1" w:themeFillTint="33"/>
            <w:noWrap/>
            <w:vAlign w:val="center"/>
            <w:hideMark/>
          </w:tcPr>
          <w:p w14:paraId="20E988B5" w14:textId="0883ED97" w:rsidR="00521275" w:rsidRPr="006C0F01" w:rsidRDefault="00521275" w:rsidP="00521275">
            <w:pPr>
              <w:jc w:val="right"/>
              <w:rPr>
                <w:rFonts w:asciiTheme="minorHAnsi" w:hAnsiTheme="minorHAnsi" w:cstheme="minorHAnsi"/>
                <w:sz w:val="18"/>
                <w:szCs w:val="18"/>
              </w:rPr>
            </w:pPr>
            <w:r>
              <w:rPr>
                <w:rFonts w:ascii="Calibri" w:hAnsi="Calibri" w:cs="Calibri"/>
                <w:sz w:val="18"/>
                <w:szCs w:val="18"/>
              </w:rPr>
              <w:t>(39 272)</w:t>
            </w: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3A2E44D2" w14:textId="67DECAE9" w:rsidR="00521275" w:rsidRPr="006C0F01" w:rsidRDefault="00521275" w:rsidP="00521275">
            <w:pPr>
              <w:jc w:val="right"/>
              <w:rPr>
                <w:rFonts w:asciiTheme="minorHAnsi" w:hAnsiTheme="minorHAnsi" w:cstheme="minorHAnsi"/>
                <w:sz w:val="18"/>
                <w:szCs w:val="18"/>
              </w:rPr>
            </w:pPr>
            <w:r>
              <w:rPr>
                <w:rFonts w:ascii="Calibri" w:hAnsi="Calibri" w:cs="Calibri"/>
                <w:sz w:val="18"/>
                <w:szCs w:val="18"/>
              </w:rPr>
              <w:t>64 386</w:t>
            </w: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1C13078E" w14:textId="546BF484" w:rsidR="00521275" w:rsidRPr="006C0F01" w:rsidRDefault="00521275" w:rsidP="00521275">
            <w:pPr>
              <w:jc w:val="right"/>
              <w:rPr>
                <w:rFonts w:asciiTheme="minorHAnsi" w:hAnsiTheme="minorHAnsi" w:cstheme="minorHAnsi"/>
                <w:sz w:val="18"/>
                <w:szCs w:val="18"/>
              </w:rPr>
            </w:pPr>
            <w:r>
              <w:rPr>
                <w:rFonts w:ascii="Calibri" w:hAnsi="Calibri" w:cs="Calibri"/>
                <w:color w:val="000000"/>
                <w:sz w:val="18"/>
                <w:szCs w:val="18"/>
              </w:rPr>
              <w:t>164%</w:t>
            </w:r>
          </w:p>
        </w:tc>
      </w:tr>
      <w:tr w:rsidR="00521275" w:rsidRPr="00E275E6" w14:paraId="128B856A"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532395B5" w14:textId="77777777" w:rsidR="00521275" w:rsidRPr="00E275E6" w:rsidRDefault="00521275" w:rsidP="00521275">
            <w:pPr>
              <w:ind w:firstLineChars="100" w:firstLine="180"/>
              <w:rPr>
                <w:rFonts w:asciiTheme="minorHAnsi" w:hAnsiTheme="minorHAnsi" w:cstheme="minorHAnsi"/>
                <w:sz w:val="18"/>
                <w:szCs w:val="18"/>
                <w:vertAlign w:val="superscript"/>
              </w:rPr>
            </w:pPr>
            <w:r w:rsidRPr="00E275E6">
              <w:rPr>
                <w:rFonts w:asciiTheme="minorHAnsi" w:hAnsiTheme="minorHAnsi" w:cstheme="minorHAnsi"/>
                <w:sz w:val="18"/>
                <w:szCs w:val="18"/>
              </w:rPr>
              <w:t xml:space="preserve">Resultado Operacional </w:t>
            </w:r>
          </w:p>
          <w:p w14:paraId="1733161A" w14:textId="77777777" w:rsidR="00521275" w:rsidRPr="00E275E6" w:rsidRDefault="00521275" w:rsidP="00521275">
            <w:pPr>
              <w:rPr>
                <w:rFonts w:asciiTheme="minorHAnsi" w:hAnsiTheme="minorHAnsi" w:cstheme="minorHAnsi"/>
                <w:sz w:val="18"/>
                <w:szCs w:val="18"/>
              </w:rPr>
            </w:pP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1DE392A7" w14:textId="20288E35" w:rsidR="00521275" w:rsidRPr="006C0F01" w:rsidRDefault="00521275" w:rsidP="00521275">
            <w:pPr>
              <w:jc w:val="right"/>
              <w:rPr>
                <w:rFonts w:asciiTheme="minorHAnsi" w:hAnsiTheme="minorHAnsi" w:cstheme="minorHAnsi"/>
                <w:sz w:val="18"/>
                <w:szCs w:val="18"/>
              </w:rPr>
            </w:pPr>
            <w:r>
              <w:rPr>
                <w:rFonts w:ascii="Calibri" w:hAnsi="Calibri" w:cs="Calibri"/>
                <w:sz w:val="18"/>
                <w:szCs w:val="18"/>
              </w:rPr>
              <w:t>6 340</w:t>
            </w:r>
          </w:p>
        </w:tc>
        <w:tc>
          <w:tcPr>
            <w:tcW w:w="1134" w:type="dxa"/>
            <w:tcBorders>
              <w:top w:val="nil"/>
              <w:left w:val="nil"/>
              <w:bottom w:val="single" w:sz="4" w:space="0" w:color="FFFFFF"/>
              <w:right w:val="single" w:sz="4" w:space="0" w:color="FFFFFF"/>
            </w:tcBorders>
            <w:shd w:val="clear" w:color="auto" w:fill="DEEAF6" w:themeFill="accent1" w:themeFillTint="33"/>
            <w:noWrap/>
            <w:vAlign w:val="center"/>
            <w:hideMark/>
          </w:tcPr>
          <w:p w14:paraId="3E7DD4C7" w14:textId="244C2E01" w:rsidR="00521275" w:rsidRPr="006C0F01" w:rsidRDefault="00521275" w:rsidP="00521275">
            <w:pPr>
              <w:jc w:val="right"/>
              <w:rPr>
                <w:rFonts w:asciiTheme="minorHAnsi" w:hAnsiTheme="minorHAnsi" w:cstheme="minorHAnsi"/>
                <w:sz w:val="18"/>
                <w:szCs w:val="18"/>
              </w:rPr>
            </w:pPr>
            <w:r>
              <w:rPr>
                <w:rFonts w:ascii="Calibri" w:hAnsi="Calibri" w:cs="Calibri"/>
                <w:sz w:val="18"/>
                <w:szCs w:val="18"/>
              </w:rPr>
              <w:t>74 204</w:t>
            </w: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7C58B466" w14:textId="5733DE82" w:rsidR="00521275" w:rsidRPr="006C0F01" w:rsidRDefault="00521275" w:rsidP="00521275">
            <w:pPr>
              <w:jc w:val="right"/>
              <w:rPr>
                <w:rFonts w:asciiTheme="minorHAnsi" w:hAnsiTheme="minorHAnsi" w:cstheme="minorHAnsi"/>
                <w:sz w:val="18"/>
                <w:szCs w:val="18"/>
              </w:rPr>
            </w:pPr>
            <w:r>
              <w:rPr>
                <w:rFonts w:ascii="Calibri" w:hAnsi="Calibri" w:cs="Calibri"/>
                <w:sz w:val="18"/>
                <w:szCs w:val="18"/>
              </w:rPr>
              <w:t>(67 864)</w:t>
            </w: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720DB2A6" w14:textId="2B80B982" w:rsidR="00521275" w:rsidRPr="006C0F01" w:rsidRDefault="00521275" w:rsidP="00521275">
            <w:pPr>
              <w:jc w:val="right"/>
              <w:rPr>
                <w:rFonts w:asciiTheme="minorHAnsi" w:hAnsiTheme="minorHAnsi" w:cstheme="minorHAnsi"/>
                <w:sz w:val="18"/>
                <w:szCs w:val="18"/>
              </w:rPr>
            </w:pPr>
            <w:r>
              <w:rPr>
                <w:rFonts w:ascii="Calibri" w:hAnsi="Calibri" w:cs="Calibri"/>
                <w:color w:val="000000"/>
                <w:sz w:val="18"/>
                <w:szCs w:val="18"/>
              </w:rPr>
              <w:t>(91%)</w:t>
            </w:r>
          </w:p>
        </w:tc>
      </w:tr>
      <w:tr w:rsidR="00521275" w:rsidRPr="00E275E6" w14:paraId="0223759A"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hideMark/>
          </w:tcPr>
          <w:p w14:paraId="0D89F7C5" w14:textId="77777777" w:rsidR="00521275" w:rsidRPr="00E275E6" w:rsidRDefault="00521275" w:rsidP="00521275">
            <w:pPr>
              <w:ind w:firstLineChars="100" w:firstLine="180"/>
              <w:rPr>
                <w:rFonts w:asciiTheme="minorHAnsi" w:hAnsiTheme="minorHAnsi" w:cstheme="minorHAnsi"/>
                <w:sz w:val="18"/>
                <w:szCs w:val="18"/>
              </w:rPr>
            </w:pPr>
            <w:r w:rsidRPr="00E275E6">
              <w:rPr>
                <w:rFonts w:asciiTheme="minorHAnsi" w:hAnsiTheme="minorHAnsi" w:cstheme="minorHAnsi"/>
                <w:sz w:val="18"/>
                <w:szCs w:val="18"/>
              </w:rPr>
              <w:t>Resultado Líquido</w:t>
            </w: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00F30641" w14:textId="6A82D25B" w:rsidR="00521275" w:rsidRPr="006C0F01" w:rsidRDefault="00521275" w:rsidP="00521275">
            <w:pPr>
              <w:jc w:val="right"/>
              <w:rPr>
                <w:rFonts w:asciiTheme="minorHAnsi" w:hAnsiTheme="minorHAnsi" w:cstheme="minorHAnsi"/>
                <w:sz w:val="18"/>
                <w:szCs w:val="18"/>
              </w:rPr>
            </w:pPr>
            <w:r>
              <w:rPr>
                <w:rFonts w:ascii="Calibri" w:hAnsi="Calibri" w:cs="Calibri"/>
                <w:sz w:val="18"/>
                <w:szCs w:val="18"/>
              </w:rPr>
              <w:t>(58 677)</w:t>
            </w:r>
          </w:p>
        </w:tc>
        <w:tc>
          <w:tcPr>
            <w:tcW w:w="1134" w:type="dxa"/>
            <w:tcBorders>
              <w:top w:val="nil"/>
              <w:left w:val="nil"/>
              <w:bottom w:val="single" w:sz="4" w:space="0" w:color="FFFFFF"/>
              <w:right w:val="single" w:sz="4" w:space="0" w:color="FFFFFF"/>
            </w:tcBorders>
            <w:shd w:val="clear" w:color="auto" w:fill="DEEAF6" w:themeFill="accent1" w:themeFillTint="33"/>
            <w:noWrap/>
            <w:vAlign w:val="center"/>
            <w:hideMark/>
          </w:tcPr>
          <w:p w14:paraId="06439C3F" w14:textId="4A4CC54E" w:rsidR="00521275" w:rsidRPr="006C0F01" w:rsidRDefault="00521275" w:rsidP="00521275">
            <w:pPr>
              <w:jc w:val="right"/>
              <w:rPr>
                <w:rFonts w:asciiTheme="minorHAnsi" w:hAnsiTheme="minorHAnsi" w:cstheme="minorHAnsi"/>
                <w:sz w:val="18"/>
                <w:szCs w:val="18"/>
              </w:rPr>
            </w:pPr>
            <w:r>
              <w:rPr>
                <w:rFonts w:ascii="Calibri" w:hAnsi="Calibri" w:cs="Calibri"/>
                <w:sz w:val="18"/>
                <w:szCs w:val="18"/>
              </w:rPr>
              <w:t>13 825</w:t>
            </w: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6ACDCBF1" w14:textId="764CAB4C" w:rsidR="00521275" w:rsidRPr="006C0F01" w:rsidRDefault="00521275" w:rsidP="00521275">
            <w:pPr>
              <w:jc w:val="right"/>
              <w:rPr>
                <w:rFonts w:asciiTheme="minorHAnsi" w:hAnsiTheme="minorHAnsi" w:cstheme="minorHAnsi"/>
                <w:sz w:val="18"/>
                <w:szCs w:val="18"/>
              </w:rPr>
            </w:pPr>
            <w:r>
              <w:rPr>
                <w:rFonts w:ascii="Calibri" w:hAnsi="Calibri" w:cs="Calibri"/>
                <w:sz w:val="18"/>
                <w:szCs w:val="18"/>
              </w:rPr>
              <w:t>(72 502)</w:t>
            </w: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7415C495" w14:textId="23A3F1E1" w:rsidR="00521275" w:rsidRPr="006C0F01" w:rsidRDefault="00521275" w:rsidP="00521275">
            <w:pPr>
              <w:jc w:val="right"/>
              <w:rPr>
                <w:rFonts w:asciiTheme="minorHAnsi" w:hAnsiTheme="minorHAnsi" w:cstheme="minorHAnsi"/>
                <w:sz w:val="18"/>
                <w:szCs w:val="18"/>
              </w:rPr>
            </w:pPr>
            <w:r>
              <w:rPr>
                <w:rFonts w:ascii="Calibri" w:hAnsi="Calibri" w:cs="Calibri"/>
                <w:color w:val="000000"/>
                <w:sz w:val="18"/>
                <w:szCs w:val="18"/>
              </w:rPr>
              <w:t>(524%)</w:t>
            </w:r>
          </w:p>
        </w:tc>
      </w:tr>
      <w:tr w:rsidR="00C93B74" w:rsidRPr="00E275E6" w14:paraId="376D06DF" w14:textId="77777777" w:rsidTr="00351BC7">
        <w:trPr>
          <w:trHeight w:hRule="exact" w:val="227"/>
        </w:trPr>
        <w:tc>
          <w:tcPr>
            <w:tcW w:w="4536" w:type="dxa"/>
            <w:tcBorders>
              <w:top w:val="nil"/>
              <w:left w:val="single" w:sz="4" w:space="0" w:color="FFFFFF"/>
              <w:bottom w:val="single" w:sz="4" w:space="0" w:color="FFFFFF"/>
              <w:right w:val="single" w:sz="4" w:space="0" w:color="FFFFFF"/>
            </w:tcBorders>
            <w:shd w:val="clear" w:color="auto" w:fill="DEEAF6" w:themeFill="accent1" w:themeFillTint="33"/>
            <w:noWrap/>
            <w:vAlign w:val="center"/>
          </w:tcPr>
          <w:p w14:paraId="256356F6" w14:textId="77777777" w:rsidR="00C93B74" w:rsidRPr="00E275E6" w:rsidRDefault="00C93B74" w:rsidP="00B36274">
            <w:pPr>
              <w:ind w:firstLineChars="100" w:firstLine="180"/>
              <w:rPr>
                <w:rFonts w:asciiTheme="minorHAnsi" w:hAnsiTheme="minorHAnsi" w:cstheme="minorHAnsi"/>
                <w:sz w:val="18"/>
                <w:szCs w:val="18"/>
              </w:rPr>
            </w:pPr>
          </w:p>
        </w:tc>
        <w:tc>
          <w:tcPr>
            <w:tcW w:w="993" w:type="dxa"/>
            <w:tcBorders>
              <w:top w:val="nil"/>
              <w:left w:val="nil"/>
              <w:bottom w:val="single" w:sz="4" w:space="0" w:color="FFFFFF"/>
              <w:right w:val="single" w:sz="4" w:space="0" w:color="FFFFFF"/>
            </w:tcBorders>
            <w:shd w:val="clear" w:color="auto" w:fill="DEEAF6" w:themeFill="accent1" w:themeFillTint="33"/>
            <w:noWrap/>
            <w:vAlign w:val="center"/>
          </w:tcPr>
          <w:p w14:paraId="6F0BCFD1" w14:textId="77777777" w:rsidR="00C93B74" w:rsidRPr="00E275E6" w:rsidRDefault="00C93B74" w:rsidP="00B36274">
            <w:pPr>
              <w:jc w:val="right"/>
              <w:rPr>
                <w:rFonts w:asciiTheme="minorHAnsi" w:hAnsiTheme="minorHAnsi" w:cstheme="minorHAnsi"/>
                <w:sz w:val="18"/>
                <w:szCs w:val="18"/>
              </w:rPr>
            </w:pPr>
          </w:p>
        </w:tc>
        <w:tc>
          <w:tcPr>
            <w:tcW w:w="1134" w:type="dxa"/>
            <w:tcBorders>
              <w:top w:val="nil"/>
              <w:left w:val="nil"/>
              <w:bottom w:val="single" w:sz="4" w:space="0" w:color="FFFFFF"/>
              <w:right w:val="single" w:sz="4" w:space="0" w:color="FFFFFF"/>
            </w:tcBorders>
            <w:shd w:val="clear" w:color="auto" w:fill="DEEAF6" w:themeFill="accent1" w:themeFillTint="33"/>
            <w:noWrap/>
            <w:vAlign w:val="center"/>
          </w:tcPr>
          <w:p w14:paraId="33307B77" w14:textId="77777777" w:rsidR="00C93B74" w:rsidRPr="00E275E6" w:rsidRDefault="00C93B74" w:rsidP="00B36274">
            <w:pPr>
              <w:jc w:val="right"/>
              <w:rPr>
                <w:rFonts w:asciiTheme="minorHAnsi" w:hAnsiTheme="minorHAnsi" w:cstheme="minorHAnsi"/>
                <w:sz w:val="18"/>
                <w:szCs w:val="18"/>
              </w:rPr>
            </w:pPr>
          </w:p>
        </w:tc>
        <w:tc>
          <w:tcPr>
            <w:tcW w:w="992" w:type="dxa"/>
            <w:tcBorders>
              <w:top w:val="nil"/>
              <w:left w:val="nil"/>
              <w:bottom w:val="single" w:sz="4" w:space="0" w:color="FFFFFF"/>
              <w:right w:val="single" w:sz="4" w:space="0" w:color="FFFFFF"/>
            </w:tcBorders>
            <w:shd w:val="clear" w:color="auto" w:fill="DEEAF6" w:themeFill="accent1" w:themeFillTint="33"/>
            <w:noWrap/>
            <w:vAlign w:val="center"/>
          </w:tcPr>
          <w:p w14:paraId="65FD457E" w14:textId="77777777" w:rsidR="00C93B74" w:rsidRPr="00E275E6" w:rsidRDefault="00C93B74" w:rsidP="00B36274">
            <w:pPr>
              <w:jc w:val="right"/>
              <w:rPr>
                <w:rFonts w:asciiTheme="minorHAnsi" w:hAnsiTheme="minorHAnsi" w:cstheme="minorHAnsi"/>
                <w:sz w:val="18"/>
                <w:szCs w:val="18"/>
              </w:rPr>
            </w:pPr>
          </w:p>
        </w:tc>
        <w:tc>
          <w:tcPr>
            <w:tcW w:w="850" w:type="dxa"/>
            <w:tcBorders>
              <w:top w:val="nil"/>
              <w:left w:val="nil"/>
              <w:bottom w:val="single" w:sz="4" w:space="0" w:color="FFFFFF"/>
              <w:right w:val="single" w:sz="4" w:space="0" w:color="FFFFFF"/>
            </w:tcBorders>
            <w:shd w:val="clear" w:color="auto" w:fill="DEEAF6" w:themeFill="accent1" w:themeFillTint="33"/>
            <w:noWrap/>
            <w:vAlign w:val="center"/>
          </w:tcPr>
          <w:p w14:paraId="405FD4A1" w14:textId="77777777" w:rsidR="00C93B74" w:rsidRPr="00E275E6" w:rsidRDefault="00C93B74" w:rsidP="00B36274">
            <w:pPr>
              <w:jc w:val="right"/>
              <w:rPr>
                <w:rFonts w:asciiTheme="minorHAnsi" w:hAnsiTheme="minorHAnsi" w:cstheme="minorHAnsi"/>
                <w:sz w:val="18"/>
                <w:szCs w:val="18"/>
              </w:rPr>
            </w:pPr>
          </w:p>
        </w:tc>
      </w:tr>
    </w:tbl>
    <w:p w14:paraId="6CAD5F71" w14:textId="77777777" w:rsidR="00C93B74" w:rsidRDefault="00C93B74" w:rsidP="00C93B74">
      <w:pPr>
        <w:jc w:val="both"/>
        <w:rPr>
          <w:rFonts w:asciiTheme="minorHAnsi" w:hAnsiTheme="minorHAnsi" w:cstheme="minorHAnsi"/>
          <w:sz w:val="22"/>
          <w:szCs w:val="22"/>
          <w:u w:val="single"/>
        </w:rPr>
      </w:pPr>
    </w:p>
    <w:p w14:paraId="5233685D" w14:textId="77777777" w:rsidR="00C93B74" w:rsidRPr="00346C82" w:rsidRDefault="00C93B74" w:rsidP="00C93B74">
      <w:pPr>
        <w:jc w:val="both"/>
        <w:rPr>
          <w:rFonts w:asciiTheme="minorHAnsi" w:hAnsiTheme="minorHAnsi" w:cstheme="minorHAnsi"/>
          <w:b/>
          <w:bCs/>
          <w:sz w:val="22"/>
          <w:szCs w:val="22"/>
          <w:u w:val="single"/>
        </w:rPr>
      </w:pPr>
      <w:bookmarkStart w:id="22" w:name="_Hlk129014930"/>
      <w:bookmarkStart w:id="23" w:name="_Hlk155780758"/>
      <w:r w:rsidRPr="00346C82">
        <w:rPr>
          <w:rFonts w:asciiTheme="minorHAnsi" w:hAnsiTheme="minorHAnsi" w:cstheme="minorHAnsi"/>
          <w:b/>
          <w:bCs/>
          <w:sz w:val="22"/>
          <w:szCs w:val="22"/>
          <w:u w:val="single"/>
        </w:rPr>
        <w:t>Enquadramento</w:t>
      </w:r>
    </w:p>
    <w:p w14:paraId="19378A6F" w14:textId="77777777" w:rsidR="00C93B74" w:rsidRDefault="00C93B74" w:rsidP="00C93B74">
      <w:pPr>
        <w:jc w:val="both"/>
        <w:rPr>
          <w:rFonts w:asciiTheme="minorHAnsi" w:hAnsiTheme="minorHAnsi" w:cstheme="minorHAnsi"/>
          <w:sz w:val="22"/>
          <w:szCs w:val="22"/>
        </w:rPr>
      </w:pPr>
      <w:r>
        <w:rPr>
          <w:rFonts w:asciiTheme="minorHAnsi" w:hAnsiTheme="minorHAnsi" w:cstheme="minorHAnsi"/>
          <w:sz w:val="22"/>
          <w:szCs w:val="22"/>
        </w:rPr>
        <w:t xml:space="preserve">   </w:t>
      </w:r>
    </w:p>
    <w:p w14:paraId="02C68537" w14:textId="77777777" w:rsidR="00C93B74" w:rsidRPr="005754DC" w:rsidRDefault="00C93B74" w:rsidP="00C93B74">
      <w:pPr>
        <w:jc w:val="both"/>
        <w:rPr>
          <w:rFonts w:asciiTheme="minorHAnsi" w:hAnsiTheme="minorHAnsi" w:cstheme="minorHAnsi"/>
          <w:sz w:val="22"/>
          <w:szCs w:val="22"/>
        </w:rPr>
      </w:pPr>
      <w:r w:rsidRPr="005754DC">
        <w:rPr>
          <w:rFonts w:asciiTheme="minorHAnsi" w:hAnsiTheme="minorHAnsi" w:cstheme="minorHAnsi"/>
          <w:sz w:val="22"/>
          <w:szCs w:val="22"/>
        </w:rPr>
        <w:t>No âmbito do processo de reprivatização do</w:t>
      </w:r>
      <w:r>
        <w:rPr>
          <w:rFonts w:asciiTheme="minorHAnsi" w:hAnsiTheme="minorHAnsi" w:cstheme="minorHAnsi"/>
          <w:sz w:val="22"/>
          <w:szCs w:val="22"/>
        </w:rPr>
        <w:t xml:space="preserve"> </w:t>
      </w:r>
      <w:r w:rsidRPr="00B25D74">
        <w:rPr>
          <w:rFonts w:asciiTheme="minorHAnsi" w:hAnsiTheme="minorHAnsi" w:cstheme="minorHAnsi"/>
          <w:sz w:val="22"/>
          <w:szCs w:val="22"/>
        </w:rPr>
        <w:t>BPN-Banco Português de Negócios, S.A.</w:t>
      </w:r>
      <w:r>
        <w:rPr>
          <w:rFonts w:asciiTheme="minorHAnsi" w:hAnsiTheme="minorHAnsi" w:cstheme="minorHAnsi"/>
          <w:sz w:val="22"/>
          <w:szCs w:val="22"/>
        </w:rPr>
        <w:t xml:space="preserve"> (</w:t>
      </w:r>
      <w:r w:rsidRPr="005754DC">
        <w:rPr>
          <w:rFonts w:asciiTheme="minorHAnsi" w:hAnsiTheme="minorHAnsi" w:cstheme="minorHAnsi"/>
          <w:sz w:val="22"/>
          <w:szCs w:val="22"/>
        </w:rPr>
        <w:t>BPN</w:t>
      </w:r>
      <w:r>
        <w:rPr>
          <w:rFonts w:asciiTheme="minorHAnsi" w:hAnsiTheme="minorHAnsi" w:cstheme="minorHAnsi"/>
          <w:sz w:val="22"/>
          <w:szCs w:val="22"/>
        </w:rPr>
        <w:t>)</w:t>
      </w:r>
      <w:r w:rsidRPr="005754DC">
        <w:rPr>
          <w:rFonts w:asciiTheme="minorHAnsi" w:hAnsiTheme="minorHAnsi" w:cstheme="minorHAnsi"/>
          <w:sz w:val="22"/>
          <w:szCs w:val="22"/>
        </w:rPr>
        <w:t>, as medidas subjacentes à reestruturação determinadas pelos Despachos do Governo passaram pela segregação de um conjunto de ativos do balanço e pela sua transmissão para as sociedades PAR, tendo a PARVALOREM adquirido ao BPN, ao BANCO EFISA e à BPN Crédito um conjunto de créditos de diversa natureza que tem vindo a gerir</w:t>
      </w:r>
      <w:r>
        <w:rPr>
          <w:rFonts w:asciiTheme="minorHAnsi" w:hAnsiTheme="minorHAnsi" w:cstheme="minorHAnsi"/>
          <w:sz w:val="22"/>
          <w:szCs w:val="22"/>
        </w:rPr>
        <w:t>.</w:t>
      </w:r>
    </w:p>
    <w:p w14:paraId="14F14E00" w14:textId="77777777" w:rsidR="00C93B74" w:rsidRPr="005754DC" w:rsidRDefault="00C93B74" w:rsidP="00C93B74">
      <w:pPr>
        <w:jc w:val="both"/>
        <w:rPr>
          <w:rFonts w:asciiTheme="minorHAnsi" w:hAnsiTheme="minorHAnsi" w:cstheme="minorHAnsi"/>
          <w:sz w:val="22"/>
          <w:szCs w:val="22"/>
        </w:rPr>
      </w:pPr>
    </w:p>
    <w:p w14:paraId="084A0044" w14:textId="529E23A8" w:rsidR="00C93B74" w:rsidRPr="005754DC" w:rsidRDefault="00C93B74" w:rsidP="00DF561C">
      <w:pPr>
        <w:jc w:val="both"/>
        <w:rPr>
          <w:rFonts w:asciiTheme="minorHAnsi" w:hAnsiTheme="minorHAnsi" w:cstheme="minorHAnsi"/>
          <w:sz w:val="22"/>
          <w:szCs w:val="22"/>
        </w:rPr>
      </w:pPr>
      <w:r w:rsidRPr="005754DC">
        <w:rPr>
          <w:rFonts w:asciiTheme="minorHAnsi" w:hAnsiTheme="minorHAnsi" w:cstheme="minorHAnsi"/>
          <w:sz w:val="22"/>
          <w:szCs w:val="22"/>
        </w:rPr>
        <w:lastRenderedPageBreak/>
        <w:t xml:space="preserve">Na sua origem, a </w:t>
      </w:r>
      <w:r>
        <w:rPr>
          <w:rFonts w:asciiTheme="minorHAnsi" w:hAnsiTheme="minorHAnsi" w:cstheme="minorHAnsi"/>
          <w:sz w:val="22"/>
          <w:szCs w:val="22"/>
        </w:rPr>
        <w:t>primeira</w:t>
      </w:r>
      <w:r w:rsidRPr="005754DC">
        <w:rPr>
          <w:rFonts w:asciiTheme="minorHAnsi" w:hAnsiTheme="minorHAnsi" w:cstheme="minorHAnsi"/>
          <w:sz w:val="22"/>
          <w:szCs w:val="22"/>
        </w:rPr>
        <w:t xml:space="preserve"> cessão de créditos </w:t>
      </w:r>
      <w:r>
        <w:rPr>
          <w:rFonts w:asciiTheme="minorHAnsi" w:hAnsiTheme="minorHAnsi" w:cstheme="minorHAnsi"/>
          <w:sz w:val="22"/>
          <w:szCs w:val="22"/>
        </w:rPr>
        <w:t xml:space="preserve">ocorreu </w:t>
      </w:r>
      <w:r w:rsidRPr="005754DC">
        <w:rPr>
          <w:rFonts w:asciiTheme="minorHAnsi" w:hAnsiTheme="minorHAnsi" w:cstheme="minorHAnsi"/>
          <w:sz w:val="22"/>
          <w:szCs w:val="22"/>
        </w:rPr>
        <w:t>em dezembro de 2010, no valor global de € 2,5 mil milhões. No decorrer do processo de preparação para a concretização da venda do BPN ao Banco BIC</w:t>
      </w:r>
      <w:r w:rsidR="00F04ECD">
        <w:rPr>
          <w:rFonts w:asciiTheme="minorHAnsi" w:hAnsiTheme="minorHAnsi" w:cstheme="minorHAnsi"/>
          <w:sz w:val="22"/>
          <w:szCs w:val="22"/>
        </w:rPr>
        <w:t xml:space="preserve"> (</w:t>
      </w:r>
      <w:proofErr w:type="gramStart"/>
      <w:r w:rsidR="00F04ECD">
        <w:rPr>
          <w:rFonts w:asciiTheme="minorHAnsi" w:hAnsiTheme="minorHAnsi" w:cstheme="minorHAnsi"/>
          <w:sz w:val="22"/>
          <w:szCs w:val="22"/>
        </w:rPr>
        <w:t>doravante Abanca</w:t>
      </w:r>
      <w:proofErr w:type="gramEnd"/>
      <w:r w:rsidR="00F04ECD">
        <w:rPr>
          <w:rFonts w:asciiTheme="minorHAnsi" w:hAnsiTheme="minorHAnsi" w:cstheme="minorHAnsi"/>
          <w:sz w:val="22"/>
          <w:szCs w:val="22"/>
        </w:rPr>
        <w:t>)</w:t>
      </w:r>
      <w:r w:rsidRPr="005754DC">
        <w:rPr>
          <w:rFonts w:asciiTheme="minorHAnsi" w:hAnsiTheme="minorHAnsi" w:cstheme="minorHAnsi"/>
          <w:sz w:val="22"/>
          <w:szCs w:val="22"/>
        </w:rPr>
        <w:t>, não foram selecionados pelo comprador um conjunto de créditos no valor global de € 1,4 mil milhões</w:t>
      </w:r>
      <w:r>
        <w:rPr>
          <w:rFonts w:asciiTheme="minorHAnsi" w:hAnsiTheme="minorHAnsi" w:cstheme="minorHAnsi"/>
          <w:sz w:val="22"/>
          <w:szCs w:val="22"/>
        </w:rPr>
        <w:t>,</w:t>
      </w:r>
      <w:r w:rsidRPr="005754DC">
        <w:rPr>
          <w:rFonts w:asciiTheme="minorHAnsi" w:hAnsiTheme="minorHAnsi" w:cstheme="minorHAnsi"/>
          <w:sz w:val="22"/>
          <w:szCs w:val="22"/>
        </w:rPr>
        <w:t xml:space="preserve"> que conduziram à </w:t>
      </w:r>
      <w:r>
        <w:rPr>
          <w:rFonts w:asciiTheme="minorHAnsi" w:hAnsiTheme="minorHAnsi" w:cstheme="minorHAnsi"/>
          <w:sz w:val="22"/>
          <w:szCs w:val="22"/>
        </w:rPr>
        <w:t>segunda</w:t>
      </w:r>
      <w:r w:rsidRPr="005754DC">
        <w:rPr>
          <w:rFonts w:asciiTheme="minorHAnsi" w:hAnsiTheme="minorHAnsi" w:cstheme="minorHAnsi"/>
          <w:sz w:val="22"/>
          <w:szCs w:val="22"/>
        </w:rPr>
        <w:t xml:space="preserve"> cessão de créditos</w:t>
      </w:r>
      <w:r>
        <w:rPr>
          <w:rFonts w:asciiTheme="minorHAnsi" w:hAnsiTheme="minorHAnsi" w:cstheme="minorHAnsi"/>
          <w:sz w:val="22"/>
          <w:szCs w:val="22"/>
        </w:rPr>
        <w:t>,</w:t>
      </w:r>
      <w:r w:rsidRPr="005754DC">
        <w:rPr>
          <w:rFonts w:asciiTheme="minorHAnsi" w:hAnsiTheme="minorHAnsi" w:cstheme="minorHAnsi"/>
          <w:sz w:val="22"/>
          <w:szCs w:val="22"/>
        </w:rPr>
        <w:t xml:space="preserve"> realizada em março de 2012.</w:t>
      </w:r>
    </w:p>
    <w:p w14:paraId="19F8E5E8" w14:textId="77777777" w:rsidR="00C93B74" w:rsidRDefault="00C93B74" w:rsidP="00DF561C">
      <w:pPr>
        <w:jc w:val="both"/>
        <w:rPr>
          <w:rFonts w:asciiTheme="minorHAnsi" w:hAnsiTheme="minorHAnsi" w:cstheme="minorHAnsi"/>
          <w:sz w:val="22"/>
          <w:szCs w:val="22"/>
        </w:rPr>
      </w:pPr>
    </w:p>
    <w:p w14:paraId="7C98A768" w14:textId="04951ED1" w:rsidR="00C93B74" w:rsidRDefault="00C93B74" w:rsidP="00DF561C">
      <w:pPr>
        <w:jc w:val="both"/>
        <w:rPr>
          <w:rFonts w:asciiTheme="minorHAnsi" w:hAnsiTheme="minorHAnsi" w:cstheme="minorHAnsi"/>
          <w:sz w:val="22"/>
          <w:szCs w:val="22"/>
        </w:rPr>
      </w:pPr>
      <w:r w:rsidRPr="00272D6E">
        <w:rPr>
          <w:rFonts w:asciiTheme="minorHAnsi" w:hAnsiTheme="minorHAnsi" w:cstheme="minorHAnsi"/>
          <w:sz w:val="22"/>
          <w:szCs w:val="22"/>
        </w:rPr>
        <w:t>Em 2021</w:t>
      </w:r>
      <w:r>
        <w:rPr>
          <w:rFonts w:asciiTheme="minorHAnsi" w:hAnsiTheme="minorHAnsi" w:cstheme="minorHAnsi"/>
          <w:sz w:val="22"/>
          <w:szCs w:val="22"/>
        </w:rPr>
        <w:t>,</w:t>
      </w:r>
      <w:r w:rsidRPr="00272D6E">
        <w:rPr>
          <w:rFonts w:asciiTheme="minorHAnsi" w:hAnsiTheme="minorHAnsi" w:cstheme="minorHAnsi"/>
          <w:sz w:val="22"/>
          <w:szCs w:val="22"/>
        </w:rPr>
        <w:t xml:space="preserve"> ocorreram duas cessões adicionais de créditos, de € 1,18 milhões relativos à carteira em incumprimento do BANCO EFISA, e de € 3,6 milhões provenientes do </w:t>
      </w:r>
      <w:r w:rsidR="00750050">
        <w:rPr>
          <w:rFonts w:asciiTheme="minorHAnsi" w:hAnsiTheme="minorHAnsi" w:cstheme="minorHAnsi"/>
          <w:sz w:val="22"/>
          <w:szCs w:val="22"/>
        </w:rPr>
        <w:t xml:space="preserve">Banco </w:t>
      </w:r>
      <w:r w:rsidR="00F04ECD">
        <w:rPr>
          <w:rFonts w:asciiTheme="minorHAnsi" w:hAnsiTheme="minorHAnsi" w:cstheme="minorHAnsi"/>
          <w:sz w:val="22"/>
          <w:szCs w:val="22"/>
        </w:rPr>
        <w:t>Abanca</w:t>
      </w:r>
      <w:r w:rsidR="00750050">
        <w:rPr>
          <w:rFonts w:asciiTheme="minorHAnsi" w:hAnsiTheme="minorHAnsi" w:cstheme="minorHAnsi"/>
          <w:sz w:val="22"/>
          <w:szCs w:val="22"/>
        </w:rPr>
        <w:t xml:space="preserve"> (</w:t>
      </w:r>
      <w:proofErr w:type="spellStart"/>
      <w:r w:rsidR="00750050">
        <w:rPr>
          <w:rFonts w:asciiTheme="minorHAnsi" w:hAnsiTheme="minorHAnsi" w:cstheme="minorHAnsi"/>
          <w:sz w:val="22"/>
          <w:szCs w:val="22"/>
        </w:rPr>
        <w:t>ex</w:t>
      </w:r>
      <w:proofErr w:type="spellEnd"/>
      <w:r w:rsidR="00750050">
        <w:rPr>
          <w:rFonts w:asciiTheme="minorHAnsi" w:hAnsiTheme="minorHAnsi" w:cstheme="minorHAnsi"/>
          <w:sz w:val="22"/>
          <w:szCs w:val="22"/>
        </w:rPr>
        <w:t xml:space="preserve"> Banco BIC)</w:t>
      </w:r>
      <w:r>
        <w:rPr>
          <w:rFonts w:asciiTheme="minorHAnsi" w:hAnsiTheme="minorHAnsi" w:cstheme="minorHAnsi"/>
          <w:sz w:val="22"/>
          <w:szCs w:val="22"/>
        </w:rPr>
        <w:t>. E</w:t>
      </w:r>
      <w:r w:rsidRPr="00272D6E">
        <w:rPr>
          <w:rFonts w:asciiTheme="minorHAnsi" w:hAnsiTheme="minorHAnsi" w:cstheme="minorHAnsi"/>
          <w:sz w:val="22"/>
          <w:szCs w:val="22"/>
        </w:rPr>
        <w:t>m 2022</w:t>
      </w:r>
      <w:r>
        <w:rPr>
          <w:rFonts w:asciiTheme="minorHAnsi" w:hAnsiTheme="minorHAnsi" w:cstheme="minorHAnsi"/>
          <w:sz w:val="22"/>
          <w:szCs w:val="22"/>
        </w:rPr>
        <w:t>,</w:t>
      </w:r>
      <w:r w:rsidRPr="00272D6E">
        <w:rPr>
          <w:rFonts w:asciiTheme="minorHAnsi" w:hAnsiTheme="minorHAnsi" w:cstheme="minorHAnsi"/>
          <w:sz w:val="22"/>
          <w:szCs w:val="22"/>
        </w:rPr>
        <w:t xml:space="preserve"> ocorreu uma dação de créditos feita pelo organismo </w:t>
      </w:r>
      <w:proofErr w:type="spellStart"/>
      <w:r w:rsidRPr="00272D6E">
        <w:rPr>
          <w:rFonts w:asciiTheme="minorHAnsi" w:hAnsiTheme="minorHAnsi" w:cstheme="minorHAnsi"/>
          <w:sz w:val="22"/>
          <w:szCs w:val="22"/>
        </w:rPr>
        <w:t>Imoreal</w:t>
      </w:r>
      <w:proofErr w:type="spellEnd"/>
      <w:r w:rsidRPr="00272D6E">
        <w:rPr>
          <w:rFonts w:asciiTheme="minorHAnsi" w:hAnsiTheme="minorHAnsi" w:cstheme="minorHAnsi"/>
          <w:sz w:val="22"/>
          <w:szCs w:val="22"/>
        </w:rPr>
        <w:t xml:space="preserve"> de € 12,</w:t>
      </w:r>
      <w:r>
        <w:rPr>
          <w:rFonts w:asciiTheme="minorHAnsi" w:hAnsiTheme="minorHAnsi" w:cstheme="minorHAnsi"/>
          <w:sz w:val="22"/>
          <w:szCs w:val="22"/>
        </w:rPr>
        <w:t>4</w:t>
      </w:r>
      <w:r w:rsidRPr="00272D6E">
        <w:rPr>
          <w:rFonts w:asciiTheme="minorHAnsi" w:hAnsiTheme="minorHAnsi" w:cstheme="minorHAnsi"/>
          <w:sz w:val="22"/>
          <w:szCs w:val="22"/>
        </w:rPr>
        <w:t xml:space="preserve"> milhões, na sequência da liquidação do mesmo</w:t>
      </w:r>
      <w:r>
        <w:rPr>
          <w:rFonts w:asciiTheme="minorHAnsi" w:hAnsiTheme="minorHAnsi" w:cstheme="minorHAnsi"/>
          <w:sz w:val="22"/>
          <w:szCs w:val="22"/>
        </w:rPr>
        <w:t xml:space="preserve">, e em 2023 ocorreram cedências da carteira do BANCO EFISA num total </w:t>
      </w:r>
      <w:r w:rsidRPr="008866BE">
        <w:rPr>
          <w:rFonts w:asciiTheme="minorHAnsi" w:hAnsiTheme="minorHAnsi" w:cstheme="minorHAnsi"/>
          <w:sz w:val="22"/>
          <w:szCs w:val="22"/>
        </w:rPr>
        <w:t>de € 7,1 m</w:t>
      </w:r>
      <w:r>
        <w:rPr>
          <w:rFonts w:asciiTheme="minorHAnsi" w:hAnsiTheme="minorHAnsi" w:cstheme="minorHAnsi"/>
          <w:sz w:val="22"/>
          <w:szCs w:val="22"/>
        </w:rPr>
        <w:t>ilhões.</w:t>
      </w:r>
    </w:p>
    <w:p w14:paraId="075B2E7B" w14:textId="77777777" w:rsidR="00C93B74" w:rsidRDefault="00C93B74" w:rsidP="00DF561C">
      <w:pPr>
        <w:jc w:val="both"/>
        <w:rPr>
          <w:rFonts w:asciiTheme="minorHAnsi" w:hAnsiTheme="minorHAnsi" w:cstheme="minorHAnsi"/>
          <w:sz w:val="22"/>
          <w:szCs w:val="22"/>
        </w:rPr>
      </w:pPr>
    </w:p>
    <w:p w14:paraId="5012D529" w14:textId="77777777" w:rsidR="00C93B74" w:rsidRPr="0084798E" w:rsidRDefault="00C93B74" w:rsidP="00DF561C">
      <w:pPr>
        <w:jc w:val="both"/>
        <w:rPr>
          <w:rFonts w:asciiTheme="minorHAnsi" w:hAnsiTheme="minorHAnsi" w:cstheme="minorHAnsi"/>
          <w:sz w:val="22"/>
          <w:szCs w:val="22"/>
        </w:rPr>
      </w:pPr>
      <w:r>
        <w:rPr>
          <w:rFonts w:asciiTheme="minorHAnsi" w:hAnsiTheme="minorHAnsi" w:cstheme="minorHAnsi"/>
          <w:sz w:val="22"/>
          <w:szCs w:val="22"/>
        </w:rPr>
        <w:t xml:space="preserve">Decorrente </w:t>
      </w:r>
      <w:r w:rsidRPr="004F37A2">
        <w:rPr>
          <w:rFonts w:asciiTheme="minorHAnsi" w:hAnsiTheme="minorHAnsi" w:cstheme="minorHAnsi"/>
          <w:sz w:val="22"/>
          <w:szCs w:val="22"/>
        </w:rPr>
        <w:t xml:space="preserve">da sua atividade de </w:t>
      </w:r>
      <w:r>
        <w:rPr>
          <w:rFonts w:asciiTheme="minorHAnsi" w:hAnsiTheme="minorHAnsi" w:cstheme="minorHAnsi"/>
          <w:sz w:val="22"/>
          <w:szCs w:val="22"/>
        </w:rPr>
        <w:t xml:space="preserve">gestão e </w:t>
      </w:r>
      <w:r w:rsidRPr="004F37A2">
        <w:rPr>
          <w:rFonts w:asciiTheme="minorHAnsi" w:hAnsiTheme="minorHAnsi" w:cstheme="minorHAnsi"/>
          <w:sz w:val="22"/>
          <w:szCs w:val="22"/>
        </w:rPr>
        <w:t xml:space="preserve">recuperação de </w:t>
      </w:r>
      <w:r w:rsidRPr="006F0681">
        <w:rPr>
          <w:rFonts w:asciiTheme="minorHAnsi" w:hAnsiTheme="minorHAnsi" w:cstheme="minorHAnsi"/>
          <w:sz w:val="22"/>
          <w:szCs w:val="22"/>
        </w:rPr>
        <w:t xml:space="preserve">Outras Contas a </w:t>
      </w:r>
      <w:r w:rsidRPr="00462692">
        <w:rPr>
          <w:rFonts w:asciiTheme="minorHAnsi" w:hAnsiTheme="minorHAnsi" w:cstheme="minorHAnsi"/>
          <w:sz w:val="22"/>
          <w:szCs w:val="22"/>
        </w:rPr>
        <w:t>Receber (créditos</w:t>
      </w:r>
      <w:r>
        <w:rPr>
          <w:rFonts w:asciiTheme="minorHAnsi" w:hAnsiTheme="minorHAnsi" w:cstheme="minorHAnsi"/>
          <w:sz w:val="22"/>
          <w:szCs w:val="22"/>
        </w:rPr>
        <w:t xml:space="preserve"> sob gestão)</w:t>
      </w:r>
      <w:r w:rsidRPr="004F37A2">
        <w:rPr>
          <w:rFonts w:asciiTheme="minorHAnsi" w:hAnsiTheme="minorHAnsi" w:cstheme="minorHAnsi"/>
          <w:sz w:val="22"/>
          <w:szCs w:val="22"/>
        </w:rPr>
        <w:t xml:space="preserve">, a PARVALOREM, para além de receber </w:t>
      </w:r>
      <w:r>
        <w:rPr>
          <w:rFonts w:asciiTheme="minorHAnsi" w:hAnsiTheme="minorHAnsi" w:cstheme="minorHAnsi"/>
          <w:sz w:val="22"/>
          <w:szCs w:val="22"/>
        </w:rPr>
        <w:t xml:space="preserve">reembolsos </w:t>
      </w:r>
      <w:r w:rsidRPr="004F37A2">
        <w:rPr>
          <w:rFonts w:asciiTheme="minorHAnsi" w:hAnsiTheme="minorHAnsi" w:cstheme="minorHAnsi"/>
          <w:sz w:val="22"/>
          <w:szCs w:val="22"/>
        </w:rPr>
        <w:t>para</w:t>
      </w:r>
      <w:r>
        <w:rPr>
          <w:rFonts w:asciiTheme="minorHAnsi" w:hAnsiTheme="minorHAnsi" w:cstheme="minorHAnsi"/>
          <w:sz w:val="22"/>
          <w:szCs w:val="22"/>
        </w:rPr>
        <w:t xml:space="preserve"> a</w:t>
      </w:r>
      <w:r w:rsidRPr="004F37A2">
        <w:rPr>
          <w:rFonts w:asciiTheme="minorHAnsi" w:hAnsiTheme="minorHAnsi" w:cstheme="minorHAnsi"/>
          <w:sz w:val="22"/>
          <w:szCs w:val="22"/>
        </w:rPr>
        <w:t xml:space="preserve"> regularização de</w:t>
      </w:r>
      <w:r>
        <w:rPr>
          <w:rFonts w:asciiTheme="minorHAnsi" w:hAnsiTheme="minorHAnsi" w:cstheme="minorHAnsi"/>
          <w:sz w:val="22"/>
          <w:szCs w:val="22"/>
        </w:rPr>
        <w:t xml:space="preserve"> dívidas</w:t>
      </w:r>
      <w:r w:rsidRPr="004F37A2">
        <w:rPr>
          <w:rFonts w:asciiTheme="minorHAnsi" w:hAnsiTheme="minorHAnsi" w:cstheme="minorHAnsi"/>
          <w:sz w:val="22"/>
          <w:szCs w:val="22"/>
        </w:rPr>
        <w:t>, negociar planos de</w:t>
      </w:r>
      <w:r>
        <w:rPr>
          <w:rFonts w:asciiTheme="minorHAnsi" w:hAnsiTheme="minorHAnsi" w:cstheme="minorHAnsi"/>
          <w:sz w:val="22"/>
          <w:szCs w:val="22"/>
        </w:rPr>
        <w:t xml:space="preserve"> </w:t>
      </w:r>
      <w:r w:rsidRPr="004F37A2">
        <w:rPr>
          <w:rFonts w:asciiTheme="minorHAnsi" w:hAnsiTheme="minorHAnsi" w:cstheme="minorHAnsi"/>
          <w:sz w:val="22"/>
          <w:szCs w:val="22"/>
        </w:rPr>
        <w:t>pagamento periódicos e regulares no tempo, aceitar a cedência de créditos a entidades com maior solvência e melhores condições para cumprir com os planos de reembolso</w:t>
      </w:r>
      <w:r>
        <w:rPr>
          <w:rFonts w:asciiTheme="minorHAnsi" w:hAnsiTheme="minorHAnsi" w:cstheme="minorHAnsi"/>
          <w:sz w:val="22"/>
          <w:szCs w:val="22"/>
        </w:rPr>
        <w:t xml:space="preserve"> que o devedor inicial</w:t>
      </w:r>
      <w:r w:rsidRPr="004F37A2">
        <w:rPr>
          <w:rFonts w:asciiTheme="minorHAnsi" w:hAnsiTheme="minorHAnsi" w:cstheme="minorHAnsi"/>
          <w:sz w:val="22"/>
          <w:szCs w:val="22"/>
        </w:rPr>
        <w:t>, também recebe</w:t>
      </w:r>
      <w:r>
        <w:rPr>
          <w:rFonts w:asciiTheme="minorHAnsi" w:hAnsiTheme="minorHAnsi" w:cstheme="minorHAnsi"/>
          <w:sz w:val="22"/>
          <w:szCs w:val="22"/>
        </w:rPr>
        <w:t xml:space="preserve"> </w:t>
      </w:r>
      <w:r w:rsidRPr="0084798E">
        <w:rPr>
          <w:rFonts w:asciiTheme="minorHAnsi" w:hAnsiTheme="minorHAnsi" w:cstheme="minorHAnsi"/>
          <w:sz w:val="22"/>
          <w:szCs w:val="22"/>
        </w:rPr>
        <w:t xml:space="preserve">ativos em dação </w:t>
      </w:r>
      <w:r>
        <w:rPr>
          <w:rFonts w:asciiTheme="minorHAnsi" w:hAnsiTheme="minorHAnsi" w:cstheme="minorHAnsi"/>
          <w:sz w:val="22"/>
          <w:szCs w:val="22"/>
        </w:rPr>
        <w:t xml:space="preserve">em pagamento ou por adjudicação no âmbito de processos judiciais </w:t>
      </w:r>
      <w:r w:rsidRPr="0084798E">
        <w:rPr>
          <w:rFonts w:asciiTheme="minorHAnsi" w:hAnsiTheme="minorHAnsi" w:cstheme="minorHAnsi"/>
          <w:sz w:val="22"/>
          <w:szCs w:val="22"/>
        </w:rPr>
        <w:t xml:space="preserve">(imóveis, viaturas, ativos financeiros, etc.). </w:t>
      </w:r>
    </w:p>
    <w:p w14:paraId="7D8873BC" w14:textId="77777777" w:rsidR="00C93B74" w:rsidRPr="0084798E" w:rsidRDefault="00C93B74" w:rsidP="00DF561C">
      <w:pPr>
        <w:jc w:val="both"/>
        <w:rPr>
          <w:rFonts w:asciiTheme="minorHAnsi" w:hAnsiTheme="minorHAnsi" w:cstheme="minorHAnsi"/>
          <w:sz w:val="22"/>
          <w:szCs w:val="22"/>
        </w:rPr>
      </w:pPr>
    </w:p>
    <w:p w14:paraId="76CCFE70" w14:textId="335477CE" w:rsidR="00C93B74" w:rsidRPr="006F0681" w:rsidRDefault="00C93B74" w:rsidP="00DF561C">
      <w:pPr>
        <w:jc w:val="both"/>
        <w:rPr>
          <w:rFonts w:asciiTheme="minorHAnsi" w:hAnsiTheme="minorHAnsi" w:cstheme="minorHAnsi"/>
          <w:bCs/>
          <w:sz w:val="22"/>
          <w:szCs w:val="22"/>
        </w:rPr>
      </w:pPr>
      <w:r w:rsidRPr="000F7A6F">
        <w:rPr>
          <w:rFonts w:asciiTheme="minorHAnsi" w:hAnsiTheme="minorHAnsi" w:cstheme="minorHAnsi"/>
          <w:bCs/>
          <w:sz w:val="22"/>
          <w:szCs w:val="22"/>
        </w:rPr>
        <w:t xml:space="preserve">As rubricas de Outras contas a Receber, com € </w:t>
      </w:r>
      <w:r w:rsidR="00AB3514">
        <w:rPr>
          <w:rFonts w:asciiTheme="minorHAnsi" w:hAnsiTheme="minorHAnsi" w:cstheme="minorHAnsi"/>
          <w:bCs/>
          <w:sz w:val="22"/>
          <w:szCs w:val="22"/>
        </w:rPr>
        <w:t>7</w:t>
      </w:r>
      <w:r w:rsidR="002D2B5A">
        <w:rPr>
          <w:rFonts w:asciiTheme="minorHAnsi" w:hAnsiTheme="minorHAnsi" w:cstheme="minorHAnsi"/>
          <w:bCs/>
          <w:sz w:val="22"/>
          <w:szCs w:val="22"/>
        </w:rPr>
        <w:t>9</w:t>
      </w:r>
      <w:r w:rsidR="00AB3514">
        <w:rPr>
          <w:rFonts w:asciiTheme="minorHAnsi" w:hAnsiTheme="minorHAnsi" w:cstheme="minorHAnsi"/>
          <w:bCs/>
          <w:sz w:val="22"/>
          <w:szCs w:val="22"/>
        </w:rPr>
        <w:t>,4</w:t>
      </w:r>
      <w:r w:rsidRPr="00272D6E">
        <w:rPr>
          <w:rFonts w:asciiTheme="minorHAnsi" w:hAnsiTheme="minorHAnsi" w:cstheme="minorHAnsi"/>
          <w:bCs/>
          <w:sz w:val="22"/>
          <w:szCs w:val="22"/>
        </w:rPr>
        <w:t xml:space="preserve"> milhões depois de imparidades</w:t>
      </w:r>
      <w:r w:rsidR="00051FD1">
        <w:rPr>
          <w:rFonts w:asciiTheme="minorHAnsi" w:hAnsiTheme="minorHAnsi" w:cstheme="minorHAnsi"/>
          <w:bCs/>
          <w:sz w:val="22"/>
          <w:szCs w:val="22"/>
        </w:rPr>
        <w:t>,</w:t>
      </w:r>
      <w:r w:rsidRPr="00561327">
        <w:rPr>
          <w:rFonts w:asciiTheme="minorHAnsi" w:hAnsiTheme="minorHAnsi" w:cstheme="minorHAnsi"/>
          <w:bCs/>
          <w:sz w:val="22"/>
          <w:szCs w:val="22"/>
        </w:rPr>
        <w:t xml:space="preserve"> traduz o saldo remanescente, líquido de imparidades, no final do exercício de 202</w:t>
      </w:r>
      <w:r w:rsidR="006F771D">
        <w:rPr>
          <w:rFonts w:asciiTheme="minorHAnsi" w:hAnsiTheme="minorHAnsi" w:cstheme="minorHAnsi"/>
          <w:bCs/>
          <w:sz w:val="22"/>
          <w:szCs w:val="22"/>
        </w:rPr>
        <w:t>5</w:t>
      </w:r>
      <w:r w:rsidRPr="00561327">
        <w:rPr>
          <w:rFonts w:asciiTheme="minorHAnsi" w:hAnsiTheme="minorHAnsi" w:cstheme="minorHAnsi"/>
          <w:bCs/>
          <w:sz w:val="22"/>
          <w:szCs w:val="22"/>
        </w:rPr>
        <w:t>, do total do crédito cedido em 2010, 2012</w:t>
      </w:r>
      <w:r>
        <w:rPr>
          <w:rFonts w:asciiTheme="minorHAnsi" w:hAnsiTheme="minorHAnsi" w:cstheme="minorHAnsi"/>
          <w:bCs/>
          <w:sz w:val="22"/>
          <w:szCs w:val="22"/>
        </w:rPr>
        <w:t>,</w:t>
      </w:r>
      <w:r w:rsidRPr="00292871">
        <w:rPr>
          <w:rFonts w:asciiTheme="minorHAnsi" w:hAnsiTheme="minorHAnsi" w:cstheme="minorHAnsi"/>
          <w:bCs/>
          <w:sz w:val="22"/>
          <w:szCs w:val="22"/>
        </w:rPr>
        <w:t xml:space="preserve"> 2021</w:t>
      </w:r>
      <w:r>
        <w:rPr>
          <w:rFonts w:asciiTheme="minorHAnsi" w:hAnsiTheme="minorHAnsi" w:cstheme="minorHAnsi"/>
          <w:bCs/>
          <w:sz w:val="22"/>
          <w:szCs w:val="22"/>
        </w:rPr>
        <w:t>, 2022 e 2023</w:t>
      </w:r>
      <w:r w:rsidRPr="00292871">
        <w:rPr>
          <w:rFonts w:asciiTheme="minorHAnsi" w:hAnsiTheme="minorHAnsi" w:cstheme="minorHAnsi"/>
          <w:bCs/>
          <w:sz w:val="22"/>
          <w:szCs w:val="22"/>
        </w:rPr>
        <w:t>.</w:t>
      </w:r>
    </w:p>
    <w:bookmarkEnd w:id="22"/>
    <w:p w14:paraId="64351DEB" w14:textId="77777777" w:rsidR="003C0FDF" w:rsidRDefault="003C0FDF">
      <w:pPr>
        <w:rPr>
          <w:rFonts w:asciiTheme="minorHAnsi" w:hAnsiTheme="minorHAnsi" w:cstheme="minorHAnsi"/>
          <w:b/>
          <w:bCs/>
          <w:sz w:val="22"/>
          <w:szCs w:val="22"/>
          <w:u w:val="single"/>
        </w:rPr>
      </w:pPr>
      <w:r>
        <w:rPr>
          <w:rFonts w:asciiTheme="minorHAnsi" w:hAnsiTheme="minorHAnsi" w:cstheme="minorHAnsi"/>
          <w:b/>
          <w:bCs/>
          <w:sz w:val="22"/>
          <w:szCs w:val="22"/>
          <w:u w:val="single"/>
        </w:rPr>
        <w:br w:type="page"/>
      </w:r>
    </w:p>
    <w:p w14:paraId="48B90477" w14:textId="55882D0D" w:rsidR="00C93B74" w:rsidRDefault="00C93B74" w:rsidP="003C0FDF">
      <w:pPr>
        <w:rPr>
          <w:rFonts w:asciiTheme="minorHAnsi" w:hAnsiTheme="minorHAnsi" w:cstheme="minorHAnsi"/>
          <w:b/>
          <w:bCs/>
          <w:sz w:val="22"/>
          <w:szCs w:val="22"/>
          <w:u w:val="single"/>
        </w:rPr>
      </w:pPr>
      <w:r w:rsidRPr="00346C82">
        <w:rPr>
          <w:rFonts w:asciiTheme="minorHAnsi" w:hAnsiTheme="minorHAnsi" w:cstheme="minorHAnsi"/>
          <w:b/>
          <w:bCs/>
          <w:sz w:val="22"/>
          <w:szCs w:val="22"/>
          <w:u w:val="single"/>
        </w:rPr>
        <w:lastRenderedPageBreak/>
        <w:t>Recuperação</w:t>
      </w:r>
    </w:p>
    <w:p w14:paraId="7CED2829" w14:textId="77777777" w:rsidR="00C93B74" w:rsidRDefault="00C93B74" w:rsidP="00C93B74">
      <w:pPr>
        <w:jc w:val="both"/>
        <w:rPr>
          <w:rFonts w:asciiTheme="minorHAnsi" w:hAnsiTheme="minorHAnsi" w:cstheme="minorHAnsi"/>
          <w:bCs/>
          <w:sz w:val="22"/>
          <w:szCs w:val="22"/>
        </w:rPr>
      </w:pPr>
    </w:p>
    <w:p w14:paraId="312AB26B" w14:textId="77777777" w:rsidR="00C93B74" w:rsidRDefault="00C93B74" w:rsidP="00C93B74">
      <w:pPr>
        <w:jc w:val="both"/>
        <w:rPr>
          <w:rFonts w:asciiTheme="minorHAnsi" w:hAnsiTheme="minorHAnsi" w:cstheme="minorHAnsi"/>
          <w:bCs/>
          <w:sz w:val="22"/>
          <w:szCs w:val="22"/>
        </w:rPr>
      </w:pPr>
      <w:r w:rsidRPr="00E87F01">
        <w:rPr>
          <w:rFonts w:asciiTheme="minorHAnsi" w:hAnsiTheme="minorHAnsi" w:cstheme="minorHAnsi"/>
          <w:bCs/>
          <w:sz w:val="22"/>
          <w:szCs w:val="22"/>
        </w:rPr>
        <w:t>A conjuntura económica, a evolução do mercado de trabalho e</w:t>
      </w:r>
      <w:r>
        <w:rPr>
          <w:rFonts w:asciiTheme="minorHAnsi" w:hAnsiTheme="minorHAnsi" w:cstheme="minorHAnsi"/>
          <w:bCs/>
          <w:sz w:val="22"/>
          <w:szCs w:val="22"/>
        </w:rPr>
        <w:t>,</w:t>
      </w:r>
      <w:r w:rsidRPr="00E87F01">
        <w:rPr>
          <w:rFonts w:asciiTheme="minorHAnsi" w:hAnsiTheme="minorHAnsi" w:cstheme="minorHAnsi"/>
          <w:bCs/>
          <w:sz w:val="22"/>
          <w:szCs w:val="22"/>
        </w:rPr>
        <w:t xml:space="preserve"> em especial</w:t>
      </w:r>
      <w:r>
        <w:rPr>
          <w:rFonts w:asciiTheme="minorHAnsi" w:hAnsiTheme="minorHAnsi" w:cstheme="minorHAnsi"/>
          <w:bCs/>
          <w:sz w:val="22"/>
          <w:szCs w:val="22"/>
        </w:rPr>
        <w:t>,</w:t>
      </w:r>
      <w:r w:rsidRPr="00E87F01">
        <w:rPr>
          <w:rFonts w:asciiTheme="minorHAnsi" w:hAnsiTheme="minorHAnsi" w:cstheme="minorHAnsi"/>
          <w:bCs/>
          <w:sz w:val="22"/>
          <w:szCs w:val="22"/>
        </w:rPr>
        <w:t xml:space="preserve"> </w:t>
      </w:r>
      <w:r>
        <w:rPr>
          <w:rFonts w:asciiTheme="minorHAnsi" w:hAnsiTheme="minorHAnsi" w:cstheme="minorHAnsi"/>
          <w:bCs/>
          <w:sz w:val="22"/>
          <w:szCs w:val="22"/>
        </w:rPr>
        <w:t xml:space="preserve">o comportamento </w:t>
      </w:r>
      <w:r w:rsidRPr="00E87F01">
        <w:rPr>
          <w:rFonts w:asciiTheme="minorHAnsi" w:hAnsiTheme="minorHAnsi" w:cstheme="minorHAnsi"/>
          <w:bCs/>
          <w:sz w:val="22"/>
          <w:szCs w:val="22"/>
        </w:rPr>
        <w:t>do mercado imobiliário em Portugal têm influência preponderante na evolução da recuperação da carteira de crédito.</w:t>
      </w:r>
    </w:p>
    <w:p w14:paraId="4C597088" w14:textId="260C5283" w:rsidR="00C5701D" w:rsidRDefault="00C5701D" w:rsidP="00C93B74">
      <w:pPr>
        <w:jc w:val="both"/>
        <w:rPr>
          <w:rFonts w:asciiTheme="minorHAnsi" w:hAnsiTheme="minorHAnsi" w:cstheme="minorHAnsi"/>
          <w:bCs/>
          <w:sz w:val="22"/>
          <w:szCs w:val="22"/>
        </w:rPr>
      </w:pPr>
      <w:r w:rsidRPr="00C5701D">
        <w:rPr>
          <w:noProof/>
        </w:rPr>
        <w:drawing>
          <wp:inline distT="0" distB="0" distL="0" distR="0" wp14:anchorId="1BD068AA" wp14:editId="7BB51132">
            <wp:extent cx="5400040" cy="2220595"/>
            <wp:effectExtent l="0" t="0" r="0" b="8255"/>
            <wp:docPr id="196624837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2220595"/>
                    </a:xfrm>
                    <a:prstGeom prst="rect">
                      <a:avLst/>
                    </a:prstGeom>
                    <a:noFill/>
                    <a:ln>
                      <a:noFill/>
                    </a:ln>
                  </pic:spPr>
                </pic:pic>
              </a:graphicData>
            </a:graphic>
          </wp:inline>
        </w:drawing>
      </w:r>
    </w:p>
    <w:p w14:paraId="2A56087C" w14:textId="77777777" w:rsidR="00C93B74" w:rsidRPr="00C55377" w:rsidRDefault="00C93B74" w:rsidP="00C93B74">
      <w:pPr>
        <w:rPr>
          <w:rFonts w:asciiTheme="minorHAnsi" w:hAnsiTheme="minorHAnsi" w:cstheme="minorHAnsi"/>
          <w:sz w:val="12"/>
          <w:szCs w:val="12"/>
          <w:u w:val="single"/>
        </w:rPr>
      </w:pPr>
      <w:r w:rsidRPr="00082009">
        <w:rPr>
          <w:rFonts w:asciiTheme="minorHAnsi" w:hAnsiTheme="minorHAnsi" w:cstheme="minorHAnsi"/>
          <w:sz w:val="12"/>
          <w:szCs w:val="12"/>
          <w:u w:val="single"/>
        </w:rPr>
        <w:t>Legenda:</w:t>
      </w:r>
      <w:r w:rsidRPr="00C55377">
        <w:rPr>
          <w:rFonts w:asciiTheme="minorHAnsi" w:hAnsiTheme="minorHAnsi" w:cstheme="minorHAnsi"/>
          <w:sz w:val="12"/>
          <w:szCs w:val="12"/>
          <w:u w:val="single"/>
        </w:rPr>
        <w:t xml:space="preserve"> </w:t>
      </w:r>
    </w:p>
    <w:p w14:paraId="41903744" w14:textId="77777777" w:rsidR="00C93B74" w:rsidRPr="0073306A" w:rsidRDefault="00C93B74" w:rsidP="00C93B74">
      <w:pPr>
        <w:rPr>
          <w:rFonts w:asciiTheme="minorHAnsi" w:hAnsiTheme="minorHAnsi" w:cstheme="minorHAnsi"/>
          <w:sz w:val="12"/>
          <w:szCs w:val="12"/>
        </w:rPr>
      </w:pPr>
      <w:r w:rsidRPr="0073306A">
        <w:rPr>
          <w:rFonts w:asciiTheme="minorHAnsi" w:hAnsiTheme="minorHAnsi" w:cstheme="minorHAnsi"/>
          <w:sz w:val="12"/>
          <w:szCs w:val="12"/>
          <w:vertAlign w:val="superscript"/>
        </w:rPr>
        <w:t>(a)</w:t>
      </w:r>
      <w:r w:rsidRPr="0073306A">
        <w:rPr>
          <w:rFonts w:asciiTheme="minorHAnsi" w:hAnsiTheme="minorHAnsi" w:cstheme="minorHAnsi"/>
          <w:sz w:val="12"/>
          <w:szCs w:val="12"/>
        </w:rPr>
        <w:t xml:space="preserve"> inclui capital e juros e I.S.</w:t>
      </w:r>
    </w:p>
    <w:p w14:paraId="54A50AB6" w14:textId="77777777" w:rsidR="00C93B74" w:rsidRPr="0073306A" w:rsidRDefault="00C93B74" w:rsidP="00C93B74">
      <w:pPr>
        <w:rPr>
          <w:rFonts w:asciiTheme="minorHAnsi" w:hAnsiTheme="minorHAnsi" w:cstheme="minorHAnsi"/>
          <w:sz w:val="12"/>
          <w:szCs w:val="12"/>
        </w:rPr>
      </w:pPr>
      <w:r w:rsidRPr="0073306A">
        <w:rPr>
          <w:rFonts w:asciiTheme="minorHAnsi" w:hAnsiTheme="minorHAnsi" w:cstheme="minorHAnsi"/>
          <w:sz w:val="12"/>
          <w:szCs w:val="12"/>
          <w:vertAlign w:val="superscript"/>
        </w:rPr>
        <w:t>(b)</w:t>
      </w:r>
      <w:r w:rsidRPr="0073306A">
        <w:rPr>
          <w:rFonts w:asciiTheme="minorHAnsi" w:hAnsiTheme="minorHAnsi" w:cstheme="minorHAnsi"/>
          <w:sz w:val="12"/>
          <w:szCs w:val="12"/>
        </w:rPr>
        <w:t xml:space="preserve"> valor sem IVA</w:t>
      </w:r>
    </w:p>
    <w:p w14:paraId="5A98CE3E" w14:textId="77777777" w:rsidR="00C93B74" w:rsidRPr="0073306A" w:rsidRDefault="00C93B74" w:rsidP="00C93B74">
      <w:pPr>
        <w:ind w:left="142" w:hanging="142"/>
        <w:rPr>
          <w:rFonts w:asciiTheme="minorHAnsi" w:hAnsiTheme="minorHAnsi" w:cstheme="minorHAnsi"/>
          <w:sz w:val="12"/>
          <w:szCs w:val="12"/>
        </w:rPr>
      </w:pPr>
      <w:r w:rsidRPr="0073306A">
        <w:rPr>
          <w:rFonts w:asciiTheme="minorHAnsi" w:hAnsiTheme="minorHAnsi" w:cstheme="minorHAnsi"/>
          <w:sz w:val="12"/>
          <w:szCs w:val="12"/>
          <w:vertAlign w:val="superscript"/>
        </w:rPr>
        <w:t>(c)</w:t>
      </w:r>
      <w:r w:rsidRPr="0073306A">
        <w:rPr>
          <w:rFonts w:asciiTheme="minorHAnsi" w:hAnsiTheme="minorHAnsi" w:cstheme="minorHAnsi"/>
          <w:sz w:val="12"/>
          <w:szCs w:val="12"/>
        </w:rPr>
        <w:t xml:space="preserve"> Ativos financeiros - inclui o pagamento de cupões (valores antes de imposto) e reembolso de capital de obrigações. </w:t>
      </w:r>
    </w:p>
    <w:p w14:paraId="332D1078" w14:textId="77777777" w:rsidR="00C93B74" w:rsidRDefault="00C93B74" w:rsidP="00C93B74">
      <w:pPr>
        <w:jc w:val="both"/>
        <w:rPr>
          <w:rFonts w:asciiTheme="minorHAnsi" w:hAnsiTheme="minorHAnsi" w:cstheme="minorHAnsi"/>
          <w:sz w:val="22"/>
          <w:szCs w:val="22"/>
        </w:rPr>
      </w:pPr>
    </w:p>
    <w:p w14:paraId="62DD8D4E" w14:textId="677AD797" w:rsidR="00C93B74" w:rsidRPr="00B61F5E" w:rsidRDefault="00C93B74" w:rsidP="00C93B74">
      <w:pPr>
        <w:jc w:val="both"/>
        <w:rPr>
          <w:rFonts w:asciiTheme="minorHAnsi" w:hAnsiTheme="minorHAnsi" w:cstheme="minorHAnsi"/>
          <w:bCs/>
          <w:sz w:val="22"/>
          <w:szCs w:val="22"/>
        </w:rPr>
      </w:pPr>
      <w:r w:rsidRPr="00B61F5E">
        <w:rPr>
          <w:rFonts w:asciiTheme="minorHAnsi" w:hAnsiTheme="minorHAnsi" w:cstheme="minorHAnsi"/>
          <w:bCs/>
          <w:sz w:val="22"/>
          <w:szCs w:val="22"/>
        </w:rPr>
        <w:t>No exercício de 202</w:t>
      </w:r>
      <w:r w:rsidR="00C5701D">
        <w:rPr>
          <w:rFonts w:asciiTheme="minorHAnsi" w:hAnsiTheme="minorHAnsi" w:cstheme="minorHAnsi"/>
          <w:bCs/>
          <w:sz w:val="22"/>
          <w:szCs w:val="22"/>
        </w:rPr>
        <w:t>5</w:t>
      </w:r>
      <w:r w:rsidRPr="00B61F5E">
        <w:rPr>
          <w:rFonts w:asciiTheme="minorHAnsi" w:hAnsiTheme="minorHAnsi" w:cstheme="minorHAnsi"/>
          <w:bCs/>
          <w:sz w:val="22"/>
          <w:szCs w:val="22"/>
        </w:rPr>
        <w:t xml:space="preserve">, a recuperação da PARVALOREM com origem em ativos financeiros foi de € </w:t>
      </w:r>
      <w:r w:rsidR="00C5701D">
        <w:rPr>
          <w:rFonts w:asciiTheme="minorHAnsi" w:hAnsiTheme="minorHAnsi" w:cstheme="minorHAnsi"/>
          <w:bCs/>
          <w:sz w:val="22"/>
          <w:szCs w:val="22"/>
        </w:rPr>
        <w:t>34</w:t>
      </w:r>
      <w:r w:rsidR="0073306A">
        <w:rPr>
          <w:rFonts w:asciiTheme="minorHAnsi" w:hAnsiTheme="minorHAnsi" w:cstheme="minorHAnsi"/>
          <w:bCs/>
          <w:sz w:val="22"/>
          <w:szCs w:val="22"/>
        </w:rPr>
        <w:t>,</w:t>
      </w:r>
      <w:r w:rsidR="00C5701D">
        <w:rPr>
          <w:rFonts w:asciiTheme="minorHAnsi" w:hAnsiTheme="minorHAnsi" w:cstheme="minorHAnsi"/>
          <w:bCs/>
          <w:sz w:val="22"/>
          <w:szCs w:val="22"/>
        </w:rPr>
        <w:t>3</w:t>
      </w:r>
      <w:r w:rsidRPr="00B61F5E">
        <w:rPr>
          <w:rFonts w:asciiTheme="minorHAnsi" w:hAnsiTheme="minorHAnsi" w:cstheme="minorHAnsi"/>
          <w:bCs/>
          <w:sz w:val="22"/>
          <w:szCs w:val="22"/>
        </w:rPr>
        <w:t xml:space="preserve"> milhões </w:t>
      </w:r>
      <w:r w:rsidR="0073306A">
        <w:rPr>
          <w:rFonts w:asciiTheme="minorHAnsi" w:hAnsiTheme="minorHAnsi" w:cstheme="minorHAnsi"/>
          <w:bCs/>
          <w:sz w:val="22"/>
          <w:szCs w:val="22"/>
        </w:rPr>
        <w:t>(</w:t>
      </w:r>
      <w:r w:rsidR="005407A9">
        <w:rPr>
          <w:rFonts w:asciiTheme="minorHAnsi" w:hAnsiTheme="minorHAnsi" w:cstheme="minorHAnsi"/>
          <w:bCs/>
          <w:sz w:val="22"/>
          <w:szCs w:val="22"/>
        </w:rPr>
        <w:t>inclui</w:t>
      </w:r>
      <w:r w:rsidR="0073306A">
        <w:rPr>
          <w:rFonts w:asciiTheme="minorHAnsi" w:hAnsiTheme="minorHAnsi" w:cstheme="minorHAnsi"/>
          <w:bCs/>
          <w:sz w:val="22"/>
          <w:szCs w:val="22"/>
        </w:rPr>
        <w:t xml:space="preserve"> </w:t>
      </w:r>
      <w:r w:rsidR="00C5701D">
        <w:rPr>
          <w:rFonts w:asciiTheme="minorHAnsi" w:hAnsiTheme="minorHAnsi" w:cstheme="minorHAnsi"/>
          <w:bCs/>
          <w:sz w:val="22"/>
          <w:szCs w:val="22"/>
        </w:rPr>
        <w:t xml:space="preserve">resgates de unidades de participação do fundo </w:t>
      </w:r>
      <w:proofErr w:type="spellStart"/>
      <w:r w:rsidR="00C5701D">
        <w:rPr>
          <w:rFonts w:asciiTheme="minorHAnsi" w:hAnsiTheme="minorHAnsi" w:cstheme="minorHAnsi"/>
          <w:bCs/>
          <w:sz w:val="22"/>
          <w:szCs w:val="22"/>
        </w:rPr>
        <w:t>Imonegócios</w:t>
      </w:r>
      <w:proofErr w:type="spellEnd"/>
      <w:r w:rsidR="005407A9">
        <w:rPr>
          <w:rFonts w:asciiTheme="minorHAnsi" w:hAnsiTheme="minorHAnsi" w:cstheme="minorHAnsi"/>
          <w:bCs/>
          <w:sz w:val="22"/>
          <w:szCs w:val="22"/>
        </w:rPr>
        <w:t xml:space="preserve"> de € 30 milhões e dividendos da</w:t>
      </w:r>
      <w:r w:rsidR="006F771D">
        <w:rPr>
          <w:rFonts w:asciiTheme="minorHAnsi" w:hAnsiTheme="minorHAnsi" w:cstheme="minorHAnsi"/>
          <w:bCs/>
          <w:sz w:val="22"/>
          <w:szCs w:val="22"/>
        </w:rPr>
        <w:t xml:space="preserve"> participada</w:t>
      </w:r>
      <w:r w:rsidR="005407A9">
        <w:rPr>
          <w:rFonts w:asciiTheme="minorHAnsi" w:hAnsiTheme="minorHAnsi" w:cstheme="minorHAnsi"/>
          <w:bCs/>
          <w:sz w:val="22"/>
          <w:szCs w:val="22"/>
        </w:rPr>
        <w:t xml:space="preserve"> </w:t>
      </w:r>
      <w:r w:rsidR="006F771D">
        <w:rPr>
          <w:rFonts w:asciiTheme="minorHAnsi" w:hAnsiTheme="minorHAnsi" w:cstheme="minorHAnsi"/>
          <w:bCs/>
          <w:sz w:val="22"/>
          <w:szCs w:val="22"/>
        </w:rPr>
        <w:t>IMOFUNDOS</w:t>
      </w:r>
      <w:r w:rsidR="005407A9">
        <w:rPr>
          <w:rFonts w:asciiTheme="minorHAnsi" w:hAnsiTheme="minorHAnsi" w:cstheme="minorHAnsi"/>
          <w:bCs/>
          <w:sz w:val="22"/>
          <w:szCs w:val="22"/>
        </w:rPr>
        <w:t xml:space="preserve"> de € 3,8 milhões</w:t>
      </w:r>
      <w:r w:rsidR="0073306A">
        <w:rPr>
          <w:rFonts w:asciiTheme="minorHAnsi" w:hAnsiTheme="minorHAnsi" w:cstheme="minorHAnsi"/>
          <w:bCs/>
          <w:sz w:val="22"/>
          <w:szCs w:val="22"/>
        </w:rPr>
        <w:t>)</w:t>
      </w:r>
      <w:r w:rsidR="0073306A" w:rsidRPr="00B61F5E">
        <w:rPr>
          <w:rFonts w:asciiTheme="minorHAnsi" w:hAnsiTheme="minorHAnsi" w:cstheme="minorHAnsi"/>
          <w:bCs/>
          <w:sz w:val="22"/>
          <w:szCs w:val="22"/>
        </w:rPr>
        <w:t xml:space="preserve"> </w:t>
      </w:r>
      <w:r w:rsidRPr="00B61F5E">
        <w:rPr>
          <w:rFonts w:asciiTheme="minorHAnsi" w:hAnsiTheme="minorHAnsi" w:cstheme="minorHAnsi"/>
          <w:bCs/>
          <w:sz w:val="22"/>
          <w:szCs w:val="22"/>
        </w:rPr>
        <w:t xml:space="preserve">e os montantes da recuperação de dívida, não titularizada e titularizada, ascenderam </w:t>
      </w:r>
      <w:r w:rsidRPr="009A36D3">
        <w:rPr>
          <w:rFonts w:asciiTheme="minorHAnsi" w:hAnsiTheme="minorHAnsi" w:cstheme="minorHAnsi"/>
          <w:bCs/>
          <w:sz w:val="22"/>
          <w:szCs w:val="22"/>
        </w:rPr>
        <w:t xml:space="preserve">a € </w:t>
      </w:r>
      <w:r w:rsidR="00C5701D">
        <w:rPr>
          <w:rFonts w:asciiTheme="minorHAnsi" w:hAnsiTheme="minorHAnsi" w:cstheme="minorHAnsi"/>
          <w:bCs/>
          <w:sz w:val="22"/>
          <w:szCs w:val="22"/>
        </w:rPr>
        <w:t>2</w:t>
      </w:r>
      <w:r w:rsidR="009A36D3" w:rsidRPr="003C0FDF">
        <w:rPr>
          <w:rFonts w:asciiTheme="minorHAnsi" w:hAnsiTheme="minorHAnsi" w:cstheme="minorHAnsi"/>
          <w:bCs/>
          <w:sz w:val="22"/>
          <w:szCs w:val="22"/>
        </w:rPr>
        <w:t>6</w:t>
      </w:r>
      <w:r w:rsidR="0073306A" w:rsidRPr="009A36D3">
        <w:rPr>
          <w:rFonts w:asciiTheme="minorHAnsi" w:hAnsiTheme="minorHAnsi" w:cstheme="minorHAnsi"/>
          <w:bCs/>
          <w:sz w:val="22"/>
          <w:szCs w:val="22"/>
        </w:rPr>
        <w:t>,</w:t>
      </w:r>
      <w:r w:rsidR="00C5701D">
        <w:rPr>
          <w:rFonts w:asciiTheme="minorHAnsi" w:hAnsiTheme="minorHAnsi" w:cstheme="minorHAnsi"/>
          <w:bCs/>
          <w:sz w:val="22"/>
          <w:szCs w:val="22"/>
        </w:rPr>
        <w:t>4</w:t>
      </w:r>
      <w:r w:rsidRPr="009A36D3">
        <w:rPr>
          <w:rFonts w:asciiTheme="minorHAnsi" w:hAnsiTheme="minorHAnsi" w:cstheme="minorHAnsi"/>
          <w:bCs/>
          <w:sz w:val="22"/>
          <w:szCs w:val="22"/>
        </w:rPr>
        <w:t xml:space="preserve"> milhões. São ainda de considerar € </w:t>
      </w:r>
      <w:r w:rsidR="0073306A" w:rsidRPr="009A36D3">
        <w:rPr>
          <w:rFonts w:asciiTheme="minorHAnsi" w:hAnsiTheme="minorHAnsi" w:cstheme="minorHAnsi"/>
          <w:bCs/>
          <w:sz w:val="22"/>
          <w:szCs w:val="22"/>
        </w:rPr>
        <w:t>1</w:t>
      </w:r>
      <w:r w:rsidR="00C5701D">
        <w:rPr>
          <w:rFonts w:asciiTheme="minorHAnsi" w:hAnsiTheme="minorHAnsi" w:cstheme="minorHAnsi"/>
          <w:bCs/>
          <w:sz w:val="22"/>
          <w:szCs w:val="22"/>
        </w:rPr>
        <w:t>4</w:t>
      </w:r>
      <w:r w:rsidR="0073306A" w:rsidRPr="009A36D3">
        <w:rPr>
          <w:rFonts w:asciiTheme="minorHAnsi" w:hAnsiTheme="minorHAnsi" w:cstheme="minorHAnsi"/>
          <w:bCs/>
          <w:sz w:val="22"/>
          <w:szCs w:val="22"/>
        </w:rPr>
        <w:t>,</w:t>
      </w:r>
      <w:r w:rsidR="00C5701D">
        <w:rPr>
          <w:rFonts w:asciiTheme="minorHAnsi" w:hAnsiTheme="minorHAnsi" w:cstheme="minorHAnsi"/>
          <w:bCs/>
          <w:sz w:val="22"/>
          <w:szCs w:val="22"/>
        </w:rPr>
        <w:t>9</w:t>
      </w:r>
      <w:r w:rsidRPr="009A36D3">
        <w:rPr>
          <w:rFonts w:asciiTheme="minorHAnsi" w:hAnsiTheme="minorHAnsi" w:cstheme="minorHAnsi"/>
          <w:bCs/>
          <w:sz w:val="22"/>
          <w:szCs w:val="22"/>
        </w:rPr>
        <w:t xml:space="preserve"> milhões em receita obtida com imóveis</w:t>
      </w:r>
      <w:r w:rsidR="00741382" w:rsidRPr="009A36D3">
        <w:rPr>
          <w:rFonts w:asciiTheme="minorHAnsi" w:hAnsiTheme="minorHAnsi" w:cstheme="minorHAnsi"/>
          <w:bCs/>
          <w:sz w:val="22"/>
          <w:szCs w:val="22"/>
        </w:rPr>
        <w:t>. Os imóveis</w:t>
      </w:r>
      <w:r w:rsidR="00741382" w:rsidRPr="00B61F5E">
        <w:rPr>
          <w:rFonts w:asciiTheme="minorHAnsi" w:hAnsiTheme="minorHAnsi" w:cstheme="minorHAnsi"/>
          <w:bCs/>
          <w:sz w:val="22"/>
          <w:szCs w:val="22"/>
        </w:rPr>
        <w:t xml:space="preserve"> recebidos em dação durante 202</w:t>
      </w:r>
      <w:r w:rsidR="00C5701D">
        <w:rPr>
          <w:rFonts w:asciiTheme="minorHAnsi" w:hAnsiTheme="minorHAnsi" w:cstheme="minorHAnsi"/>
          <w:bCs/>
          <w:sz w:val="22"/>
          <w:szCs w:val="22"/>
        </w:rPr>
        <w:t>5</w:t>
      </w:r>
      <w:r w:rsidR="00741382" w:rsidRPr="00B61F5E">
        <w:rPr>
          <w:rFonts w:asciiTheme="minorHAnsi" w:hAnsiTheme="minorHAnsi" w:cstheme="minorHAnsi"/>
          <w:bCs/>
          <w:sz w:val="22"/>
          <w:szCs w:val="22"/>
        </w:rPr>
        <w:t xml:space="preserve"> ascenderam a</w:t>
      </w:r>
      <w:r w:rsidR="00FD0E41" w:rsidRPr="00B61F5E">
        <w:rPr>
          <w:rFonts w:asciiTheme="minorHAnsi" w:hAnsiTheme="minorHAnsi" w:cstheme="minorHAnsi"/>
          <w:bCs/>
          <w:sz w:val="22"/>
          <w:szCs w:val="22"/>
        </w:rPr>
        <w:t xml:space="preserve"> € </w:t>
      </w:r>
      <w:r w:rsidR="00A20D1A">
        <w:rPr>
          <w:rFonts w:asciiTheme="minorHAnsi" w:hAnsiTheme="minorHAnsi" w:cstheme="minorHAnsi"/>
          <w:bCs/>
          <w:sz w:val="22"/>
          <w:szCs w:val="22"/>
        </w:rPr>
        <w:t>4</w:t>
      </w:r>
      <w:r w:rsidR="0073306A">
        <w:rPr>
          <w:rFonts w:asciiTheme="minorHAnsi" w:hAnsiTheme="minorHAnsi" w:cstheme="minorHAnsi"/>
          <w:bCs/>
          <w:sz w:val="22"/>
          <w:szCs w:val="22"/>
        </w:rPr>
        <w:t>,</w:t>
      </w:r>
      <w:r w:rsidR="00A20D1A">
        <w:rPr>
          <w:rFonts w:asciiTheme="minorHAnsi" w:hAnsiTheme="minorHAnsi" w:cstheme="minorHAnsi"/>
          <w:bCs/>
          <w:sz w:val="22"/>
          <w:szCs w:val="22"/>
        </w:rPr>
        <w:t>9</w:t>
      </w:r>
      <w:r w:rsidR="00FD0E41" w:rsidRPr="00B61F5E">
        <w:rPr>
          <w:rFonts w:asciiTheme="minorHAnsi" w:hAnsiTheme="minorHAnsi" w:cstheme="minorHAnsi"/>
          <w:bCs/>
          <w:sz w:val="22"/>
          <w:szCs w:val="22"/>
        </w:rPr>
        <w:t xml:space="preserve"> milhões</w:t>
      </w:r>
      <w:r w:rsidR="00A20D1A">
        <w:rPr>
          <w:rFonts w:asciiTheme="minorHAnsi" w:hAnsiTheme="minorHAnsi" w:cstheme="minorHAnsi"/>
          <w:bCs/>
          <w:sz w:val="22"/>
          <w:szCs w:val="22"/>
        </w:rPr>
        <w:t xml:space="preserve"> a que acresceram € 4,8 milhões </w:t>
      </w:r>
      <w:r w:rsidR="006F771D">
        <w:rPr>
          <w:rFonts w:asciiTheme="minorHAnsi" w:hAnsiTheme="minorHAnsi" w:cstheme="minorHAnsi"/>
          <w:bCs/>
          <w:sz w:val="22"/>
          <w:szCs w:val="22"/>
        </w:rPr>
        <w:t>relativos a</w:t>
      </w:r>
      <w:r w:rsidR="005407A9">
        <w:rPr>
          <w:rFonts w:asciiTheme="minorHAnsi" w:hAnsiTheme="minorHAnsi" w:cstheme="minorHAnsi"/>
          <w:bCs/>
          <w:sz w:val="22"/>
          <w:szCs w:val="22"/>
        </w:rPr>
        <w:t xml:space="preserve"> dois imóveis </w:t>
      </w:r>
      <w:r w:rsidR="00A20D1A">
        <w:rPr>
          <w:rFonts w:asciiTheme="minorHAnsi" w:hAnsiTheme="minorHAnsi" w:cstheme="minorHAnsi"/>
          <w:bCs/>
          <w:sz w:val="22"/>
          <w:szCs w:val="22"/>
        </w:rPr>
        <w:t xml:space="preserve">recebidos no âmbito da liquidação </w:t>
      </w:r>
      <w:r w:rsidR="006F771D">
        <w:rPr>
          <w:rFonts w:asciiTheme="minorHAnsi" w:hAnsiTheme="minorHAnsi" w:cstheme="minorHAnsi"/>
          <w:bCs/>
          <w:sz w:val="22"/>
          <w:szCs w:val="22"/>
        </w:rPr>
        <w:t xml:space="preserve">em 2025 </w:t>
      </w:r>
      <w:r w:rsidR="00A20D1A">
        <w:rPr>
          <w:rFonts w:asciiTheme="minorHAnsi" w:hAnsiTheme="minorHAnsi" w:cstheme="minorHAnsi"/>
          <w:bCs/>
          <w:sz w:val="22"/>
          <w:szCs w:val="22"/>
        </w:rPr>
        <w:t>de duas sociedades participadas.</w:t>
      </w:r>
      <w:r w:rsidRPr="00B61F5E">
        <w:rPr>
          <w:rFonts w:asciiTheme="minorHAnsi" w:hAnsiTheme="minorHAnsi" w:cstheme="minorHAnsi"/>
          <w:bCs/>
          <w:sz w:val="22"/>
          <w:szCs w:val="22"/>
        </w:rPr>
        <w:t xml:space="preserve"> </w:t>
      </w:r>
    </w:p>
    <w:p w14:paraId="6882CEA3" w14:textId="77777777" w:rsidR="00C93B74" w:rsidRPr="00B61F5E" w:rsidRDefault="00C93B74" w:rsidP="00C93B74">
      <w:pPr>
        <w:jc w:val="both"/>
        <w:rPr>
          <w:rFonts w:asciiTheme="minorHAnsi" w:hAnsiTheme="minorHAnsi" w:cstheme="minorHAnsi"/>
          <w:bCs/>
          <w:sz w:val="22"/>
          <w:szCs w:val="22"/>
        </w:rPr>
      </w:pPr>
    </w:p>
    <w:p w14:paraId="7BE922A6" w14:textId="77777777" w:rsidR="00C93B74" w:rsidRDefault="00C93B74" w:rsidP="00C93B74">
      <w:pPr>
        <w:pStyle w:val="PargrafodaLista"/>
        <w:ind w:left="0"/>
        <w:jc w:val="both"/>
        <w:rPr>
          <w:rFonts w:asciiTheme="minorHAnsi" w:hAnsiTheme="minorHAnsi" w:cstheme="minorHAnsi"/>
          <w:bCs/>
          <w:sz w:val="22"/>
          <w:szCs w:val="22"/>
        </w:rPr>
      </w:pPr>
      <w:r>
        <w:rPr>
          <w:rFonts w:asciiTheme="minorHAnsi" w:hAnsiTheme="minorHAnsi" w:cstheme="minorHAnsi"/>
          <w:bCs/>
          <w:sz w:val="22"/>
          <w:szCs w:val="22"/>
        </w:rPr>
        <w:t xml:space="preserve">A recuperação de 2022 incluiu € 56 milhões recebidos no âmbito das liquidações do BPN </w:t>
      </w:r>
      <w:proofErr w:type="spellStart"/>
      <w:r>
        <w:rPr>
          <w:rFonts w:asciiTheme="minorHAnsi" w:hAnsiTheme="minorHAnsi" w:cstheme="minorHAnsi"/>
          <w:bCs/>
          <w:sz w:val="22"/>
          <w:szCs w:val="22"/>
        </w:rPr>
        <w:t>Cayman</w:t>
      </w:r>
      <w:proofErr w:type="spellEnd"/>
      <w:r>
        <w:rPr>
          <w:rFonts w:asciiTheme="minorHAnsi" w:hAnsiTheme="minorHAnsi" w:cstheme="minorHAnsi"/>
          <w:bCs/>
          <w:sz w:val="22"/>
          <w:szCs w:val="22"/>
        </w:rPr>
        <w:t xml:space="preserve"> e fundo </w:t>
      </w:r>
      <w:proofErr w:type="spellStart"/>
      <w:r>
        <w:rPr>
          <w:rFonts w:asciiTheme="minorHAnsi" w:hAnsiTheme="minorHAnsi" w:cstheme="minorHAnsi"/>
          <w:bCs/>
          <w:sz w:val="22"/>
          <w:szCs w:val="22"/>
        </w:rPr>
        <w:t>Imoreal</w:t>
      </w:r>
      <w:proofErr w:type="spellEnd"/>
      <w:r>
        <w:rPr>
          <w:rFonts w:asciiTheme="minorHAnsi" w:hAnsiTheme="minorHAnsi" w:cstheme="minorHAnsi"/>
          <w:bCs/>
          <w:sz w:val="22"/>
          <w:szCs w:val="22"/>
        </w:rPr>
        <w:t xml:space="preserve"> e da fusão da PARUPS.</w:t>
      </w:r>
    </w:p>
    <w:p w14:paraId="39E338A2" w14:textId="77777777" w:rsidR="00C93B74" w:rsidRDefault="00C93B74" w:rsidP="00C93B74">
      <w:pPr>
        <w:pStyle w:val="PargrafodaLista"/>
        <w:ind w:left="0"/>
        <w:jc w:val="both"/>
        <w:rPr>
          <w:rFonts w:asciiTheme="minorHAnsi" w:hAnsiTheme="minorHAnsi" w:cstheme="minorHAnsi"/>
          <w:bCs/>
          <w:sz w:val="22"/>
          <w:szCs w:val="22"/>
        </w:rPr>
      </w:pPr>
    </w:p>
    <w:p w14:paraId="5D008248" w14:textId="13B6CFBE" w:rsidR="00C93B74" w:rsidRDefault="00C93B74" w:rsidP="00C93B74">
      <w:pPr>
        <w:pStyle w:val="PargrafodaLista"/>
        <w:ind w:left="0"/>
        <w:jc w:val="both"/>
        <w:rPr>
          <w:rFonts w:asciiTheme="minorHAnsi" w:hAnsiTheme="minorHAnsi" w:cstheme="minorHAnsi"/>
          <w:bCs/>
          <w:sz w:val="22"/>
          <w:szCs w:val="22"/>
        </w:rPr>
      </w:pPr>
      <w:r>
        <w:rPr>
          <w:rFonts w:asciiTheme="minorHAnsi" w:hAnsiTheme="minorHAnsi" w:cstheme="minorHAnsi"/>
          <w:bCs/>
          <w:sz w:val="22"/>
          <w:szCs w:val="22"/>
        </w:rPr>
        <w:t xml:space="preserve">O valor de 2021 inclui € </w:t>
      </w:r>
      <w:r w:rsidRPr="00CC42A3">
        <w:rPr>
          <w:rFonts w:asciiTheme="minorHAnsi" w:hAnsiTheme="minorHAnsi" w:cstheme="minorHAnsi"/>
          <w:bCs/>
          <w:sz w:val="22"/>
          <w:szCs w:val="22"/>
        </w:rPr>
        <w:t>62</w:t>
      </w:r>
      <w:r>
        <w:rPr>
          <w:rFonts w:asciiTheme="minorHAnsi" w:hAnsiTheme="minorHAnsi" w:cstheme="minorHAnsi"/>
          <w:bCs/>
          <w:sz w:val="22"/>
          <w:szCs w:val="22"/>
        </w:rPr>
        <w:t xml:space="preserve"> milhões </w:t>
      </w:r>
      <w:r w:rsidRPr="00E1592C">
        <w:rPr>
          <w:rFonts w:asciiTheme="minorHAnsi" w:hAnsiTheme="minorHAnsi" w:cstheme="minorHAnsi"/>
          <w:bCs/>
          <w:sz w:val="22"/>
          <w:szCs w:val="22"/>
        </w:rPr>
        <w:t xml:space="preserve">relativos a </w:t>
      </w:r>
      <w:r w:rsidRPr="00153EE6">
        <w:rPr>
          <w:rFonts w:asciiTheme="minorHAnsi" w:hAnsiTheme="minorHAnsi" w:cstheme="minorHAnsi"/>
          <w:bCs/>
          <w:sz w:val="22"/>
          <w:szCs w:val="22"/>
        </w:rPr>
        <w:t>créditos em promessa que</w:t>
      </w:r>
      <w:r>
        <w:rPr>
          <w:rFonts w:asciiTheme="minorHAnsi" w:hAnsiTheme="minorHAnsi" w:cstheme="minorHAnsi"/>
          <w:bCs/>
          <w:sz w:val="22"/>
          <w:szCs w:val="22"/>
        </w:rPr>
        <w:t>,</w:t>
      </w:r>
      <w:r w:rsidRPr="00153EE6">
        <w:rPr>
          <w:rFonts w:asciiTheme="minorHAnsi" w:hAnsiTheme="minorHAnsi" w:cstheme="minorHAnsi"/>
          <w:bCs/>
          <w:sz w:val="22"/>
          <w:szCs w:val="22"/>
        </w:rPr>
        <w:t xml:space="preserve"> não podendo ser geridos na PARVALOREM, foram </w:t>
      </w:r>
      <w:r>
        <w:rPr>
          <w:rFonts w:asciiTheme="minorHAnsi" w:hAnsiTheme="minorHAnsi" w:cstheme="minorHAnsi"/>
          <w:bCs/>
          <w:sz w:val="22"/>
          <w:szCs w:val="22"/>
        </w:rPr>
        <w:t>recomprados pelo</w:t>
      </w:r>
      <w:r w:rsidRPr="00153EE6">
        <w:rPr>
          <w:rFonts w:asciiTheme="minorHAnsi" w:hAnsiTheme="minorHAnsi" w:cstheme="minorHAnsi"/>
          <w:bCs/>
          <w:sz w:val="22"/>
          <w:szCs w:val="22"/>
        </w:rPr>
        <w:t xml:space="preserve"> </w:t>
      </w:r>
      <w:r w:rsidR="00F04ECD">
        <w:rPr>
          <w:rFonts w:asciiTheme="minorHAnsi" w:hAnsiTheme="minorHAnsi" w:cstheme="minorHAnsi"/>
          <w:bCs/>
          <w:sz w:val="22"/>
          <w:szCs w:val="22"/>
        </w:rPr>
        <w:t>Abanca</w:t>
      </w:r>
      <w:r w:rsidRPr="00153EE6">
        <w:rPr>
          <w:rFonts w:asciiTheme="minorHAnsi" w:hAnsiTheme="minorHAnsi" w:cstheme="minorHAnsi"/>
          <w:bCs/>
          <w:sz w:val="22"/>
          <w:szCs w:val="22"/>
        </w:rPr>
        <w:t xml:space="preserve"> no </w:t>
      </w:r>
      <w:r>
        <w:rPr>
          <w:rFonts w:asciiTheme="minorHAnsi" w:hAnsiTheme="minorHAnsi" w:cstheme="minorHAnsi"/>
          <w:bCs/>
          <w:sz w:val="22"/>
          <w:szCs w:val="22"/>
        </w:rPr>
        <w:t xml:space="preserve">âmbito do </w:t>
      </w:r>
      <w:r w:rsidRPr="00153EE6">
        <w:rPr>
          <w:rFonts w:asciiTheme="minorHAnsi" w:hAnsiTheme="minorHAnsi" w:cstheme="minorHAnsi"/>
          <w:bCs/>
          <w:sz w:val="22"/>
          <w:szCs w:val="22"/>
        </w:rPr>
        <w:t>Acordo Global assinado em 2021</w:t>
      </w:r>
      <w:r>
        <w:rPr>
          <w:rFonts w:asciiTheme="minorHAnsi" w:hAnsiTheme="minorHAnsi" w:cstheme="minorHAnsi"/>
          <w:bCs/>
          <w:sz w:val="22"/>
          <w:szCs w:val="22"/>
        </w:rPr>
        <w:t xml:space="preserve">, e € 11 milhões decorrentes do contrato tripartido entre a PARVALOREM, o Estado Português e </w:t>
      </w:r>
      <w:proofErr w:type="gramStart"/>
      <w:r>
        <w:rPr>
          <w:rFonts w:asciiTheme="minorHAnsi" w:hAnsiTheme="minorHAnsi" w:cstheme="minorHAnsi"/>
          <w:bCs/>
          <w:sz w:val="22"/>
          <w:szCs w:val="22"/>
        </w:rPr>
        <w:t xml:space="preserve">o </w:t>
      </w:r>
      <w:r w:rsidR="00F04ECD">
        <w:rPr>
          <w:rFonts w:asciiTheme="minorHAnsi" w:hAnsiTheme="minorHAnsi" w:cstheme="minorHAnsi"/>
          <w:bCs/>
          <w:sz w:val="22"/>
          <w:szCs w:val="22"/>
        </w:rPr>
        <w:t>Abanca</w:t>
      </w:r>
      <w:proofErr w:type="gramEnd"/>
      <w:r>
        <w:rPr>
          <w:rFonts w:asciiTheme="minorHAnsi" w:hAnsiTheme="minorHAnsi" w:cstheme="minorHAnsi"/>
          <w:bCs/>
          <w:sz w:val="22"/>
          <w:szCs w:val="22"/>
        </w:rPr>
        <w:t>.</w:t>
      </w:r>
    </w:p>
    <w:p w14:paraId="7792DF6A" w14:textId="77777777" w:rsidR="00C93B74" w:rsidRDefault="00C93B74" w:rsidP="00C93B74">
      <w:pPr>
        <w:pStyle w:val="PargrafodaLista"/>
        <w:ind w:left="0"/>
        <w:jc w:val="both"/>
        <w:rPr>
          <w:rFonts w:asciiTheme="minorHAnsi" w:hAnsiTheme="minorHAnsi" w:cstheme="minorHAnsi"/>
          <w:bCs/>
          <w:sz w:val="22"/>
          <w:szCs w:val="22"/>
        </w:rPr>
      </w:pPr>
    </w:p>
    <w:p w14:paraId="5891EEDA" w14:textId="77777777" w:rsidR="00C93B74" w:rsidRPr="008A49B7" w:rsidRDefault="00C93B74" w:rsidP="00C93B74">
      <w:pPr>
        <w:pStyle w:val="PargrafodaLista"/>
        <w:ind w:left="0"/>
        <w:jc w:val="both"/>
        <w:rPr>
          <w:rFonts w:asciiTheme="minorHAnsi" w:hAnsiTheme="minorHAnsi" w:cstheme="minorHAnsi"/>
          <w:bCs/>
          <w:sz w:val="22"/>
          <w:szCs w:val="22"/>
        </w:rPr>
      </w:pPr>
      <w:r w:rsidRPr="008A49B7">
        <w:rPr>
          <w:rFonts w:asciiTheme="minorHAnsi" w:hAnsiTheme="minorHAnsi" w:cstheme="minorHAnsi"/>
          <w:bCs/>
          <w:sz w:val="22"/>
          <w:szCs w:val="22"/>
        </w:rPr>
        <w:t xml:space="preserve">O valor de 2018 inclui recebimentos de </w:t>
      </w:r>
      <w:r>
        <w:rPr>
          <w:rFonts w:asciiTheme="minorHAnsi" w:hAnsiTheme="minorHAnsi" w:cstheme="minorHAnsi"/>
          <w:bCs/>
          <w:sz w:val="22"/>
          <w:szCs w:val="22"/>
        </w:rPr>
        <w:t xml:space="preserve">€ </w:t>
      </w:r>
      <w:r w:rsidRPr="008A49B7">
        <w:rPr>
          <w:rFonts w:asciiTheme="minorHAnsi" w:hAnsiTheme="minorHAnsi" w:cstheme="minorHAnsi"/>
          <w:bCs/>
          <w:sz w:val="22"/>
          <w:szCs w:val="22"/>
        </w:rPr>
        <w:t xml:space="preserve">77,3 milhões de entidades relacionadas, </w:t>
      </w:r>
      <w:r>
        <w:rPr>
          <w:rFonts w:asciiTheme="minorHAnsi" w:hAnsiTheme="minorHAnsi" w:cstheme="minorHAnsi"/>
          <w:bCs/>
          <w:sz w:val="22"/>
          <w:szCs w:val="22"/>
        </w:rPr>
        <w:t xml:space="preserve">sem os quais a recuperação se teria situado em € 86,6 milhões. </w:t>
      </w:r>
      <w:r w:rsidRPr="008A49B7">
        <w:rPr>
          <w:rFonts w:asciiTheme="minorHAnsi" w:hAnsiTheme="minorHAnsi" w:cstheme="minorHAnsi"/>
          <w:bCs/>
          <w:sz w:val="22"/>
          <w:szCs w:val="22"/>
        </w:rPr>
        <w:t xml:space="preserve">O montante recuperado em 2017 está fortemente influenciado pela alienação das obras do pintor </w:t>
      </w:r>
      <w:proofErr w:type="spellStart"/>
      <w:r w:rsidRPr="008A49B7">
        <w:rPr>
          <w:rFonts w:asciiTheme="minorHAnsi" w:hAnsiTheme="minorHAnsi" w:cstheme="minorHAnsi"/>
          <w:bCs/>
          <w:sz w:val="22"/>
          <w:szCs w:val="22"/>
        </w:rPr>
        <w:t>Joan</w:t>
      </w:r>
      <w:proofErr w:type="spellEnd"/>
      <w:r w:rsidRPr="008A49B7">
        <w:rPr>
          <w:rFonts w:asciiTheme="minorHAnsi" w:hAnsiTheme="minorHAnsi" w:cstheme="minorHAnsi"/>
          <w:bCs/>
          <w:sz w:val="22"/>
          <w:szCs w:val="22"/>
        </w:rPr>
        <w:t xml:space="preserve"> Miró, bem como pelo resultado </w:t>
      </w:r>
      <w:r>
        <w:rPr>
          <w:rFonts w:asciiTheme="minorHAnsi" w:hAnsiTheme="minorHAnsi" w:cstheme="minorHAnsi"/>
          <w:bCs/>
          <w:sz w:val="22"/>
          <w:szCs w:val="22"/>
        </w:rPr>
        <w:t>da</w:t>
      </w:r>
      <w:r w:rsidRPr="008A49B7">
        <w:rPr>
          <w:rFonts w:asciiTheme="minorHAnsi" w:hAnsiTheme="minorHAnsi" w:cstheme="minorHAnsi"/>
          <w:bCs/>
          <w:sz w:val="22"/>
          <w:szCs w:val="22"/>
        </w:rPr>
        <w:t xml:space="preserve"> atividade imobiliária</w:t>
      </w:r>
      <w:r>
        <w:rPr>
          <w:rFonts w:asciiTheme="minorHAnsi" w:hAnsiTheme="minorHAnsi" w:cstheme="minorHAnsi"/>
          <w:bCs/>
          <w:sz w:val="22"/>
          <w:szCs w:val="22"/>
        </w:rPr>
        <w:t xml:space="preserve">, ou seja, com a alienação de ativos recebidos em dação em cumprimento e adjudicações em anos anteriores (refira-se que as obras de arte de </w:t>
      </w:r>
      <w:proofErr w:type="spellStart"/>
      <w:r>
        <w:rPr>
          <w:rFonts w:asciiTheme="minorHAnsi" w:hAnsiTheme="minorHAnsi" w:cstheme="minorHAnsi"/>
          <w:bCs/>
          <w:sz w:val="22"/>
          <w:szCs w:val="22"/>
        </w:rPr>
        <w:t>Joan</w:t>
      </w:r>
      <w:proofErr w:type="spellEnd"/>
      <w:r>
        <w:rPr>
          <w:rFonts w:asciiTheme="minorHAnsi" w:hAnsiTheme="minorHAnsi" w:cstheme="minorHAnsi"/>
          <w:bCs/>
          <w:sz w:val="22"/>
          <w:szCs w:val="22"/>
        </w:rPr>
        <w:t xml:space="preserve"> Miró foram recuperadas e registadas no balanço da Sociedade em 2012).</w:t>
      </w:r>
    </w:p>
    <w:p w14:paraId="7184F915" w14:textId="77777777" w:rsidR="00C93B74" w:rsidRDefault="00C93B74" w:rsidP="00C93B74">
      <w:pPr>
        <w:jc w:val="both"/>
        <w:rPr>
          <w:rFonts w:asciiTheme="minorHAnsi" w:hAnsiTheme="minorHAnsi" w:cstheme="minorHAnsi"/>
          <w:sz w:val="22"/>
          <w:szCs w:val="22"/>
        </w:rPr>
      </w:pPr>
    </w:p>
    <w:p w14:paraId="15549D4F" w14:textId="24DEAE9C" w:rsidR="00C93B74" w:rsidRDefault="00C93B74" w:rsidP="00C93B74">
      <w:pPr>
        <w:jc w:val="both"/>
        <w:rPr>
          <w:rFonts w:asciiTheme="minorHAnsi" w:hAnsiTheme="minorHAnsi" w:cstheme="minorHAnsi"/>
          <w:sz w:val="22"/>
          <w:szCs w:val="22"/>
        </w:rPr>
      </w:pPr>
      <w:r>
        <w:rPr>
          <w:rFonts w:asciiTheme="minorHAnsi" w:hAnsiTheme="minorHAnsi" w:cstheme="minorHAnsi"/>
          <w:sz w:val="22"/>
          <w:szCs w:val="22"/>
        </w:rPr>
        <w:t xml:space="preserve">Assim, desde o início da sua atividade, e </w:t>
      </w:r>
      <w:r w:rsidRPr="00CC42A3">
        <w:rPr>
          <w:rFonts w:asciiTheme="minorHAnsi" w:hAnsiTheme="minorHAnsi" w:cstheme="minorHAnsi"/>
          <w:sz w:val="22"/>
          <w:szCs w:val="22"/>
        </w:rPr>
        <w:t xml:space="preserve">até à </w:t>
      </w:r>
      <w:r w:rsidRPr="00CC42A3">
        <w:rPr>
          <w:rFonts w:asciiTheme="minorHAnsi" w:hAnsiTheme="minorHAnsi" w:cstheme="minorHAnsi"/>
          <w:sz w:val="22"/>
          <w:szCs w:val="22"/>
          <w:shd w:val="clear" w:color="auto" w:fill="FFFFFF" w:themeFill="background1"/>
        </w:rPr>
        <w:t>data, a PARVALOREM recuper</w:t>
      </w:r>
      <w:r>
        <w:rPr>
          <w:rFonts w:asciiTheme="minorHAnsi" w:hAnsiTheme="minorHAnsi" w:cstheme="minorHAnsi"/>
          <w:sz w:val="22"/>
          <w:szCs w:val="22"/>
          <w:shd w:val="clear" w:color="auto" w:fill="FFFFFF" w:themeFill="background1"/>
        </w:rPr>
        <w:t>ou</w:t>
      </w:r>
      <w:r w:rsidRPr="00CC42A3">
        <w:rPr>
          <w:rFonts w:asciiTheme="minorHAnsi" w:hAnsiTheme="minorHAnsi" w:cstheme="minorHAnsi"/>
          <w:sz w:val="22"/>
          <w:szCs w:val="22"/>
          <w:shd w:val="clear" w:color="auto" w:fill="FFFFFF" w:themeFill="background1"/>
        </w:rPr>
        <w:t xml:space="preserve"> um total de €</w:t>
      </w:r>
      <w:r>
        <w:rPr>
          <w:rFonts w:asciiTheme="minorHAnsi" w:hAnsiTheme="minorHAnsi" w:cstheme="minorHAnsi"/>
          <w:sz w:val="22"/>
          <w:szCs w:val="22"/>
          <w:shd w:val="clear" w:color="auto" w:fill="FFFFFF" w:themeFill="background1"/>
        </w:rPr>
        <w:t> </w:t>
      </w:r>
      <w:r w:rsidRPr="00CC42A3">
        <w:rPr>
          <w:rFonts w:asciiTheme="minorHAnsi" w:hAnsiTheme="minorHAnsi" w:cstheme="minorHAnsi"/>
          <w:sz w:val="22"/>
          <w:szCs w:val="22"/>
          <w:shd w:val="clear" w:color="auto" w:fill="FFFFFF" w:themeFill="background1"/>
        </w:rPr>
        <w:t>1</w:t>
      </w:r>
      <w:r w:rsidR="00867B85">
        <w:rPr>
          <w:rFonts w:asciiTheme="minorHAnsi" w:hAnsiTheme="minorHAnsi" w:cstheme="minorHAnsi"/>
          <w:sz w:val="22"/>
          <w:szCs w:val="22"/>
          <w:shd w:val="clear" w:color="auto" w:fill="FFFFFF" w:themeFill="background1"/>
        </w:rPr>
        <w:t> 3</w:t>
      </w:r>
      <w:r w:rsidR="005407A9">
        <w:rPr>
          <w:rFonts w:asciiTheme="minorHAnsi" w:hAnsiTheme="minorHAnsi" w:cstheme="minorHAnsi"/>
          <w:sz w:val="22"/>
          <w:szCs w:val="22"/>
          <w:shd w:val="clear" w:color="auto" w:fill="FFFFFF" w:themeFill="background1"/>
        </w:rPr>
        <w:t>97</w:t>
      </w:r>
      <w:r w:rsidR="00867B85">
        <w:rPr>
          <w:rFonts w:asciiTheme="minorHAnsi" w:hAnsiTheme="minorHAnsi" w:cstheme="minorHAnsi"/>
          <w:sz w:val="22"/>
          <w:szCs w:val="22"/>
          <w:shd w:val="clear" w:color="auto" w:fill="FFFFFF" w:themeFill="background1"/>
        </w:rPr>
        <w:t>,</w:t>
      </w:r>
      <w:r w:rsidR="005407A9">
        <w:rPr>
          <w:rFonts w:asciiTheme="minorHAnsi" w:hAnsiTheme="minorHAnsi" w:cstheme="minorHAnsi"/>
          <w:sz w:val="22"/>
          <w:szCs w:val="22"/>
          <w:shd w:val="clear" w:color="auto" w:fill="FFFFFF" w:themeFill="background1"/>
        </w:rPr>
        <w:t>5</w:t>
      </w:r>
      <w:r w:rsidRPr="00CC42A3">
        <w:rPr>
          <w:rFonts w:asciiTheme="minorHAnsi" w:hAnsiTheme="minorHAnsi" w:cstheme="minorHAnsi"/>
          <w:sz w:val="22"/>
          <w:szCs w:val="22"/>
          <w:shd w:val="clear" w:color="auto" w:fill="FFFFFF" w:themeFill="background1"/>
        </w:rPr>
        <w:t xml:space="preserve"> milhões em </w:t>
      </w:r>
      <w:r w:rsidRPr="00CC42A3">
        <w:rPr>
          <w:rFonts w:asciiTheme="minorHAnsi" w:hAnsiTheme="minorHAnsi" w:cstheme="minorHAnsi"/>
          <w:i/>
          <w:sz w:val="22"/>
          <w:szCs w:val="22"/>
          <w:shd w:val="clear" w:color="auto" w:fill="FFFFFF" w:themeFill="background1"/>
        </w:rPr>
        <w:t>cash</w:t>
      </w:r>
      <w:r w:rsidRPr="00CC42A3">
        <w:rPr>
          <w:rFonts w:asciiTheme="minorHAnsi" w:hAnsiTheme="minorHAnsi" w:cstheme="minorHAnsi"/>
          <w:sz w:val="22"/>
          <w:szCs w:val="22"/>
          <w:shd w:val="clear" w:color="auto" w:fill="FFFFFF" w:themeFill="background1"/>
        </w:rPr>
        <w:t xml:space="preserve">, ou seja, </w:t>
      </w:r>
      <w:r w:rsidR="00724D72">
        <w:rPr>
          <w:rFonts w:asciiTheme="minorHAnsi" w:hAnsiTheme="minorHAnsi" w:cstheme="minorHAnsi"/>
          <w:sz w:val="22"/>
          <w:szCs w:val="22"/>
          <w:shd w:val="clear" w:color="auto" w:fill="FFFFFF" w:themeFill="background1"/>
        </w:rPr>
        <w:t>3</w:t>
      </w:r>
      <w:r w:rsidR="005407A9">
        <w:rPr>
          <w:rFonts w:asciiTheme="minorHAnsi" w:hAnsiTheme="minorHAnsi" w:cstheme="minorHAnsi"/>
          <w:sz w:val="22"/>
          <w:szCs w:val="22"/>
          <w:shd w:val="clear" w:color="auto" w:fill="FFFFFF" w:themeFill="background1"/>
        </w:rPr>
        <w:t>5</w:t>
      </w:r>
      <w:r w:rsidR="00724D72">
        <w:rPr>
          <w:rFonts w:asciiTheme="minorHAnsi" w:hAnsiTheme="minorHAnsi" w:cstheme="minorHAnsi"/>
          <w:sz w:val="22"/>
          <w:szCs w:val="22"/>
          <w:shd w:val="clear" w:color="auto" w:fill="FFFFFF" w:themeFill="background1"/>
        </w:rPr>
        <w:t>,</w:t>
      </w:r>
      <w:r w:rsidR="005407A9">
        <w:rPr>
          <w:rFonts w:asciiTheme="minorHAnsi" w:hAnsiTheme="minorHAnsi" w:cstheme="minorHAnsi"/>
          <w:sz w:val="22"/>
          <w:szCs w:val="22"/>
          <w:shd w:val="clear" w:color="auto" w:fill="FFFFFF" w:themeFill="background1"/>
        </w:rPr>
        <w:t>1</w:t>
      </w:r>
      <w:r w:rsidRPr="00CC42A3">
        <w:rPr>
          <w:rFonts w:asciiTheme="minorHAnsi" w:hAnsiTheme="minorHAnsi" w:cstheme="minorHAnsi"/>
          <w:sz w:val="22"/>
          <w:szCs w:val="22"/>
          <w:shd w:val="clear" w:color="auto" w:fill="FFFFFF" w:themeFill="background1"/>
        </w:rPr>
        <w:t>%</w:t>
      </w:r>
      <w:r w:rsidRPr="00CC42A3">
        <w:rPr>
          <w:rFonts w:asciiTheme="minorHAnsi" w:hAnsiTheme="minorHAnsi" w:cstheme="minorHAnsi"/>
          <w:sz w:val="22"/>
          <w:szCs w:val="22"/>
        </w:rPr>
        <w:t xml:space="preserve"> do total de crédito cedido </w:t>
      </w:r>
      <w:r w:rsidRPr="00CC42A3">
        <w:rPr>
          <w:rFonts w:asciiTheme="minorHAnsi" w:hAnsiTheme="minorHAnsi" w:cstheme="minorHAnsi"/>
          <w:sz w:val="22"/>
          <w:szCs w:val="22"/>
          <w:shd w:val="clear" w:color="auto" w:fill="FFFFFF" w:themeFill="background1"/>
        </w:rPr>
        <w:t>(€ 3,9</w:t>
      </w:r>
      <w:r>
        <w:rPr>
          <w:rFonts w:asciiTheme="minorHAnsi" w:hAnsiTheme="minorHAnsi" w:cstheme="minorHAnsi"/>
          <w:sz w:val="22"/>
          <w:szCs w:val="22"/>
          <w:shd w:val="clear" w:color="auto" w:fill="FFFFFF" w:themeFill="background1"/>
        </w:rPr>
        <w:t>7</w:t>
      </w:r>
      <w:r w:rsidRPr="00CC42A3">
        <w:rPr>
          <w:rFonts w:asciiTheme="minorHAnsi" w:hAnsiTheme="minorHAnsi" w:cstheme="minorHAnsi"/>
          <w:sz w:val="22"/>
          <w:szCs w:val="22"/>
        </w:rPr>
        <w:t xml:space="preserve"> mil milhões).</w:t>
      </w:r>
      <w:r w:rsidRPr="002C47EE">
        <w:rPr>
          <w:rFonts w:asciiTheme="minorHAnsi" w:hAnsiTheme="minorHAnsi" w:cstheme="minorHAnsi"/>
          <w:sz w:val="22"/>
          <w:szCs w:val="22"/>
        </w:rPr>
        <w:t xml:space="preserve"> </w:t>
      </w:r>
    </w:p>
    <w:p w14:paraId="6A238AC8" w14:textId="77777777" w:rsidR="00C93B74" w:rsidRDefault="00C93B74" w:rsidP="00C93B74">
      <w:pPr>
        <w:jc w:val="both"/>
        <w:rPr>
          <w:rFonts w:asciiTheme="minorHAnsi" w:hAnsiTheme="minorHAnsi" w:cstheme="minorHAnsi"/>
          <w:sz w:val="22"/>
          <w:szCs w:val="22"/>
        </w:rPr>
      </w:pPr>
    </w:p>
    <w:p w14:paraId="70900580" w14:textId="5604F86D" w:rsidR="00C93B74" w:rsidRDefault="00C93B74" w:rsidP="00C93B74">
      <w:pPr>
        <w:jc w:val="both"/>
        <w:rPr>
          <w:rFonts w:asciiTheme="minorHAnsi" w:hAnsiTheme="minorHAnsi" w:cstheme="minorHAnsi"/>
          <w:sz w:val="22"/>
          <w:szCs w:val="22"/>
        </w:rPr>
      </w:pPr>
      <w:r>
        <w:rPr>
          <w:rFonts w:asciiTheme="minorHAnsi" w:hAnsiTheme="minorHAnsi" w:cstheme="minorHAnsi"/>
          <w:sz w:val="22"/>
          <w:szCs w:val="22"/>
        </w:rPr>
        <w:t>A este valor acresce</w:t>
      </w:r>
      <w:r w:rsidR="00946EFD">
        <w:rPr>
          <w:rFonts w:asciiTheme="minorHAnsi" w:hAnsiTheme="minorHAnsi" w:cstheme="minorHAnsi"/>
          <w:sz w:val="22"/>
          <w:szCs w:val="22"/>
        </w:rPr>
        <w:t>m</w:t>
      </w:r>
      <w:r>
        <w:rPr>
          <w:rFonts w:asciiTheme="minorHAnsi" w:hAnsiTheme="minorHAnsi" w:cstheme="minorHAnsi"/>
          <w:sz w:val="22"/>
          <w:szCs w:val="22"/>
        </w:rPr>
        <w:t xml:space="preserve"> a</w:t>
      </w:r>
      <w:r w:rsidR="00F35BC0">
        <w:rPr>
          <w:rFonts w:asciiTheme="minorHAnsi" w:hAnsiTheme="minorHAnsi" w:cstheme="minorHAnsi"/>
          <w:sz w:val="22"/>
          <w:szCs w:val="22"/>
        </w:rPr>
        <w:t>s</w:t>
      </w:r>
      <w:r>
        <w:rPr>
          <w:rFonts w:asciiTheme="minorHAnsi" w:hAnsiTheme="minorHAnsi" w:cstheme="minorHAnsi"/>
          <w:sz w:val="22"/>
          <w:szCs w:val="22"/>
        </w:rPr>
        <w:t xml:space="preserve"> recuperaç</w:t>
      </w:r>
      <w:r w:rsidR="00F35BC0">
        <w:rPr>
          <w:rFonts w:asciiTheme="minorHAnsi" w:hAnsiTheme="minorHAnsi" w:cstheme="minorHAnsi"/>
          <w:sz w:val="22"/>
          <w:szCs w:val="22"/>
        </w:rPr>
        <w:t>ões</w:t>
      </w:r>
      <w:r>
        <w:rPr>
          <w:rFonts w:asciiTheme="minorHAnsi" w:hAnsiTheme="minorHAnsi" w:cstheme="minorHAnsi"/>
          <w:sz w:val="22"/>
          <w:szCs w:val="22"/>
        </w:rPr>
        <w:t xml:space="preserve"> da PARUPS</w:t>
      </w:r>
      <w:r w:rsidR="00F35BC0">
        <w:rPr>
          <w:rFonts w:asciiTheme="minorHAnsi" w:hAnsiTheme="minorHAnsi" w:cstheme="minorHAnsi"/>
          <w:sz w:val="22"/>
          <w:szCs w:val="22"/>
        </w:rPr>
        <w:t xml:space="preserve"> e da PARPARTICIPADAS</w:t>
      </w:r>
      <w:r>
        <w:rPr>
          <w:rFonts w:asciiTheme="minorHAnsi" w:hAnsiTheme="minorHAnsi" w:cstheme="minorHAnsi"/>
          <w:sz w:val="22"/>
          <w:szCs w:val="22"/>
        </w:rPr>
        <w:t xml:space="preserve"> que</w:t>
      </w:r>
      <w:r w:rsidR="00946EFD">
        <w:rPr>
          <w:rFonts w:asciiTheme="minorHAnsi" w:hAnsiTheme="minorHAnsi" w:cstheme="minorHAnsi"/>
          <w:sz w:val="22"/>
          <w:szCs w:val="22"/>
        </w:rPr>
        <w:t>,</w:t>
      </w:r>
      <w:r>
        <w:rPr>
          <w:rFonts w:asciiTheme="minorHAnsi" w:hAnsiTheme="minorHAnsi" w:cstheme="minorHAnsi"/>
          <w:sz w:val="22"/>
          <w:szCs w:val="22"/>
        </w:rPr>
        <w:t xml:space="preserve"> em termos acumulados, fo</w:t>
      </w:r>
      <w:r w:rsidR="00F35BC0">
        <w:rPr>
          <w:rFonts w:asciiTheme="minorHAnsi" w:hAnsiTheme="minorHAnsi" w:cstheme="minorHAnsi"/>
          <w:sz w:val="22"/>
          <w:szCs w:val="22"/>
        </w:rPr>
        <w:t xml:space="preserve">ram </w:t>
      </w:r>
      <w:r>
        <w:rPr>
          <w:rFonts w:asciiTheme="minorHAnsi" w:hAnsiTheme="minorHAnsi" w:cstheme="minorHAnsi"/>
          <w:sz w:val="22"/>
          <w:szCs w:val="22"/>
        </w:rPr>
        <w:t xml:space="preserve">de € </w:t>
      </w:r>
      <w:r w:rsidR="00F2442A">
        <w:rPr>
          <w:rFonts w:asciiTheme="minorHAnsi" w:hAnsiTheme="minorHAnsi" w:cstheme="minorHAnsi"/>
          <w:sz w:val="22"/>
          <w:szCs w:val="22"/>
        </w:rPr>
        <w:t>644,7</w:t>
      </w:r>
      <w:r>
        <w:rPr>
          <w:rFonts w:asciiTheme="minorHAnsi" w:hAnsiTheme="minorHAnsi" w:cstheme="minorHAnsi"/>
          <w:sz w:val="22"/>
          <w:szCs w:val="22"/>
        </w:rPr>
        <w:t xml:space="preserve"> milhões, assim discriminados: </w:t>
      </w:r>
    </w:p>
    <w:p w14:paraId="04C16E3F" w14:textId="77777777" w:rsidR="00F2442A" w:rsidRDefault="00F2442A" w:rsidP="00C93B74">
      <w:pPr>
        <w:jc w:val="both"/>
        <w:rPr>
          <w:rFonts w:asciiTheme="minorHAnsi" w:hAnsiTheme="minorHAnsi" w:cstheme="minorHAnsi"/>
          <w:sz w:val="22"/>
          <w:szCs w:val="22"/>
        </w:rPr>
      </w:pPr>
    </w:p>
    <w:p w14:paraId="5950BF69" w14:textId="4C35ED07" w:rsidR="00F2442A" w:rsidRDefault="00724D72" w:rsidP="00C93B74">
      <w:pPr>
        <w:jc w:val="both"/>
        <w:rPr>
          <w:rFonts w:asciiTheme="minorHAnsi" w:hAnsiTheme="minorHAnsi" w:cstheme="minorHAnsi"/>
          <w:sz w:val="22"/>
          <w:szCs w:val="22"/>
        </w:rPr>
      </w:pPr>
      <w:r w:rsidRPr="00724D72">
        <w:rPr>
          <w:noProof/>
        </w:rPr>
        <w:lastRenderedPageBreak/>
        <w:drawing>
          <wp:inline distT="0" distB="0" distL="0" distR="0" wp14:anchorId="2202A566" wp14:editId="4B9CD0BD">
            <wp:extent cx="5400040" cy="3685540"/>
            <wp:effectExtent l="0" t="0" r="0" b="0"/>
            <wp:docPr id="101697366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3685540"/>
                    </a:xfrm>
                    <a:prstGeom prst="rect">
                      <a:avLst/>
                    </a:prstGeom>
                    <a:noFill/>
                    <a:ln>
                      <a:noFill/>
                    </a:ln>
                  </pic:spPr>
                </pic:pic>
              </a:graphicData>
            </a:graphic>
          </wp:inline>
        </w:drawing>
      </w:r>
    </w:p>
    <w:p w14:paraId="730CF6D8" w14:textId="77777777" w:rsidR="00F2442A" w:rsidRDefault="00F2442A" w:rsidP="00C93B74">
      <w:pPr>
        <w:jc w:val="both"/>
        <w:rPr>
          <w:rFonts w:asciiTheme="minorHAnsi" w:hAnsiTheme="minorHAnsi" w:cstheme="minorHAnsi"/>
          <w:sz w:val="22"/>
          <w:szCs w:val="22"/>
        </w:rPr>
      </w:pPr>
    </w:p>
    <w:p w14:paraId="655B37FA" w14:textId="451EF01E" w:rsidR="00C93B74" w:rsidRDefault="00C93B74" w:rsidP="00C93B74">
      <w:pPr>
        <w:jc w:val="both"/>
        <w:rPr>
          <w:rFonts w:asciiTheme="minorHAnsi" w:hAnsiTheme="minorHAnsi" w:cstheme="minorHAnsi"/>
          <w:sz w:val="22"/>
          <w:szCs w:val="22"/>
        </w:rPr>
      </w:pPr>
      <w:r w:rsidRPr="00D47B28">
        <w:rPr>
          <w:rFonts w:asciiTheme="minorHAnsi" w:hAnsiTheme="minorHAnsi" w:cstheme="minorHAnsi"/>
          <w:sz w:val="22"/>
          <w:szCs w:val="22"/>
        </w:rPr>
        <w:t>Assim, as sociedades em conjunto transformaram ativos em liquidez num valor que, a 31/12/202</w:t>
      </w:r>
      <w:r w:rsidR="005407A9">
        <w:rPr>
          <w:rFonts w:asciiTheme="minorHAnsi" w:hAnsiTheme="minorHAnsi" w:cstheme="minorHAnsi"/>
          <w:sz w:val="22"/>
          <w:szCs w:val="22"/>
        </w:rPr>
        <w:t>5</w:t>
      </w:r>
      <w:r w:rsidRPr="00D47B28">
        <w:rPr>
          <w:rFonts w:asciiTheme="minorHAnsi" w:hAnsiTheme="minorHAnsi" w:cstheme="minorHAnsi"/>
          <w:sz w:val="22"/>
          <w:szCs w:val="22"/>
        </w:rPr>
        <w:t xml:space="preserve">, totaliza € </w:t>
      </w:r>
      <w:r w:rsidR="006F771D">
        <w:rPr>
          <w:rFonts w:asciiTheme="minorHAnsi" w:hAnsiTheme="minorHAnsi" w:cstheme="minorHAnsi"/>
          <w:sz w:val="22"/>
          <w:szCs w:val="22"/>
        </w:rPr>
        <w:t>1.965</w:t>
      </w:r>
      <w:r w:rsidRPr="00D47B28">
        <w:rPr>
          <w:rFonts w:asciiTheme="minorHAnsi" w:hAnsiTheme="minorHAnsi" w:cstheme="minorHAnsi"/>
          <w:sz w:val="22"/>
          <w:szCs w:val="22"/>
        </w:rPr>
        <w:t xml:space="preserve"> milhões</w:t>
      </w:r>
      <w:r w:rsidR="00D47B28">
        <w:rPr>
          <w:rFonts w:asciiTheme="minorHAnsi" w:hAnsiTheme="minorHAnsi" w:cstheme="minorHAnsi"/>
          <w:sz w:val="22"/>
          <w:szCs w:val="22"/>
        </w:rPr>
        <w:t xml:space="preserve"> (descontando os </w:t>
      </w:r>
      <w:r w:rsidR="00D47B28" w:rsidRPr="00D47B28">
        <w:rPr>
          <w:rFonts w:asciiTheme="minorHAnsi" w:hAnsiTheme="minorHAnsi" w:cstheme="minorHAnsi"/>
          <w:i/>
          <w:iCs/>
          <w:sz w:val="22"/>
          <w:szCs w:val="22"/>
        </w:rPr>
        <w:t xml:space="preserve">cash </w:t>
      </w:r>
      <w:proofErr w:type="spellStart"/>
      <w:r w:rsidR="00D47B28" w:rsidRPr="00D47B28">
        <w:rPr>
          <w:rFonts w:asciiTheme="minorHAnsi" w:hAnsiTheme="minorHAnsi" w:cstheme="minorHAnsi"/>
          <w:i/>
          <w:iCs/>
          <w:sz w:val="22"/>
          <w:szCs w:val="22"/>
        </w:rPr>
        <w:t>flows</w:t>
      </w:r>
      <w:proofErr w:type="spellEnd"/>
      <w:r w:rsidR="00D47B28">
        <w:rPr>
          <w:rFonts w:asciiTheme="minorHAnsi" w:hAnsiTheme="minorHAnsi" w:cstheme="minorHAnsi"/>
          <w:sz w:val="22"/>
          <w:szCs w:val="22"/>
        </w:rPr>
        <w:t xml:space="preserve"> </w:t>
      </w:r>
      <w:proofErr w:type="spellStart"/>
      <w:r w:rsidR="00D47B28">
        <w:rPr>
          <w:rFonts w:asciiTheme="minorHAnsi" w:hAnsiTheme="minorHAnsi" w:cstheme="minorHAnsi"/>
          <w:sz w:val="22"/>
          <w:szCs w:val="22"/>
        </w:rPr>
        <w:t>intra-grupo</w:t>
      </w:r>
      <w:proofErr w:type="spellEnd"/>
      <w:r w:rsidR="00D47B28">
        <w:rPr>
          <w:rFonts w:asciiTheme="minorHAnsi" w:hAnsiTheme="minorHAnsi" w:cstheme="minorHAnsi"/>
          <w:sz w:val="22"/>
          <w:szCs w:val="22"/>
        </w:rPr>
        <w:t>)</w:t>
      </w:r>
      <w:r w:rsidRPr="00D47B28">
        <w:rPr>
          <w:rFonts w:asciiTheme="minorHAnsi" w:hAnsiTheme="minorHAnsi" w:cstheme="minorHAnsi"/>
          <w:sz w:val="22"/>
          <w:szCs w:val="22"/>
        </w:rPr>
        <w:t>.</w:t>
      </w:r>
      <w:r>
        <w:rPr>
          <w:rFonts w:asciiTheme="minorHAnsi" w:hAnsiTheme="minorHAnsi" w:cstheme="minorHAnsi"/>
          <w:sz w:val="22"/>
          <w:szCs w:val="22"/>
        </w:rPr>
        <w:t xml:space="preserve"> </w:t>
      </w:r>
    </w:p>
    <w:p w14:paraId="777F6608" w14:textId="77777777" w:rsidR="00C93B74" w:rsidRDefault="00C93B74" w:rsidP="00C93B74">
      <w:pPr>
        <w:jc w:val="both"/>
        <w:rPr>
          <w:rFonts w:asciiTheme="minorHAnsi" w:hAnsiTheme="minorHAnsi" w:cstheme="minorHAnsi"/>
          <w:sz w:val="22"/>
          <w:szCs w:val="22"/>
        </w:rPr>
      </w:pPr>
    </w:p>
    <w:p w14:paraId="048B533C" w14:textId="50AB091F" w:rsidR="00C93B74" w:rsidRPr="00D13694" w:rsidRDefault="00C93B74" w:rsidP="00C93B74">
      <w:pPr>
        <w:jc w:val="both"/>
        <w:rPr>
          <w:rFonts w:asciiTheme="minorHAnsi" w:hAnsiTheme="minorHAnsi" w:cstheme="minorHAnsi"/>
          <w:sz w:val="22"/>
          <w:szCs w:val="22"/>
        </w:rPr>
      </w:pPr>
      <w:r w:rsidRPr="00D4322C">
        <w:rPr>
          <w:rFonts w:asciiTheme="minorHAnsi" w:hAnsiTheme="minorHAnsi" w:cstheme="minorHAnsi"/>
          <w:sz w:val="22"/>
          <w:szCs w:val="22"/>
        </w:rPr>
        <w:t xml:space="preserve">Dos ativos que a PARVALOREM tem vindo a receber por via de operações de dação em cumprimento e adjudicações, </w:t>
      </w:r>
      <w:r>
        <w:rPr>
          <w:rFonts w:asciiTheme="minorHAnsi" w:hAnsiTheme="minorHAnsi" w:cstheme="minorHAnsi"/>
          <w:sz w:val="22"/>
          <w:szCs w:val="22"/>
        </w:rPr>
        <w:t>a que acrescem os imóveis e os títulos e participações financeiras incorporadas no âmbito da</w:t>
      </w:r>
      <w:r w:rsidR="00FC55AC">
        <w:rPr>
          <w:rFonts w:asciiTheme="minorHAnsi" w:hAnsiTheme="minorHAnsi" w:cstheme="minorHAnsi"/>
          <w:sz w:val="22"/>
          <w:szCs w:val="22"/>
        </w:rPr>
        <w:t>s</w:t>
      </w:r>
      <w:r>
        <w:rPr>
          <w:rFonts w:asciiTheme="minorHAnsi" w:hAnsiTheme="minorHAnsi" w:cstheme="minorHAnsi"/>
          <w:sz w:val="22"/>
          <w:szCs w:val="22"/>
        </w:rPr>
        <w:t xml:space="preserve"> fusões da PARUPS </w:t>
      </w:r>
      <w:r w:rsidR="00A7608F">
        <w:rPr>
          <w:rFonts w:asciiTheme="minorHAnsi" w:hAnsiTheme="minorHAnsi" w:cstheme="minorHAnsi"/>
          <w:sz w:val="22"/>
          <w:szCs w:val="22"/>
        </w:rPr>
        <w:t>(</w:t>
      </w:r>
      <w:r w:rsidR="00D47B28">
        <w:rPr>
          <w:rFonts w:asciiTheme="minorHAnsi" w:hAnsiTheme="minorHAnsi" w:cstheme="minorHAnsi"/>
          <w:sz w:val="22"/>
          <w:szCs w:val="22"/>
        </w:rPr>
        <w:t xml:space="preserve">em </w:t>
      </w:r>
      <w:r w:rsidR="00A7608F">
        <w:rPr>
          <w:rFonts w:asciiTheme="minorHAnsi" w:hAnsiTheme="minorHAnsi" w:cstheme="minorHAnsi"/>
          <w:sz w:val="22"/>
          <w:szCs w:val="22"/>
        </w:rPr>
        <w:t xml:space="preserve">2022) </w:t>
      </w:r>
      <w:r>
        <w:rPr>
          <w:rFonts w:asciiTheme="minorHAnsi" w:hAnsiTheme="minorHAnsi" w:cstheme="minorHAnsi"/>
          <w:sz w:val="22"/>
          <w:szCs w:val="22"/>
        </w:rPr>
        <w:t>e d</w:t>
      </w:r>
      <w:r w:rsidR="00A7608F">
        <w:rPr>
          <w:rFonts w:asciiTheme="minorHAnsi" w:hAnsiTheme="minorHAnsi" w:cstheme="minorHAnsi"/>
          <w:sz w:val="22"/>
          <w:szCs w:val="22"/>
        </w:rPr>
        <w:t>a PARPARTICIPADAS (</w:t>
      </w:r>
      <w:r w:rsidR="00D47B28">
        <w:rPr>
          <w:rFonts w:asciiTheme="minorHAnsi" w:hAnsiTheme="minorHAnsi" w:cstheme="minorHAnsi"/>
          <w:sz w:val="22"/>
          <w:szCs w:val="22"/>
        </w:rPr>
        <w:t xml:space="preserve">em </w:t>
      </w:r>
      <w:r w:rsidR="00A7608F">
        <w:rPr>
          <w:rFonts w:asciiTheme="minorHAnsi" w:hAnsiTheme="minorHAnsi" w:cstheme="minorHAnsi"/>
          <w:sz w:val="22"/>
          <w:szCs w:val="22"/>
        </w:rPr>
        <w:t>2024)</w:t>
      </w:r>
      <w:r w:rsidRPr="001E2376">
        <w:rPr>
          <w:rFonts w:asciiTheme="minorHAnsi" w:hAnsiTheme="minorHAnsi" w:cstheme="minorHAnsi"/>
          <w:sz w:val="22"/>
          <w:szCs w:val="22"/>
        </w:rPr>
        <w:t xml:space="preserve">, </w:t>
      </w:r>
      <w:r w:rsidR="00C83CCA">
        <w:rPr>
          <w:rFonts w:asciiTheme="minorHAnsi" w:hAnsiTheme="minorHAnsi" w:cstheme="minorHAnsi"/>
          <w:sz w:val="22"/>
          <w:szCs w:val="22"/>
        </w:rPr>
        <w:t xml:space="preserve">e da liquidação das sociedades </w:t>
      </w:r>
      <w:proofErr w:type="spellStart"/>
      <w:r w:rsidR="00C83CCA">
        <w:rPr>
          <w:rFonts w:asciiTheme="minorHAnsi" w:hAnsiTheme="minorHAnsi" w:cstheme="minorHAnsi"/>
          <w:sz w:val="22"/>
          <w:szCs w:val="22"/>
        </w:rPr>
        <w:t>Brick</w:t>
      </w:r>
      <w:proofErr w:type="spellEnd"/>
      <w:r w:rsidR="00C83CCA">
        <w:rPr>
          <w:rFonts w:asciiTheme="minorHAnsi" w:hAnsiTheme="minorHAnsi" w:cstheme="minorHAnsi"/>
          <w:sz w:val="22"/>
          <w:szCs w:val="22"/>
        </w:rPr>
        <w:t xml:space="preserve"> </w:t>
      </w:r>
      <w:proofErr w:type="spellStart"/>
      <w:r w:rsidR="00C83CCA">
        <w:rPr>
          <w:rFonts w:asciiTheme="minorHAnsi" w:hAnsiTheme="minorHAnsi" w:cstheme="minorHAnsi"/>
          <w:sz w:val="22"/>
          <w:szCs w:val="22"/>
        </w:rPr>
        <w:t>and</w:t>
      </w:r>
      <w:proofErr w:type="spellEnd"/>
      <w:r w:rsidR="00C83CCA">
        <w:rPr>
          <w:rFonts w:asciiTheme="minorHAnsi" w:hAnsiTheme="minorHAnsi" w:cstheme="minorHAnsi"/>
          <w:sz w:val="22"/>
          <w:szCs w:val="22"/>
        </w:rPr>
        <w:t xml:space="preserve"> </w:t>
      </w:r>
      <w:proofErr w:type="spellStart"/>
      <w:r w:rsidR="00C83CCA">
        <w:rPr>
          <w:rFonts w:asciiTheme="minorHAnsi" w:hAnsiTheme="minorHAnsi" w:cstheme="minorHAnsi"/>
          <w:sz w:val="22"/>
          <w:szCs w:val="22"/>
        </w:rPr>
        <w:t>Sand</w:t>
      </w:r>
      <w:proofErr w:type="spellEnd"/>
      <w:r w:rsidR="00C83CCA">
        <w:rPr>
          <w:rFonts w:asciiTheme="minorHAnsi" w:hAnsiTheme="minorHAnsi" w:cstheme="minorHAnsi"/>
          <w:sz w:val="22"/>
          <w:szCs w:val="22"/>
        </w:rPr>
        <w:t xml:space="preserve"> e Palácio das Águias (em 2025) </w:t>
      </w:r>
      <w:r w:rsidRPr="001E2376">
        <w:rPr>
          <w:rFonts w:asciiTheme="minorHAnsi" w:hAnsiTheme="minorHAnsi" w:cstheme="minorHAnsi"/>
          <w:sz w:val="22"/>
          <w:szCs w:val="22"/>
        </w:rPr>
        <w:t>permanece no final de 202</w:t>
      </w:r>
      <w:r w:rsidR="00C83CCA">
        <w:rPr>
          <w:rFonts w:asciiTheme="minorHAnsi" w:hAnsiTheme="minorHAnsi" w:cstheme="minorHAnsi"/>
          <w:sz w:val="22"/>
          <w:szCs w:val="22"/>
        </w:rPr>
        <w:t>5</w:t>
      </w:r>
      <w:r w:rsidRPr="001E2376">
        <w:rPr>
          <w:rFonts w:asciiTheme="minorHAnsi" w:hAnsiTheme="minorHAnsi" w:cstheme="minorHAnsi"/>
          <w:sz w:val="22"/>
          <w:szCs w:val="22"/>
        </w:rPr>
        <w:t xml:space="preserve"> por alienar um valor líquido de </w:t>
      </w:r>
      <w:r w:rsidRPr="00455F9C">
        <w:rPr>
          <w:rFonts w:asciiTheme="minorHAnsi" w:hAnsiTheme="minorHAnsi" w:cstheme="minorHAnsi"/>
          <w:sz w:val="22"/>
          <w:szCs w:val="22"/>
        </w:rPr>
        <w:t xml:space="preserve">€ </w:t>
      </w:r>
      <w:r w:rsidR="00D54A36" w:rsidRPr="00D13694">
        <w:rPr>
          <w:rFonts w:asciiTheme="minorHAnsi" w:hAnsiTheme="minorHAnsi" w:cstheme="minorHAnsi"/>
          <w:sz w:val="22"/>
          <w:szCs w:val="22"/>
        </w:rPr>
        <w:t>3</w:t>
      </w:r>
      <w:r w:rsidR="00810646" w:rsidRPr="00D13694">
        <w:rPr>
          <w:rFonts w:asciiTheme="minorHAnsi" w:hAnsiTheme="minorHAnsi" w:cstheme="minorHAnsi"/>
          <w:sz w:val="22"/>
          <w:szCs w:val="22"/>
        </w:rPr>
        <w:t>3</w:t>
      </w:r>
      <w:r w:rsidR="00D13694" w:rsidRPr="00D13694">
        <w:rPr>
          <w:rFonts w:asciiTheme="minorHAnsi" w:hAnsiTheme="minorHAnsi" w:cstheme="minorHAnsi"/>
          <w:sz w:val="22"/>
          <w:szCs w:val="22"/>
        </w:rPr>
        <w:t>8</w:t>
      </w:r>
      <w:r w:rsidR="00D54A36" w:rsidRPr="00D13694">
        <w:rPr>
          <w:rFonts w:asciiTheme="minorHAnsi" w:hAnsiTheme="minorHAnsi" w:cstheme="minorHAnsi"/>
          <w:sz w:val="22"/>
          <w:szCs w:val="22"/>
        </w:rPr>
        <w:t>,</w:t>
      </w:r>
      <w:r w:rsidR="00D13694" w:rsidRPr="00D13694">
        <w:rPr>
          <w:rFonts w:asciiTheme="minorHAnsi" w:hAnsiTheme="minorHAnsi" w:cstheme="minorHAnsi"/>
          <w:sz w:val="22"/>
          <w:szCs w:val="22"/>
        </w:rPr>
        <w:t>8</w:t>
      </w:r>
      <w:r w:rsidRPr="00D13694">
        <w:rPr>
          <w:rFonts w:asciiTheme="minorHAnsi" w:hAnsiTheme="minorHAnsi" w:cstheme="minorHAnsi"/>
          <w:sz w:val="22"/>
          <w:szCs w:val="22"/>
        </w:rPr>
        <w:t xml:space="preserve"> milhões conforme resulta do quadro seguinte.</w:t>
      </w:r>
    </w:p>
    <w:tbl>
      <w:tblPr>
        <w:tblW w:w="6329" w:type="dxa"/>
        <w:jc w:val="center"/>
        <w:tblLook w:val="04A0" w:firstRow="1" w:lastRow="0" w:firstColumn="1" w:lastColumn="0" w:noHBand="0" w:noVBand="1"/>
      </w:tblPr>
      <w:tblGrid>
        <w:gridCol w:w="4962"/>
        <w:gridCol w:w="1367"/>
      </w:tblGrid>
      <w:tr w:rsidR="00C93B74" w:rsidRPr="00D13694" w14:paraId="511E25F9" w14:textId="77777777" w:rsidTr="00B36274">
        <w:trPr>
          <w:trHeight w:val="288"/>
          <w:tblHeader/>
          <w:jc w:val="center"/>
        </w:trPr>
        <w:tc>
          <w:tcPr>
            <w:tcW w:w="4962" w:type="dxa"/>
            <w:tcBorders>
              <w:top w:val="nil"/>
              <w:left w:val="nil"/>
              <w:bottom w:val="nil"/>
              <w:right w:val="nil"/>
            </w:tcBorders>
            <w:noWrap/>
            <w:vAlign w:val="bottom"/>
            <w:hideMark/>
          </w:tcPr>
          <w:p w14:paraId="7004C517" w14:textId="77777777" w:rsidR="00C93B74" w:rsidRPr="00D13694" w:rsidRDefault="00C93B74" w:rsidP="00B36274">
            <w:pPr>
              <w:rPr>
                <w:sz w:val="18"/>
                <w:szCs w:val="18"/>
              </w:rPr>
            </w:pPr>
          </w:p>
        </w:tc>
        <w:tc>
          <w:tcPr>
            <w:tcW w:w="1367" w:type="dxa"/>
            <w:tcBorders>
              <w:top w:val="nil"/>
              <w:left w:val="nil"/>
              <w:bottom w:val="nil"/>
              <w:right w:val="nil"/>
            </w:tcBorders>
            <w:noWrap/>
            <w:vAlign w:val="bottom"/>
            <w:hideMark/>
          </w:tcPr>
          <w:p w14:paraId="0209E837" w14:textId="77777777" w:rsidR="00C93B74" w:rsidRPr="00D13694" w:rsidRDefault="00C93B74" w:rsidP="00B36274">
            <w:pPr>
              <w:jc w:val="right"/>
              <w:rPr>
                <w:rFonts w:ascii="Calibri" w:hAnsi="Calibri" w:cs="Calibri"/>
                <w:i/>
                <w:iCs/>
                <w:color w:val="000000"/>
                <w:sz w:val="14"/>
                <w:szCs w:val="14"/>
              </w:rPr>
            </w:pPr>
            <w:r w:rsidRPr="00D13694">
              <w:rPr>
                <w:rFonts w:ascii="Calibri" w:hAnsi="Calibri" w:cs="Calibri"/>
                <w:sz w:val="14"/>
                <w:szCs w:val="14"/>
              </w:rPr>
              <w:t>Milhares de Euros</w:t>
            </w:r>
          </w:p>
        </w:tc>
      </w:tr>
      <w:tr w:rsidR="00C93B74" w:rsidRPr="00D13694" w14:paraId="0A07C677" w14:textId="77777777" w:rsidTr="00B36274">
        <w:trPr>
          <w:trHeight w:hRule="exact" w:val="284"/>
          <w:tblHeader/>
          <w:jc w:val="center"/>
        </w:trPr>
        <w:tc>
          <w:tcPr>
            <w:tcW w:w="4962" w:type="dxa"/>
            <w:tcBorders>
              <w:top w:val="single" w:sz="8" w:space="0" w:color="FFFFFF"/>
              <w:left w:val="single" w:sz="8" w:space="0" w:color="FFFFFF"/>
              <w:bottom w:val="nil"/>
              <w:right w:val="nil"/>
            </w:tcBorders>
            <w:shd w:val="clear" w:color="auto" w:fill="8EAADB" w:themeFill="accent5" w:themeFillTint="99"/>
            <w:noWrap/>
            <w:vAlign w:val="center"/>
            <w:hideMark/>
          </w:tcPr>
          <w:p w14:paraId="0CA3B0CE" w14:textId="77777777" w:rsidR="00C93B74" w:rsidRPr="00D13694" w:rsidRDefault="00C93B74" w:rsidP="00B36274">
            <w:pPr>
              <w:rPr>
                <w:rFonts w:ascii="Calibri" w:hAnsi="Calibri" w:cs="Calibri"/>
                <w:b/>
                <w:bCs/>
                <w:color w:val="000000"/>
                <w:sz w:val="18"/>
                <w:szCs w:val="18"/>
              </w:rPr>
            </w:pPr>
            <w:r w:rsidRPr="00D13694">
              <w:rPr>
                <w:rFonts w:ascii="Calibri" w:hAnsi="Calibri" w:cs="Calibri"/>
                <w:b/>
                <w:bCs/>
                <w:color w:val="000000"/>
                <w:sz w:val="18"/>
                <w:szCs w:val="18"/>
              </w:rPr>
              <w:t>Ativos recebidos em dação de pagamento</w:t>
            </w:r>
          </w:p>
        </w:tc>
        <w:tc>
          <w:tcPr>
            <w:tcW w:w="1367" w:type="dxa"/>
            <w:tcBorders>
              <w:top w:val="single" w:sz="8" w:space="0" w:color="FFFFFF"/>
              <w:left w:val="single" w:sz="4" w:space="0" w:color="FFFFFF"/>
              <w:bottom w:val="nil"/>
              <w:right w:val="single" w:sz="8" w:space="0" w:color="FFFFFF"/>
            </w:tcBorders>
            <w:shd w:val="clear" w:color="auto" w:fill="8EAADB" w:themeFill="accent5" w:themeFillTint="99"/>
            <w:noWrap/>
            <w:vAlign w:val="center"/>
            <w:hideMark/>
          </w:tcPr>
          <w:p w14:paraId="7EC2962A" w14:textId="07D1C072" w:rsidR="00C93B74" w:rsidRPr="00D13694" w:rsidRDefault="00C93B74" w:rsidP="00B36274">
            <w:pPr>
              <w:jc w:val="right"/>
              <w:rPr>
                <w:rFonts w:ascii="Calibri" w:hAnsi="Calibri" w:cs="Calibri"/>
                <w:b/>
                <w:bCs/>
                <w:color w:val="000000"/>
                <w:sz w:val="18"/>
                <w:szCs w:val="18"/>
              </w:rPr>
            </w:pPr>
            <w:r w:rsidRPr="00D13694">
              <w:rPr>
                <w:rFonts w:ascii="Calibri" w:hAnsi="Calibri" w:cs="Calibri"/>
                <w:b/>
                <w:bCs/>
                <w:color w:val="000000"/>
                <w:sz w:val="18"/>
                <w:szCs w:val="18"/>
              </w:rPr>
              <w:t>202</w:t>
            </w:r>
            <w:r w:rsidR="00C83CCA" w:rsidRPr="00D13694">
              <w:rPr>
                <w:rFonts w:ascii="Calibri" w:hAnsi="Calibri" w:cs="Calibri"/>
                <w:b/>
                <w:bCs/>
                <w:color w:val="000000"/>
                <w:sz w:val="18"/>
                <w:szCs w:val="18"/>
              </w:rPr>
              <w:t>5</w:t>
            </w:r>
          </w:p>
        </w:tc>
      </w:tr>
      <w:tr w:rsidR="00C93B74" w:rsidRPr="00D13694" w14:paraId="1C543CB0" w14:textId="77777777" w:rsidTr="006379AA">
        <w:trPr>
          <w:trHeight w:hRule="exact" w:val="227"/>
          <w:jc w:val="center"/>
        </w:trPr>
        <w:tc>
          <w:tcPr>
            <w:tcW w:w="4962" w:type="dxa"/>
            <w:tcBorders>
              <w:top w:val="single" w:sz="4" w:space="0" w:color="FFFFFF"/>
              <w:left w:val="nil"/>
              <w:bottom w:val="single" w:sz="4" w:space="0" w:color="FFFFFF"/>
              <w:right w:val="nil"/>
            </w:tcBorders>
            <w:shd w:val="clear" w:color="auto" w:fill="D9E2F3" w:themeFill="accent5" w:themeFillTint="33"/>
            <w:noWrap/>
            <w:vAlign w:val="center"/>
            <w:hideMark/>
          </w:tcPr>
          <w:p w14:paraId="67558AC9" w14:textId="77777777" w:rsidR="00C93B74" w:rsidRPr="00D13694" w:rsidRDefault="00C93B74" w:rsidP="00B36274">
            <w:pPr>
              <w:ind w:firstLineChars="100" w:firstLine="180"/>
              <w:rPr>
                <w:rFonts w:ascii="Calibri" w:hAnsi="Calibri" w:cs="Calibri"/>
                <w:color w:val="000000"/>
                <w:sz w:val="18"/>
                <w:szCs w:val="18"/>
              </w:rPr>
            </w:pPr>
            <w:r w:rsidRPr="00D13694">
              <w:rPr>
                <w:rFonts w:ascii="Calibri" w:hAnsi="Calibri" w:cs="Calibri"/>
                <w:color w:val="000000"/>
                <w:sz w:val="18"/>
                <w:szCs w:val="18"/>
              </w:rPr>
              <w:t>Imóveis</w:t>
            </w:r>
          </w:p>
        </w:tc>
        <w:tc>
          <w:tcPr>
            <w:tcW w:w="1367" w:type="dxa"/>
            <w:tcBorders>
              <w:top w:val="single" w:sz="4" w:space="0" w:color="FFFFFF"/>
              <w:left w:val="single" w:sz="4" w:space="0" w:color="FFFFFF"/>
              <w:bottom w:val="single" w:sz="4" w:space="0" w:color="FFFFFF"/>
              <w:right w:val="single" w:sz="8" w:space="0" w:color="FFFFFF"/>
            </w:tcBorders>
            <w:shd w:val="clear" w:color="auto" w:fill="D9E2F3" w:themeFill="accent5" w:themeFillTint="33"/>
            <w:noWrap/>
            <w:vAlign w:val="center"/>
          </w:tcPr>
          <w:p w14:paraId="57BA2CC4" w14:textId="703B3B2C" w:rsidR="00C93B74" w:rsidRPr="00D13694" w:rsidRDefault="00D47B28" w:rsidP="00B36274">
            <w:pPr>
              <w:jc w:val="right"/>
              <w:rPr>
                <w:rFonts w:ascii="Calibri" w:hAnsi="Calibri" w:cs="Calibri"/>
                <w:color w:val="000000"/>
                <w:sz w:val="18"/>
                <w:szCs w:val="18"/>
              </w:rPr>
            </w:pPr>
            <w:r w:rsidRPr="00D13694">
              <w:rPr>
                <w:rFonts w:ascii="Calibri" w:hAnsi="Calibri" w:cs="Calibri"/>
                <w:color w:val="000000"/>
                <w:sz w:val="18"/>
                <w:szCs w:val="18"/>
              </w:rPr>
              <w:t>9</w:t>
            </w:r>
            <w:r w:rsidR="00D13694" w:rsidRPr="00D13694">
              <w:rPr>
                <w:rFonts w:ascii="Calibri" w:hAnsi="Calibri" w:cs="Calibri"/>
                <w:color w:val="000000"/>
                <w:sz w:val="18"/>
                <w:szCs w:val="18"/>
              </w:rPr>
              <w:t>9</w:t>
            </w:r>
            <w:r w:rsidRPr="00D13694">
              <w:rPr>
                <w:rFonts w:ascii="Calibri" w:hAnsi="Calibri" w:cs="Calibri"/>
                <w:color w:val="000000"/>
                <w:sz w:val="18"/>
                <w:szCs w:val="18"/>
              </w:rPr>
              <w:t xml:space="preserve"> </w:t>
            </w:r>
            <w:r w:rsidR="00D13694" w:rsidRPr="00D13694">
              <w:rPr>
                <w:rFonts w:ascii="Calibri" w:hAnsi="Calibri" w:cs="Calibri"/>
                <w:color w:val="000000"/>
                <w:sz w:val="18"/>
                <w:szCs w:val="18"/>
              </w:rPr>
              <w:t>798</w:t>
            </w:r>
          </w:p>
        </w:tc>
      </w:tr>
      <w:tr w:rsidR="00C93B74" w:rsidRPr="00D13694" w14:paraId="39BBD17F" w14:textId="77777777" w:rsidTr="006379AA">
        <w:trPr>
          <w:trHeight w:hRule="exact" w:val="227"/>
          <w:jc w:val="center"/>
        </w:trPr>
        <w:tc>
          <w:tcPr>
            <w:tcW w:w="4962" w:type="dxa"/>
            <w:tcBorders>
              <w:top w:val="nil"/>
              <w:left w:val="nil"/>
              <w:bottom w:val="single" w:sz="4" w:space="0" w:color="FFFFFF"/>
              <w:right w:val="nil"/>
            </w:tcBorders>
            <w:shd w:val="clear" w:color="auto" w:fill="D9E2F3" w:themeFill="accent5" w:themeFillTint="33"/>
            <w:noWrap/>
            <w:vAlign w:val="center"/>
            <w:hideMark/>
          </w:tcPr>
          <w:p w14:paraId="66A8EB7A" w14:textId="630FB34D" w:rsidR="00C93B74" w:rsidRPr="00D13694" w:rsidRDefault="00457186" w:rsidP="00B36274">
            <w:pPr>
              <w:ind w:firstLineChars="100" w:firstLine="180"/>
              <w:rPr>
                <w:rFonts w:ascii="Calibri" w:hAnsi="Calibri" w:cs="Calibri"/>
                <w:color w:val="000000"/>
                <w:sz w:val="18"/>
                <w:szCs w:val="18"/>
              </w:rPr>
            </w:pPr>
            <w:r w:rsidRPr="00D13694">
              <w:rPr>
                <w:rFonts w:ascii="Calibri" w:hAnsi="Calibri" w:cs="Calibri"/>
                <w:color w:val="000000"/>
                <w:sz w:val="18"/>
                <w:szCs w:val="18"/>
              </w:rPr>
              <w:t>Ativos</w:t>
            </w:r>
            <w:r w:rsidR="00C93B74" w:rsidRPr="00D13694">
              <w:rPr>
                <w:rFonts w:ascii="Calibri" w:hAnsi="Calibri" w:cs="Calibri"/>
                <w:color w:val="000000"/>
                <w:sz w:val="18"/>
                <w:szCs w:val="18"/>
              </w:rPr>
              <w:t xml:space="preserve"> financeir</w:t>
            </w:r>
            <w:r w:rsidRPr="00D13694">
              <w:rPr>
                <w:rFonts w:ascii="Calibri" w:hAnsi="Calibri" w:cs="Calibri"/>
                <w:color w:val="000000"/>
                <w:sz w:val="18"/>
                <w:szCs w:val="18"/>
              </w:rPr>
              <w:t>o</w:t>
            </w:r>
            <w:r w:rsidR="00C93B74" w:rsidRPr="00D13694">
              <w:rPr>
                <w:rFonts w:ascii="Calibri" w:hAnsi="Calibri" w:cs="Calibri"/>
                <w:color w:val="000000"/>
                <w:sz w:val="18"/>
                <w:szCs w:val="18"/>
              </w:rPr>
              <w:t>s</w:t>
            </w:r>
            <w:r w:rsidRPr="00D13694">
              <w:rPr>
                <w:rFonts w:ascii="Calibri" w:hAnsi="Calibri" w:cs="Calibri"/>
                <w:color w:val="000000"/>
                <w:sz w:val="18"/>
                <w:szCs w:val="18"/>
              </w:rPr>
              <w:t xml:space="preserve"> e participações financeiras</w:t>
            </w:r>
          </w:p>
        </w:tc>
        <w:tc>
          <w:tcPr>
            <w:tcW w:w="1367" w:type="dxa"/>
            <w:tcBorders>
              <w:top w:val="nil"/>
              <w:left w:val="single" w:sz="4" w:space="0" w:color="FFFFFF"/>
              <w:bottom w:val="single" w:sz="4" w:space="0" w:color="FFFFFF"/>
              <w:right w:val="single" w:sz="8" w:space="0" w:color="FFFFFF"/>
            </w:tcBorders>
            <w:shd w:val="clear" w:color="auto" w:fill="D9E2F3" w:themeFill="accent5" w:themeFillTint="33"/>
            <w:noWrap/>
            <w:vAlign w:val="center"/>
          </w:tcPr>
          <w:p w14:paraId="795E825B" w14:textId="672960AD" w:rsidR="00C93B74" w:rsidRPr="00D13694" w:rsidRDefault="00D47B28" w:rsidP="00B36274">
            <w:pPr>
              <w:jc w:val="right"/>
              <w:rPr>
                <w:rFonts w:ascii="Calibri" w:hAnsi="Calibri" w:cs="Calibri"/>
                <w:color w:val="000000"/>
                <w:sz w:val="18"/>
                <w:szCs w:val="18"/>
              </w:rPr>
            </w:pPr>
            <w:r w:rsidRPr="00D13694">
              <w:rPr>
                <w:rFonts w:ascii="Calibri" w:hAnsi="Calibri" w:cs="Calibri"/>
                <w:color w:val="000000"/>
                <w:sz w:val="18"/>
                <w:szCs w:val="18"/>
              </w:rPr>
              <w:t>2</w:t>
            </w:r>
            <w:r w:rsidR="00D13694" w:rsidRPr="00D13694">
              <w:rPr>
                <w:rFonts w:ascii="Calibri" w:hAnsi="Calibri" w:cs="Calibri"/>
                <w:color w:val="000000"/>
                <w:sz w:val="18"/>
                <w:szCs w:val="18"/>
              </w:rPr>
              <w:t>38</w:t>
            </w:r>
            <w:r w:rsidRPr="00D13694">
              <w:rPr>
                <w:rFonts w:ascii="Calibri" w:hAnsi="Calibri" w:cs="Calibri"/>
                <w:color w:val="000000"/>
                <w:sz w:val="18"/>
                <w:szCs w:val="18"/>
              </w:rPr>
              <w:t xml:space="preserve"> </w:t>
            </w:r>
            <w:r w:rsidR="00D13694" w:rsidRPr="00D13694">
              <w:rPr>
                <w:rFonts w:ascii="Calibri" w:hAnsi="Calibri" w:cs="Calibri"/>
                <w:color w:val="000000"/>
                <w:sz w:val="18"/>
                <w:szCs w:val="18"/>
              </w:rPr>
              <w:t>99</w:t>
            </w:r>
            <w:r w:rsidR="002D2B5A">
              <w:rPr>
                <w:rFonts w:ascii="Calibri" w:hAnsi="Calibri" w:cs="Calibri"/>
                <w:color w:val="000000"/>
                <w:sz w:val="18"/>
                <w:szCs w:val="18"/>
              </w:rPr>
              <w:t>0</w:t>
            </w:r>
          </w:p>
        </w:tc>
      </w:tr>
      <w:tr w:rsidR="00C93B74" w:rsidRPr="00014348" w14:paraId="14AD8A02" w14:textId="77777777" w:rsidTr="006379AA">
        <w:trPr>
          <w:trHeight w:hRule="exact" w:val="227"/>
          <w:jc w:val="center"/>
        </w:trPr>
        <w:tc>
          <w:tcPr>
            <w:tcW w:w="4962" w:type="dxa"/>
            <w:tcBorders>
              <w:top w:val="nil"/>
              <w:left w:val="nil"/>
              <w:bottom w:val="nil"/>
              <w:right w:val="nil"/>
            </w:tcBorders>
            <w:shd w:val="clear" w:color="auto" w:fill="D9E2F3" w:themeFill="accent5" w:themeFillTint="33"/>
            <w:noWrap/>
            <w:vAlign w:val="center"/>
            <w:hideMark/>
          </w:tcPr>
          <w:p w14:paraId="7560D976" w14:textId="77777777" w:rsidR="00C93B74" w:rsidRPr="00D13694" w:rsidRDefault="00C93B74" w:rsidP="00B36274">
            <w:pPr>
              <w:rPr>
                <w:rFonts w:ascii="Calibri" w:hAnsi="Calibri" w:cs="Calibri"/>
                <w:b/>
                <w:bCs/>
                <w:color w:val="000000"/>
                <w:sz w:val="18"/>
                <w:szCs w:val="18"/>
              </w:rPr>
            </w:pPr>
            <w:r w:rsidRPr="00D13694">
              <w:rPr>
                <w:rFonts w:ascii="Calibri" w:hAnsi="Calibri" w:cs="Calibri"/>
                <w:b/>
                <w:bCs/>
                <w:color w:val="000000"/>
                <w:sz w:val="18"/>
                <w:szCs w:val="18"/>
              </w:rPr>
              <w:t>Total </w:t>
            </w:r>
          </w:p>
        </w:tc>
        <w:tc>
          <w:tcPr>
            <w:tcW w:w="1367" w:type="dxa"/>
            <w:tcBorders>
              <w:top w:val="nil"/>
              <w:left w:val="single" w:sz="4" w:space="0" w:color="FFFFFF"/>
              <w:bottom w:val="nil"/>
              <w:right w:val="single" w:sz="8" w:space="0" w:color="FFFFFF"/>
            </w:tcBorders>
            <w:shd w:val="clear" w:color="auto" w:fill="D9E2F3" w:themeFill="accent5" w:themeFillTint="33"/>
            <w:noWrap/>
            <w:vAlign w:val="center"/>
          </w:tcPr>
          <w:p w14:paraId="1F838C64" w14:textId="68225B65" w:rsidR="00C93B74" w:rsidRPr="00D13694" w:rsidRDefault="00AE7B6B" w:rsidP="00B36274">
            <w:pPr>
              <w:jc w:val="right"/>
              <w:rPr>
                <w:rFonts w:ascii="Calibri" w:hAnsi="Calibri" w:cs="Calibri"/>
                <w:b/>
                <w:bCs/>
                <w:color w:val="000000"/>
                <w:sz w:val="18"/>
                <w:szCs w:val="18"/>
              </w:rPr>
            </w:pPr>
            <w:r w:rsidRPr="00D13694">
              <w:rPr>
                <w:rFonts w:ascii="Calibri" w:hAnsi="Calibri" w:cs="Calibri"/>
                <w:b/>
                <w:bCs/>
                <w:color w:val="000000"/>
                <w:sz w:val="18"/>
                <w:szCs w:val="18"/>
              </w:rPr>
              <w:t>3</w:t>
            </w:r>
            <w:r w:rsidR="00C83CCA" w:rsidRPr="00D13694">
              <w:rPr>
                <w:rFonts w:ascii="Calibri" w:hAnsi="Calibri" w:cs="Calibri"/>
                <w:b/>
                <w:bCs/>
                <w:color w:val="000000"/>
                <w:sz w:val="18"/>
                <w:szCs w:val="18"/>
              </w:rPr>
              <w:t>3</w:t>
            </w:r>
            <w:r w:rsidR="00D13694" w:rsidRPr="00D13694">
              <w:rPr>
                <w:rFonts w:ascii="Calibri" w:hAnsi="Calibri" w:cs="Calibri"/>
                <w:b/>
                <w:bCs/>
                <w:color w:val="000000"/>
                <w:sz w:val="18"/>
                <w:szCs w:val="18"/>
              </w:rPr>
              <w:t>8</w:t>
            </w:r>
            <w:r w:rsidRPr="00D13694">
              <w:rPr>
                <w:rFonts w:ascii="Calibri" w:hAnsi="Calibri" w:cs="Calibri"/>
                <w:b/>
                <w:bCs/>
                <w:color w:val="000000"/>
                <w:sz w:val="18"/>
                <w:szCs w:val="18"/>
              </w:rPr>
              <w:t xml:space="preserve"> </w:t>
            </w:r>
            <w:r w:rsidR="00D13694" w:rsidRPr="00D13694">
              <w:rPr>
                <w:rFonts w:ascii="Calibri" w:hAnsi="Calibri" w:cs="Calibri"/>
                <w:b/>
                <w:bCs/>
                <w:color w:val="000000"/>
                <w:sz w:val="18"/>
                <w:szCs w:val="18"/>
              </w:rPr>
              <w:t>78</w:t>
            </w:r>
            <w:r w:rsidR="002D2B5A">
              <w:rPr>
                <w:rFonts w:ascii="Calibri" w:hAnsi="Calibri" w:cs="Calibri"/>
                <w:b/>
                <w:bCs/>
                <w:color w:val="000000"/>
                <w:sz w:val="18"/>
                <w:szCs w:val="18"/>
              </w:rPr>
              <w:t>8</w:t>
            </w:r>
          </w:p>
        </w:tc>
      </w:tr>
    </w:tbl>
    <w:p w14:paraId="6094329C" w14:textId="77777777" w:rsidR="00C93B74" w:rsidRDefault="00C93B74" w:rsidP="00C93B74">
      <w:pPr>
        <w:jc w:val="both"/>
        <w:rPr>
          <w:rFonts w:asciiTheme="minorHAnsi" w:hAnsiTheme="minorHAnsi" w:cstheme="minorHAnsi"/>
          <w:sz w:val="22"/>
          <w:szCs w:val="22"/>
        </w:rPr>
      </w:pPr>
    </w:p>
    <w:p w14:paraId="30667A3E" w14:textId="77777777" w:rsidR="00C93B74" w:rsidRDefault="00C93B74" w:rsidP="00C93B74">
      <w:pPr>
        <w:jc w:val="both"/>
        <w:rPr>
          <w:rFonts w:asciiTheme="minorHAnsi" w:hAnsiTheme="minorHAnsi" w:cstheme="minorHAnsi"/>
          <w:sz w:val="22"/>
          <w:szCs w:val="22"/>
        </w:rPr>
      </w:pPr>
    </w:p>
    <w:p w14:paraId="666C61C1" w14:textId="77777777" w:rsidR="00C93B74" w:rsidRDefault="00C93B74" w:rsidP="00C93B74">
      <w:pPr>
        <w:jc w:val="both"/>
        <w:rPr>
          <w:rFonts w:asciiTheme="minorHAnsi" w:hAnsiTheme="minorHAnsi" w:cstheme="minorHAnsi"/>
          <w:b/>
          <w:bCs/>
          <w:sz w:val="22"/>
          <w:szCs w:val="22"/>
          <w:u w:val="single"/>
        </w:rPr>
      </w:pPr>
      <w:bookmarkStart w:id="24" w:name="_Hlk217385097"/>
      <w:r w:rsidRPr="00346C82">
        <w:rPr>
          <w:rFonts w:asciiTheme="minorHAnsi" w:hAnsiTheme="minorHAnsi" w:cstheme="minorHAnsi"/>
          <w:b/>
          <w:bCs/>
          <w:sz w:val="22"/>
          <w:szCs w:val="22"/>
          <w:u w:val="single"/>
        </w:rPr>
        <w:t>Gestão da carteira de crédito</w:t>
      </w:r>
    </w:p>
    <w:p w14:paraId="66EF2305" w14:textId="77777777" w:rsidR="00C93B74" w:rsidRPr="001C2BDC" w:rsidRDefault="00C93B74" w:rsidP="00C93B74">
      <w:pPr>
        <w:jc w:val="both"/>
        <w:rPr>
          <w:rFonts w:asciiTheme="minorHAnsi" w:hAnsiTheme="minorHAnsi" w:cstheme="minorHAnsi"/>
          <w:bCs/>
          <w:sz w:val="22"/>
          <w:szCs w:val="22"/>
        </w:rPr>
      </w:pPr>
    </w:p>
    <w:p w14:paraId="58457C4A" w14:textId="674C5EF9" w:rsidR="00350B72" w:rsidRPr="00350B72" w:rsidRDefault="00350B72" w:rsidP="00350B72">
      <w:pPr>
        <w:jc w:val="both"/>
        <w:rPr>
          <w:rFonts w:asciiTheme="minorHAnsi" w:hAnsiTheme="minorHAnsi" w:cstheme="minorHAnsi"/>
          <w:bCs/>
          <w:sz w:val="22"/>
          <w:szCs w:val="22"/>
        </w:rPr>
      </w:pPr>
      <w:bookmarkStart w:id="25" w:name="_Hlk71721661"/>
      <w:r w:rsidRPr="00350B72">
        <w:rPr>
          <w:rFonts w:asciiTheme="minorHAnsi" w:hAnsiTheme="minorHAnsi" w:cstheme="minorHAnsi"/>
          <w:bCs/>
          <w:sz w:val="22"/>
          <w:szCs w:val="22"/>
        </w:rPr>
        <w:t xml:space="preserve">A carteira de crédito da PARVALOREM está registada e é gerida numa Plataforma informática de gestão de créditos denominada LMP/SGV, com exceção dos créditos que foram objeto de titularização e dos créditos que, não podendo ainda ter sido transmitidos, se encontram em adiantamentos a fornecedores, os quais assumem atualmente, depois do Acordo Global com o </w:t>
      </w:r>
      <w:r w:rsidR="00F04ECD">
        <w:rPr>
          <w:rFonts w:asciiTheme="minorHAnsi" w:hAnsiTheme="minorHAnsi" w:cstheme="minorHAnsi"/>
          <w:bCs/>
          <w:sz w:val="22"/>
          <w:szCs w:val="22"/>
        </w:rPr>
        <w:t>Abanca</w:t>
      </w:r>
      <w:r w:rsidRPr="00350B72">
        <w:rPr>
          <w:rFonts w:asciiTheme="minorHAnsi" w:hAnsiTheme="minorHAnsi" w:cstheme="minorHAnsi"/>
          <w:bCs/>
          <w:sz w:val="22"/>
          <w:szCs w:val="22"/>
        </w:rPr>
        <w:t>, uma importância residual.</w:t>
      </w:r>
    </w:p>
    <w:p w14:paraId="7CBE18E4" w14:textId="77777777" w:rsidR="00350B72" w:rsidRPr="00350B72" w:rsidRDefault="00350B72" w:rsidP="00350B72">
      <w:pPr>
        <w:jc w:val="both"/>
        <w:rPr>
          <w:rFonts w:asciiTheme="minorHAnsi" w:hAnsiTheme="minorHAnsi" w:cstheme="minorHAnsi"/>
          <w:bCs/>
          <w:sz w:val="22"/>
          <w:szCs w:val="22"/>
        </w:rPr>
      </w:pPr>
    </w:p>
    <w:p w14:paraId="3F2DB40D" w14:textId="77777777" w:rsidR="00D459C3" w:rsidRDefault="00D459C3">
      <w:pPr>
        <w:rPr>
          <w:rFonts w:asciiTheme="minorHAnsi" w:hAnsiTheme="minorHAnsi" w:cstheme="minorHAnsi"/>
          <w:bCs/>
          <w:sz w:val="22"/>
          <w:szCs w:val="22"/>
        </w:rPr>
      </w:pPr>
      <w:r>
        <w:rPr>
          <w:rFonts w:asciiTheme="minorHAnsi" w:hAnsiTheme="minorHAnsi" w:cstheme="minorHAnsi"/>
          <w:bCs/>
          <w:sz w:val="22"/>
          <w:szCs w:val="22"/>
        </w:rPr>
        <w:br w:type="page"/>
      </w:r>
    </w:p>
    <w:p w14:paraId="3CE4FE3E" w14:textId="5A1A54A2" w:rsidR="001C2BDC" w:rsidRPr="001C2BDC" w:rsidRDefault="00350B72" w:rsidP="00350B72">
      <w:pPr>
        <w:jc w:val="both"/>
        <w:rPr>
          <w:rFonts w:asciiTheme="minorHAnsi" w:hAnsiTheme="minorHAnsi" w:cstheme="minorHAnsi"/>
          <w:bCs/>
          <w:sz w:val="22"/>
          <w:szCs w:val="22"/>
        </w:rPr>
      </w:pPr>
      <w:r w:rsidRPr="00350B72">
        <w:rPr>
          <w:rFonts w:asciiTheme="minorHAnsi" w:hAnsiTheme="minorHAnsi" w:cstheme="minorHAnsi"/>
          <w:bCs/>
          <w:sz w:val="22"/>
          <w:szCs w:val="22"/>
        </w:rPr>
        <w:lastRenderedPageBreak/>
        <w:t>De seguida são apresentados os principais indicadores e características da carteira de crédito refletida na plataforma informática LMP/SGV a 31 de dezembro de 2025.</w:t>
      </w:r>
    </w:p>
    <w:bookmarkEnd w:id="25"/>
    <w:p w14:paraId="61B0C0F9" w14:textId="77777777" w:rsidR="003D1B9C" w:rsidRDefault="003D1B9C" w:rsidP="00350B72">
      <w:pPr>
        <w:jc w:val="both"/>
        <w:rPr>
          <w:rFonts w:asciiTheme="minorHAnsi" w:hAnsiTheme="minorHAnsi" w:cstheme="minorHAnsi"/>
          <w:bCs/>
          <w:sz w:val="22"/>
          <w:szCs w:val="22"/>
        </w:rPr>
      </w:pPr>
    </w:p>
    <w:p w14:paraId="646125BF" w14:textId="4A8B90AD" w:rsidR="003D1B9C" w:rsidRDefault="007B1D3C" w:rsidP="00350B72">
      <w:pPr>
        <w:jc w:val="both"/>
        <w:rPr>
          <w:rFonts w:asciiTheme="minorHAnsi" w:hAnsiTheme="minorHAnsi" w:cstheme="minorHAnsi"/>
          <w:bCs/>
          <w:sz w:val="22"/>
          <w:szCs w:val="22"/>
        </w:rPr>
      </w:pPr>
      <w:r w:rsidRPr="007B1D3C">
        <w:rPr>
          <w:noProof/>
        </w:rPr>
        <w:drawing>
          <wp:inline distT="0" distB="0" distL="0" distR="0" wp14:anchorId="0370BA7A" wp14:editId="0A064A3D">
            <wp:extent cx="5400040" cy="947420"/>
            <wp:effectExtent l="0" t="0" r="0" b="5080"/>
            <wp:docPr id="204508943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947420"/>
                    </a:xfrm>
                    <a:prstGeom prst="rect">
                      <a:avLst/>
                    </a:prstGeom>
                    <a:noFill/>
                    <a:ln>
                      <a:noFill/>
                    </a:ln>
                  </pic:spPr>
                </pic:pic>
              </a:graphicData>
            </a:graphic>
          </wp:inline>
        </w:drawing>
      </w:r>
    </w:p>
    <w:p w14:paraId="00236112" w14:textId="77777777" w:rsidR="003D1B9C" w:rsidRDefault="003D1B9C" w:rsidP="00350B72">
      <w:pPr>
        <w:jc w:val="both"/>
        <w:rPr>
          <w:rFonts w:asciiTheme="minorHAnsi" w:hAnsiTheme="minorHAnsi" w:cstheme="minorHAnsi"/>
          <w:bCs/>
          <w:sz w:val="22"/>
          <w:szCs w:val="22"/>
        </w:rPr>
      </w:pPr>
    </w:p>
    <w:p w14:paraId="488A135B" w14:textId="3B9FE510" w:rsidR="00350B72" w:rsidRPr="00350B72" w:rsidRDefault="00350B72" w:rsidP="00350B72">
      <w:pPr>
        <w:jc w:val="both"/>
        <w:rPr>
          <w:rFonts w:asciiTheme="minorHAnsi" w:hAnsiTheme="minorHAnsi" w:cstheme="minorHAnsi"/>
          <w:bCs/>
          <w:sz w:val="22"/>
          <w:szCs w:val="22"/>
        </w:rPr>
      </w:pPr>
      <w:r w:rsidRPr="00350B72">
        <w:rPr>
          <w:rFonts w:asciiTheme="minorHAnsi" w:hAnsiTheme="minorHAnsi" w:cstheme="minorHAnsi"/>
          <w:bCs/>
          <w:sz w:val="22"/>
          <w:szCs w:val="22"/>
        </w:rPr>
        <w:t>Em 31 de dezembro de 2025, a carteira da PARVALOREM evidencia, face a 2012, reduções percentuais de 42% do número de devedores, de 46% dos processos judiciais, e de 65% do capital em dívida.</w:t>
      </w:r>
    </w:p>
    <w:p w14:paraId="74156851" w14:textId="77777777" w:rsidR="00350B72" w:rsidRPr="00350B72" w:rsidRDefault="00350B72" w:rsidP="00350B72">
      <w:pPr>
        <w:jc w:val="both"/>
        <w:rPr>
          <w:rFonts w:asciiTheme="minorHAnsi" w:hAnsiTheme="minorHAnsi" w:cstheme="minorHAnsi"/>
          <w:bCs/>
          <w:sz w:val="22"/>
          <w:szCs w:val="22"/>
        </w:rPr>
      </w:pPr>
    </w:p>
    <w:p w14:paraId="744FD898" w14:textId="77777777" w:rsidR="00350B72" w:rsidRPr="00350B72" w:rsidRDefault="00350B72" w:rsidP="00350B72">
      <w:pPr>
        <w:jc w:val="both"/>
        <w:rPr>
          <w:rFonts w:asciiTheme="minorHAnsi" w:hAnsiTheme="minorHAnsi" w:cstheme="minorHAnsi"/>
          <w:bCs/>
          <w:sz w:val="22"/>
          <w:szCs w:val="22"/>
        </w:rPr>
      </w:pPr>
      <w:r w:rsidRPr="00350B72">
        <w:rPr>
          <w:rFonts w:asciiTheme="minorHAnsi" w:hAnsiTheme="minorHAnsi" w:cstheme="minorHAnsi"/>
          <w:bCs/>
          <w:sz w:val="22"/>
          <w:szCs w:val="22"/>
        </w:rPr>
        <w:t>Em 2025 face a 2024, verificou-se uma diminuição de 8% no número de devedores, de 8% no número de processos judiciais, e uma redução do capital em dívida de 52%. As variações indicadas são reflexo da natural evolução dos processos judiciais, da recuperação operada no exercício, bem como da classificação de créditos em “Incobrável”.</w:t>
      </w:r>
    </w:p>
    <w:p w14:paraId="36353216" w14:textId="77777777" w:rsidR="00350B72" w:rsidRDefault="00350B72" w:rsidP="00350B72">
      <w:pPr>
        <w:jc w:val="both"/>
        <w:rPr>
          <w:rFonts w:asciiTheme="minorHAnsi" w:hAnsiTheme="minorHAnsi" w:cstheme="minorHAnsi"/>
          <w:bCs/>
          <w:sz w:val="22"/>
          <w:szCs w:val="22"/>
        </w:rPr>
      </w:pPr>
    </w:p>
    <w:p w14:paraId="0BD2EA47" w14:textId="77777777" w:rsidR="008C71B0" w:rsidRPr="00350B72" w:rsidRDefault="008C71B0" w:rsidP="00350B72">
      <w:pPr>
        <w:jc w:val="both"/>
        <w:rPr>
          <w:rFonts w:asciiTheme="minorHAnsi" w:hAnsiTheme="minorHAnsi" w:cstheme="minorHAnsi"/>
          <w:bCs/>
          <w:sz w:val="22"/>
          <w:szCs w:val="22"/>
        </w:rPr>
      </w:pPr>
    </w:p>
    <w:p w14:paraId="31CF3B01" w14:textId="77777777" w:rsidR="00350B72" w:rsidRPr="00350B72" w:rsidRDefault="00350B72" w:rsidP="00350B72">
      <w:pPr>
        <w:jc w:val="both"/>
        <w:rPr>
          <w:rFonts w:asciiTheme="minorHAnsi" w:hAnsiTheme="minorHAnsi" w:cstheme="minorHAnsi"/>
          <w:bCs/>
          <w:sz w:val="22"/>
          <w:szCs w:val="22"/>
          <w:u w:val="single"/>
        </w:rPr>
      </w:pPr>
      <w:r w:rsidRPr="00350B72">
        <w:rPr>
          <w:rFonts w:asciiTheme="minorHAnsi" w:hAnsiTheme="minorHAnsi" w:cstheme="minorHAnsi"/>
          <w:bCs/>
          <w:sz w:val="22"/>
          <w:szCs w:val="22"/>
          <w:u w:val="single"/>
        </w:rPr>
        <w:t>Caracterização da carteira</w:t>
      </w:r>
    </w:p>
    <w:p w14:paraId="08ADA077" w14:textId="76175400" w:rsidR="0094186E" w:rsidRDefault="00350B72" w:rsidP="00350B72">
      <w:pPr>
        <w:jc w:val="both"/>
        <w:rPr>
          <w:rFonts w:asciiTheme="minorHAnsi" w:hAnsiTheme="minorHAnsi" w:cstheme="minorHAnsi"/>
          <w:bCs/>
          <w:sz w:val="22"/>
          <w:szCs w:val="22"/>
        </w:rPr>
      </w:pPr>
      <w:r w:rsidRPr="00350B72">
        <w:rPr>
          <w:rFonts w:asciiTheme="minorHAnsi" w:hAnsiTheme="minorHAnsi" w:cstheme="minorHAnsi"/>
          <w:bCs/>
          <w:sz w:val="22"/>
          <w:szCs w:val="22"/>
        </w:rPr>
        <w:t>A carteira de crédito da PARVALOREM, em 31 de dezembro de 2025, encontrava-se distribuída por 4 957 devedores, representando € 1 536,5 milhões de dívida.</w:t>
      </w:r>
    </w:p>
    <w:p w14:paraId="79481A77" w14:textId="77777777" w:rsidR="00350B72" w:rsidRDefault="00350B72" w:rsidP="00350B72">
      <w:pPr>
        <w:jc w:val="both"/>
        <w:rPr>
          <w:rFonts w:asciiTheme="minorHAnsi" w:hAnsiTheme="minorHAnsi" w:cstheme="minorHAnsi"/>
          <w:bCs/>
          <w:sz w:val="22"/>
          <w:szCs w:val="22"/>
        </w:rPr>
      </w:pPr>
    </w:p>
    <w:p w14:paraId="5E9F8561" w14:textId="1FF2ABDC" w:rsidR="0094186E" w:rsidRPr="001C2BDC" w:rsidRDefault="007B1D3C" w:rsidP="001C2BDC">
      <w:pPr>
        <w:jc w:val="both"/>
        <w:rPr>
          <w:rFonts w:asciiTheme="minorHAnsi" w:hAnsiTheme="minorHAnsi" w:cstheme="minorHAnsi"/>
          <w:bCs/>
          <w:sz w:val="22"/>
          <w:szCs w:val="22"/>
        </w:rPr>
      </w:pPr>
      <w:r w:rsidRPr="007B1D3C">
        <w:rPr>
          <w:noProof/>
        </w:rPr>
        <w:drawing>
          <wp:inline distT="0" distB="0" distL="0" distR="0" wp14:anchorId="00EEA698" wp14:editId="50855924">
            <wp:extent cx="5400040" cy="1054100"/>
            <wp:effectExtent l="0" t="0" r="0" b="0"/>
            <wp:docPr id="78033575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1054100"/>
                    </a:xfrm>
                    <a:prstGeom prst="rect">
                      <a:avLst/>
                    </a:prstGeom>
                    <a:noFill/>
                    <a:ln>
                      <a:noFill/>
                    </a:ln>
                  </pic:spPr>
                </pic:pic>
              </a:graphicData>
            </a:graphic>
          </wp:inline>
        </w:drawing>
      </w:r>
    </w:p>
    <w:p w14:paraId="69C83B6D" w14:textId="77777777" w:rsidR="001C2BDC" w:rsidRPr="001C2BDC" w:rsidRDefault="001C2BDC" w:rsidP="001C2BDC">
      <w:pPr>
        <w:jc w:val="both"/>
        <w:rPr>
          <w:rFonts w:asciiTheme="minorHAnsi" w:hAnsiTheme="minorHAnsi" w:cstheme="minorHAnsi"/>
          <w:bCs/>
          <w:sz w:val="22"/>
          <w:szCs w:val="22"/>
        </w:rPr>
      </w:pPr>
    </w:p>
    <w:p w14:paraId="2C1475D1" w14:textId="77777777" w:rsidR="00350B72" w:rsidRPr="001C2BDC" w:rsidRDefault="00350B72" w:rsidP="00350B72">
      <w:pPr>
        <w:jc w:val="both"/>
        <w:rPr>
          <w:rFonts w:asciiTheme="minorHAnsi" w:hAnsiTheme="minorHAnsi" w:cstheme="minorHAnsi"/>
          <w:bCs/>
          <w:sz w:val="22"/>
          <w:szCs w:val="22"/>
        </w:rPr>
      </w:pPr>
      <w:r w:rsidRPr="001C2BDC">
        <w:rPr>
          <w:rFonts w:asciiTheme="minorHAnsi" w:hAnsiTheme="minorHAnsi" w:cstheme="minorHAnsi"/>
          <w:bCs/>
          <w:sz w:val="22"/>
          <w:szCs w:val="22"/>
        </w:rPr>
        <w:t>Desde abril de 2020, a PARVALOREM tem sob gestão interna 100% da dívida, com as exceções acima referidas.</w:t>
      </w:r>
    </w:p>
    <w:p w14:paraId="27F8AA5E" w14:textId="77777777" w:rsidR="00350B72" w:rsidRPr="001C2BDC" w:rsidRDefault="00350B72" w:rsidP="00350B72">
      <w:pPr>
        <w:jc w:val="both"/>
        <w:rPr>
          <w:rFonts w:asciiTheme="minorHAnsi" w:hAnsiTheme="minorHAnsi" w:cstheme="minorHAnsi"/>
          <w:bCs/>
          <w:sz w:val="22"/>
          <w:szCs w:val="22"/>
        </w:rPr>
      </w:pPr>
    </w:p>
    <w:p w14:paraId="09ACB104" w14:textId="77777777" w:rsidR="00350B72" w:rsidRPr="001C2BDC" w:rsidRDefault="00350B72" w:rsidP="00350B72">
      <w:pPr>
        <w:jc w:val="both"/>
        <w:rPr>
          <w:rFonts w:asciiTheme="minorHAnsi" w:hAnsiTheme="minorHAnsi" w:cstheme="minorHAnsi"/>
          <w:bCs/>
          <w:sz w:val="22"/>
          <w:szCs w:val="22"/>
        </w:rPr>
      </w:pPr>
      <w:r w:rsidRPr="001C2BDC">
        <w:rPr>
          <w:rFonts w:asciiTheme="minorHAnsi" w:hAnsiTheme="minorHAnsi" w:cstheme="minorHAnsi"/>
          <w:bCs/>
          <w:sz w:val="22"/>
          <w:szCs w:val="22"/>
        </w:rPr>
        <w:t>Apesar do número de Devedores (</w:t>
      </w:r>
      <w:r>
        <w:rPr>
          <w:rFonts w:asciiTheme="minorHAnsi" w:hAnsiTheme="minorHAnsi" w:cstheme="minorHAnsi"/>
          <w:bCs/>
          <w:sz w:val="22"/>
          <w:szCs w:val="22"/>
        </w:rPr>
        <w:t>4</w:t>
      </w:r>
      <w:r w:rsidRPr="001C2BDC">
        <w:rPr>
          <w:rFonts w:asciiTheme="minorHAnsi" w:hAnsiTheme="minorHAnsi" w:cstheme="minorHAnsi"/>
          <w:bCs/>
          <w:sz w:val="22"/>
          <w:szCs w:val="22"/>
        </w:rPr>
        <w:t>.</w:t>
      </w:r>
      <w:r>
        <w:rPr>
          <w:rFonts w:asciiTheme="minorHAnsi" w:hAnsiTheme="minorHAnsi" w:cstheme="minorHAnsi"/>
          <w:bCs/>
          <w:sz w:val="22"/>
          <w:szCs w:val="22"/>
        </w:rPr>
        <w:t>957</w:t>
      </w:r>
      <w:r w:rsidRPr="001C2BDC">
        <w:rPr>
          <w:rFonts w:asciiTheme="minorHAnsi" w:hAnsiTheme="minorHAnsi" w:cstheme="minorHAnsi"/>
          <w:bCs/>
          <w:sz w:val="22"/>
          <w:szCs w:val="22"/>
        </w:rPr>
        <w:t xml:space="preserve">), </w:t>
      </w:r>
      <w:r>
        <w:rPr>
          <w:rFonts w:asciiTheme="minorHAnsi" w:hAnsiTheme="minorHAnsi" w:cstheme="minorHAnsi"/>
          <w:bCs/>
          <w:sz w:val="22"/>
          <w:szCs w:val="22"/>
        </w:rPr>
        <w:t>86</w:t>
      </w:r>
      <w:r w:rsidRPr="001C2BDC">
        <w:rPr>
          <w:rFonts w:asciiTheme="minorHAnsi" w:hAnsiTheme="minorHAnsi" w:cstheme="minorHAnsi"/>
          <w:bCs/>
          <w:sz w:val="22"/>
          <w:szCs w:val="22"/>
        </w:rPr>
        <w:t>,3</w:t>
      </w:r>
      <w:r>
        <w:rPr>
          <w:rFonts w:asciiTheme="minorHAnsi" w:hAnsiTheme="minorHAnsi" w:cstheme="minorHAnsi"/>
          <w:bCs/>
          <w:sz w:val="22"/>
          <w:szCs w:val="22"/>
        </w:rPr>
        <w:t>0</w:t>
      </w:r>
      <w:r w:rsidRPr="001C2BDC">
        <w:rPr>
          <w:rFonts w:asciiTheme="minorHAnsi" w:hAnsiTheme="minorHAnsi" w:cstheme="minorHAnsi"/>
          <w:bCs/>
          <w:sz w:val="22"/>
          <w:szCs w:val="22"/>
        </w:rPr>
        <w:t>% do valor da carteira sob gestão encontra-se concentrada em apenas 1</w:t>
      </w:r>
      <w:r>
        <w:rPr>
          <w:rFonts w:asciiTheme="minorHAnsi" w:hAnsiTheme="minorHAnsi" w:cstheme="minorHAnsi"/>
          <w:bCs/>
          <w:sz w:val="22"/>
          <w:szCs w:val="22"/>
        </w:rPr>
        <w:t>3</w:t>
      </w:r>
      <w:r w:rsidRPr="001C2BDC">
        <w:rPr>
          <w:rFonts w:asciiTheme="minorHAnsi" w:hAnsiTheme="minorHAnsi" w:cstheme="minorHAnsi"/>
          <w:bCs/>
          <w:sz w:val="22"/>
          <w:szCs w:val="22"/>
        </w:rPr>
        <w:t>,</w:t>
      </w:r>
      <w:r>
        <w:rPr>
          <w:rFonts w:asciiTheme="minorHAnsi" w:hAnsiTheme="minorHAnsi" w:cstheme="minorHAnsi"/>
          <w:bCs/>
          <w:sz w:val="22"/>
          <w:szCs w:val="22"/>
        </w:rPr>
        <w:t>50</w:t>
      </w:r>
      <w:r w:rsidRPr="001C2BDC">
        <w:rPr>
          <w:rFonts w:asciiTheme="minorHAnsi" w:hAnsiTheme="minorHAnsi" w:cstheme="minorHAnsi"/>
          <w:bCs/>
          <w:sz w:val="22"/>
          <w:szCs w:val="22"/>
        </w:rPr>
        <w:t>%. No entanto, é de salientar que os processos judiciais ativos (</w:t>
      </w:r>
      <w:r>
        <w:rPr>
          <w:rFonts w:asciiTheme="minorHAnsi" w:hAnsiTheme="minorHAnsi" w:cstheme="minorHAnsi"/>
          <w:bCs/>
          <w:sz w:val="22"/>
          <w:szCs w:val="22"/>
        </w:rPr>
        <w:t>4</w:t>
      </w:r>
      <w:r w:rsidRPr="001C2BDC">
        <w:rPr>
          <w:rFonts w:asciiTheme="minorHAnsi" w:hAnsiTheme="minorHAnsi" w:cstheme="minorHAnsi"/>
          <w:bCs/>
          <w:sz w:val="22"/>
          <w:szCs w:val="22"/>
        </w:rPr>
        <w:t>.</w:t>
      </w:r>
      <w:r>
        <w:rPr>
          <w:rFonts w:asciiTheme="minorHAnsi" w:hAnsiTheme="minorHAnsi" w:cstheme="minorHAnsi"/>
          <w:bCs/>
          <w:sz w:val="22"/>
          <w:szCs w:val="22"/>
        </w:rPr>
        <w:t>735</w:t>
      </w:r>
      <w:r w:rsidRPr="001C2BDC">
        <w:rPr>
          <w:rFonts w:asciiTheme="minorHAnsi" w:hAnsiTheme="minorHAnsi" w:cstheme="minorHAnsi"/>
          <w:bCs/>
          <w:sz w:val="22"/>
          <w:szCs w:val="22"/>
        </w:rPr>
        <w:t>) correspondem a um número alargado de Devedores com responsabilidades de valor muito diversificado.</w:t>
      </w:r>
    </w:p>
    <w:p w14:paraId="410FAA43" w14:textId="77777777" w:rsidR="00350B72" w:rsidRPr="001C2BDC" w:rsidRDefault="00350B72" w:rsidP="00350B72">
      <w:pPr>
        <w:jc w:val="both"/>
        <w:rPr>
          <w:rFonts w:asciiTheme="minorHAnsi" w:hAnsiTheme="minorHAnsi" w:cstheme="minorHAnsi"/>
          <w:bCs/>
          <w:sz w:val="22"/>
          <w:szCs w:val="22"/>
        </w:rPr>
      </w:pPr>
    </w:p>
    <w:p w14:paraId="1103B4F1" w14:textId="77777777" w:rsidR="00350B72" w:rsidRPr="001C2BDC" w:rsidRDefault="00350B72" w:rsidP="00350B72">
      <w:pPr>
        <w:jc w:val="both"/>
        <w:rPr>
          <w:rFonts w:asciiTheme="minorHAnsi" w:hAnsiTheme="minorHAnsi" w:cstheme="minorHAnsi"/>
          <w:bCs/>
          <w:sz w:val="22"/>
          <w:szCs w:val="22"/>
        </w:rPr>
      </w:pPr>
      <w:r w:rsidRPr="001C2BDC">
        <w:rPr>
          <w:rFonts w:asciiTheme="minorHAnsi" w:hAnsiTheme="minorHAnsi" w:cstheme="minorHAnsi"/>
          <w:bCs/>
          <w:sz w:val="22"/>
          <w:szCs w:val="22"/>
        </w:rPr>
        <w:t>Conforme quadro seguinte, importa ainda realçar que, a 31/12/202</w:t>
      </w:r>
      <w:r>
        <w:rPr>
          <w:rFonts w:asciiTheme="minorHAnsi" w:hAnsiTheme="minorHAnsi" w:cstheme="minorHAnsi"/>
          <w:bCs/>
          <w:sz w:val="22"/>
          <w:szCs w:val="22"/>
        </w:rPr>
        <w:t>5</w:t>
      </w:r>
      <w:r w:rsidRPr="001C2BDC">
        <w:rPr>
          <w:rFonts w:asciiTheme="minorHAnsi" w:hAnsiTheme="minorHAnsi" w:cstheme="minorHAnsi"/>
          <w:bCs/>
          <w:sz w:val="22"/>
          <w:szCs w:val="22"/>
        </w:rPr>
        <w:t>, 6</w:t>
      </w:r>
      <w:r>
        <w:rPr>
          <w:rFonts w:asciiTheme="minorHAnsi" w:hAnsiTheme="minorHAnsi" w:cstheme="minorHAnsi"/>
          <w:bCs/>
          <w:sz w:val="22"/>
          <w:szCs w:val="22"/>
        </w:rPr>
        <w:t>8</w:t>
      </w:r>
      <w:r w:rsidRPr="001C2BDC">
        <w:rPr>
          <w:rFonts w:asciiTheme="minorHAnsi" w:hAnsiTheme="minorHAnsi" w:cstheme="minorHAnsi"/>
          <w:bCs/>
          <w:sz w:val="22"/>
          <w:szCs w:val="22"/>
        </w:rPr>
        <w:t>,</w:t>
      </w:r>
      <w:r>
        <w:rPr>
          <w:rFonts w:asciiTheme="minorHAnsi" w:hAnsiTheme="minorHAnsi" w:cstheme="minorHAnsi"/>
          <w:bCs/>
          <w:sz w:val="22"/>
          <w:szCs w:val="22"/>
        </w:rPr>
        <w:t>11</w:t>
      </w:r>
      <w:r w:rsidRPr="001C2BDC">
        <w:rPr>
          <w:rFonts w:asciiTheme="minorHAnsi" w:hAnsiTheme="minorHAnsi" w:cstheme="minorHAnsi"/>
          <w:bCs/>
          <w:sz w:val="22"/>
          <w:szCs w:val="22"/>
        </w:rPr>
        <w:t xml:space="preserve">% do total dos contratos sob gestão são de empresas e correspondem a </w:t>
      </w:r>
      <w:r>
        <w:rPr>
          <w:rFonts w:asciiTheme="minorHAnsi" w:hAnsiTheme="minorHAnsi" w:cstheme="minorHAnsi"/>
          <w:bCs/>
          <w:sz w:val="22"/>
          <w:szCs w:val="22"/>
        </w:rPr>
        <w:t>87</w:t>
      </w:r>
      <w:r w:rsidRPr="001C2BDC">
        <w:rPr>
          <w:rFonts w:asciiTheme="minorHAnsi" w:hAnsiTheme="minorHAnsi" w:cstheme="minorHAnsi"/>
          <w:bCs/>
          <w:sz w:val="22"/>
          <w:szCs w:val="22"/>
        </w:rPr>
        <w:t>,</w:t>
      </w:r>
      <w:r>
        <w:rPr>
          <w:rFonts w:asciiTheme="minorHAnsi" w:hAnsiTheme="minorHAnsi" w:cstheme="minorHAnsi"/>
          <w:bCs/>
          <w:sz w:val="22"/>
          <w:szCs w:val="22"/>
        </w:rPr>
        <w:t>57</w:t>
      </w:r>
      <w:r w:rsidRPr="001C2BDC">
        <w:rPr>
          <w:rFonts w:asciiTheme="minorHAnsi" w:hAnsiTheme="minorHAnsi" w:cstheme="minorHAnsi"/>
          <w:bCs/>
          <w:sz w:val="22"/>
          <w:szCs w:val="22"/>
        </w:rPr>
        <w:t>% do capital.</w:t>
      </w:r>
    </w:p>
    <w:p w14:paraId="60648AB9" w14:textId="77777777" w:rsidR="001C2BDC" w:rsidRDefault="001C2BDC" w:rsidP="001C2BDC">
      <w:pPr>
        <w:jc w:val="both"/>
        <w:rPr>
          <w:rFonts w:asciiTheme="minorHAnsi" w:hAnsiTheme="minorHAnsi" w:cstheme="minorHAnsi"/>
          <w:sz w:val="22"/>
          <w:szCs w:val="22"/>
        </w:rPr>
      </w:pPr>
    </w:p>
    <w:p w14:paraId="1BED724F" w14:textId="53AC2DAB" w:rsidR="0094186E" w:rsidRDefault="00517F43" w:rsidP="001C2BDC">
      <w:pPr>
        <w:jc w:val="both"/>
        <w:rPr>
          <w:rFonts w:asciiTheme="minorHAnsi" w:hAnsiTheme="minorHAnsi" w:cstheme="minorHAnsi"/>
          <w:sz w:val="22"/>
          <w:szCs w:val="22"/>
        </w:rPr>
      </w:pPr>
      <w:r w:rsidRPr="00517F43">
        <w:rPr>
          <w:noProof/>
        </w:rPr>
        <w:drawing>
          <wp:inline distT="0" distB="0" distL="0" distR="0" wp14:anchorId="19CD14A5" wp14:editId="0F7D2FB8">
            <wp:extent cx="5400040" cy="946150"/>
            <wp:effectExtent l="0" t="0" r="0" b="6350"/>
            <wp:docPr id="123214521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946150"/>
                    </a:xfrm>
                    <a:prstGeom prst="rect">
                      <a:avLst/>
                    </a:prstGeom>
                    <a:noFill/>
                    <a:ln>
                      <a:noFill/>
                    </a:ln>
                  </pic:spPr>
                </pic:pic>
              </a:graphicData>
            </a:graphic>
          </wp:inline>
        </w:drawing>
      </w:r>
    </w:p>
    <w:p w14:paraId="5A528E35" w14:textId="77777777" w:rsidR="0094186E" w:rsidRDefault="0094186E" w:rsidP="001C2BDC">
      <w:pPr>
        <w:jc w:val="both"/>
        <w:rPr>
          <w:rFonts w:asciiTheme="minorHAnsi" w:hAnsiTheme="minorHAnsi" w:cstheme="minorHAnsi"/>
          <w:bCs/>
          <w:sz w:val="22"/>
          <w:szCs w:val="22"/>
        </w:rPr>
      </w:pPr>
    </w:p>
    <w:p w14:paraId="1E45F4A7" w14:textId="77777777" w:rsidR="00350B72" w:rsidRDefault="00350B72" w:rsidP="00350B72">
      <w:pPr>
        <w:jc w:val="both"/>
        <w:rPr>
          <w:rFonts w:asciiTheme="minorHAnsi" w:hAnsiTheme="minorHAnsi" w:cstheme="minorHAnsi"/>
          <w:bCs/>
          <w:sz w:val="22"/>
          <w:szCs w:val="22"/>
        </w:rPr>
      </w:pPr>
      <w:r>
        <w:rPr>
          <w:rFonts w:asciiTheme="minorHAnsi" w:hAnsiTheme="minorHAnsi" w:cstheme="minorHAnsi"/>
          <w:bCs/>
          <w:sz w:val="22"/>
          <w:szCs w:val="22"/>
        </w:rPr>
        <w:t>A</w:t>
      </w:r>
      <w:r w:rsidRPr="001C2BDC">
        <w:rPr>
          <w:rFonts w:asciiTheme="minorHAnsi" w:hAnsiTheme="minorHAnsi" w:cstheme="minorHAnsi"/>
          <w:bCs/>
          <w:sz w:val="22"/>
          <w:szCs w:val="22"/>
        </w:rPr>
        <w:t>s fases do crédito a 31 de dezembro de 202</w:t>
      </w:r>
      <w:r>
        <w:rPr>
          <w:rFonts w:asciiTheme="minorHAnsi" w:hAnsiTheme="minorHAnsi" w:cstheme="minorHAnsi"/>
          <w:bCs/>
          <w:sz w:val="22"/>
          <w:szCs w:val="22"/>
        </w:rPr>
        <w:t>5, estão representadas quantitativamente no próximo quadro</w:t>
      </w:r>
      <w:r w:rsidRPr="001C2BDC">
        <w:rPr>
          <w:rFonts w:asciiTheme="minorHAnsi" w:hAnsiTheme="minorHAnsi" w:cstheme="minorHAnsi"/>
          <w:bCs/>
          <w:sz w:val="22"/>
          <w:szCs w:val="22"/>
        </w:rPr>
        <w:t>. Sendo de destacar que 5</w:t>
      </w:r>
      <w:r>
        <w:rPr>
          <w:rFonts w:asciiTheme="minorHAnsi" w:hAnsiTheme="minorHAnsi" w:cstheme="minorHAnsi"/>
          <w:bCs/>
          <w:sz w:val="22"/>
          <w:szCs w:val="22"/>
        </w:rPr>
        <w:t>5</w:t>
      </w:r>
      <w:r w:rsidRPr="001C2BDC">
        <w:rPr>
          <w:rFonts w:asciiTheme="minorHAnsi" w:hAnsiTheme="minorHAnsi" w:cstheme="minorHAnsi"/>
          <w:bCs/>
          <w:sz w:val="22"/>
          <w:szCs w:val="22"/>
        </w:rPr>
        <w:t>,</w:t>
      </w:r>
      <w:r>
        <w:rPr>
          <w:rFonts w:asciiTheme="minorHAnsi" w:hAnsiTheme="minorHAnsi" w:cstheme="minorHAnsi"/>
          <w:bCs/>
          <w:sz w:val="22"/>
          <w:szCs w:val="22"/>
        </w:rPr>
        <w:t>37</w:t>
      </w:r>
      <w:r w:rsidRPr="001C2BDC">
        <w:rPr>
          <w:rFonts w:asciiTheme="minorHAnsi" w:hAnsiTheme="minorHAnsi" w:cstheme="minorHAnsi"/>
          <w:bCs/>
          <w:sz w:val="22"/>
          <w:szCs w:val="22"/>
        </w:rPr>
        <w:t xml:space="preserve">% dos contratos estão associados a processos executivos, representando </w:t>
      </w:r>
      <w:r>
        <w:rPr>
          <w:rFonts w:asciiTheme="minorHAnsi" w:hAnsiTheme="minorHAnsi" w:cstheme="minorHAnsi"/>
          <w:bCs/>
          <w:sz w:val="22"/>
          <w:szCs w:val="22"/>
        </w:rPr>
        <w:t>38</w:t>
      </w:r>
      <w:r w:rsidRPr="001C2BDC">
        <w:rPr>
          <w:rFonts w:asciiTheme="minorHAnsi" w:hAnsiTheme="minorHAnsi" w:cstheme="minorHAnsi"/>
          <w:bCs/>
          <w:sz w:val="22"/>
          <w:szCs w:val="22"/>
        </w:rPr>
        <w:t>,</w:t>
      </w:r>
      <w:r>
        <w:rPr>
          <w:rFonts w:asciiTheme="minorHAnsi" w:hAnsiTheme="minorHAnsi" w:cstheme="minorHAnsi"/>
          <w:bCs/>
          <w:sz w:val="22"/>
          <w:szCs w:val="22"/>
        </w:rPr>
        <w:t>68</w:t>
      </w:r>
      <w:r w:rsidRPr="001C2BDC">
        <w:rPr>
          <w:rFonts w:asciiTheme="minorHAnsi" w:hAnsiTheme="minorHAnsi" w:cstheme="minorHAnsi"/>
          <w:bCs/>
          <w:sz w:val="22"/>
          <w:szCs w:val="22"/>
        </w:rPr>
        <w:t xml:space="preserve">% do valor em dívida; enquanto </w:t>
      </w:r>
      <w:r>
        <w:rPr>
          <w:rFonts w:asciiTheme="minorHAnsi" w:hAnsiTheme="minorHAnsi" w:cstheme="minorHAnsi"/>
          <w:bCs/>
          <w:sz w:val="22"/>
          <w:szCs w:val="22"/>
        </w:rPr>
        <w:t>26</w:t>
      </w:r>
      <w:r w:rsidRPr="001C2BDC">
        <w:rPr>
          <w:rFonts w:asciiTheme="minorHAnsi" w:hAnsiTheme="minorHAnsi" w:cstheme="minorHAnsi"/>
          <w:bCs/>
          <w:sz w:val="22"/>
          <w:szCs w:val="22"/>
        </w:rPr>
        <w:t>,</w:t>
      </w:r>
      <w:r>
        <w:rPr>
          <w:rFonts w:asciiTheme="minorHAnsi" w:hAnsiTheme="minorHAnsi" w:cstheme="minorHAnsi"/>
          <w:bCs/>
          <w:sz w:val="22"/>
          <w:szCs w:val="22"/>
        </w:rPr>
        <w:t>37</w:t>
      </w:r>
      <w:r w:rsidRPr="001C2BDC">
        <w:rPr>
          <w:rFonts w:asciiTheme="minorHAnsi" w:hAnsiTheme="minorHAnsi" w:cstheme="minorHAnsi"/>
          <w:bCs/>
          <w:sz w:val="22"/>
          <w:szCs w:val="22"/>
        </w:rPr>
        <w:t>% da dívida e 9,</w:t>
      </w:r>
      <w:r>
        <w:rPr>
          <w:rFonts w:asciiTheme="minorHAnsi" w:hAnsiTheme="minorHAnsi" w:cstheme="minorHAnsi"/>
          <w:bCs/>
          <w:sz w:val="22"/>
          <w:szCs w:val="22"/>
        </w:rPr>
        <w:t>57</w:t>
      </w:r>
      <w:r w:rsidRPr="001C2BDC">
        <w:rPr>
          <w:rFonts w:asciiTheme="minorHAnsi" w:hAnsiTheme="minorHAnsi" w:cstheme="minorHAnsi"/>
          <w:bCs/>
          <w:sz w:val="22"/>
          <w:szCs w:val="22"/>
        </w:rPr>
        <w:t>% dos contratos estão associados a processos de Insolvência:</w:t>
      </w:r>
    </w:p>
    <w:p w14:paraId="6838EE3E" w14:textId="77777777" w:rsidR="001C2BDC" w:rsidRPr="001C2BDC" w:rsidRDefault="001C2BDC" w:rsidP="001C2BDC">
      <w:pPr>
        <w:jc w:val="both"/>
        <w:rPr>
          <w:rFonts w:asciiTheme="minorHAnsi" w:hAnsiTheme="minorHAnsi" w:cstheme="minorHAnsi"/>
          <w:bCs/>
          <w:sz w:val="22"/>
          <w:szCs w:val="22"/>
        </w:rPr>
      </w:pPr>
    </w:p>
    <w:p w14:paraId="6B18BDA7" w14:textId="7F743AFA" w:rsidR="001C2BDC" w:rsidRDefault="00517F43" w:rsidP="001C2BDC">
      <w:pPr>
        <w:jc w:val="both"/>
        <w:rPr>
          <w:rFonts w:asciiTheme="minorHAnsi" w:hAnsiTheme="minorHAnsi" w:cstheme="minorHAnsi"/>
          <w:sz w:val="22"/>
          <w:szCs w:val="22"/>
        </w:rPr>
      </w:pPr>
      <w:r w:rsidRPr="00517F43">
        <w:rPr>
          <w:noProof/>
        </w:rPr>
        <w:drawing>
          <wp:inline distT="0" distB="0" distL="0" distR="0" wp14:anchorId="743CAD26" wp14:editId="682549A4">
            <wp:extent cx="5400040" cy="2195830"/>
            <wp:effectExtent l="0" t="0" r="0" b="0"/>
            <wp:docPr id="191981149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2195830"/>
                    </a:xfrm>
                    <a:prstGeom prst="rect">
                      <a:avLst/>
                    </a:prstGeom>
                    <a:noFill/>
                    <a:ln>
                      <a:noFill/>
                    </a:ln>
                  </pic:spPr>
                </pic:pic>
              </a:graphicData>
            </a:graphic>
          </wp:inline>
        </w:drawing>
      </w:r>
    </w:p>
    <w:p w14:paraId="2F30968C" w14:textId="77777777" w:rsidR="001C2BDC" w:rsidRPr="001C2BDC" w:rsidRDefault="001C2BDC" w:rsidP="001C2BDC">
      <w:pPr>
        <w:jc w:val="both"/>
        <w:rPr>
          <w:rFonts w:asciiTheme="minorHAnsi" w:hAnsiTheme="minorHAnsi" w:cstheme="minorHAnsi"/>
          <w:bCs/>
          <w:sz w:val="22"/>
          <w:szCs w:val="22"/>
        </w:rPr>
      </w:pPr>
    </w:p>
    <w:p w14:paraId="42FADD4E" w14:textId="77777777" w:rsidR="00350B72" w:rsidRPr="008B522E" w:rsidRDefault="00350B72" w:rsidP="00350B72">
      <w:pPr>
        <w:jc w:val="both"/>
        <w:rPr>
          <w:rFonts w:asciiTheme="minorHAnsi" w:hAnsiTheme="minorHAnsi" w:cstheme="minorHAnsi"/>
          <w:bCs/>
          <w:sz w:val="22"/>
          <w:szCs w:val="22"/>
        </w:rPr>
      </w:pPr>
      <w:r w:rsidRPr="001C2BDC">
        <w:rPr>
          <w:rFonts w:asciiTheme="minorHAnsi" w:hAnsiTheme="minorHAnsi" w:cstheme="minorHAnsi"/>
          <w:bCs/>
          <w:sz w:val="22"/>
          <w:szCs w:val="22"/>
        </w:rPr>
        <w:t xml:space="preserve">A carteira de crédito garantida por ativos reais é de € </w:t>
      </w:r>
      <w:r>
        <w:rPr>
          <w:rFonts w:asciiTheme="minorHAnsi" w:hAnsiTheme="minorHAnsi" w:cstheme="minorHAnsi"/>
          <w:bCs/>
          <w:sz w:val="22"/>
          <w:szCs w:val="22"/>
        </w:rPr>
        <w:t>427</w:t>
      </w:r>
      <w:r w:rsidRPr="001C2BDC">
        <w:rPr>
          <w:rFonts w:asciiTheme="minorHAnsi" w:hAnsiTheme="minorHAnsi" w:cstheme="minorHAnsi"/>
          <w:bCs/>
          <w:sz w:val="22"/>
          <w:szCs w:val="22"/>
        </w:rPr>
        <w:t xml:space="preserve"> milhões com um grau de cobertura de </w:t>
      </w:r>
      <w:r>
        <w:rPr>
          <w:rFonts w:asciiTheme="minorHAnsi" w:hAnsiTheme="minorHAnsi" w:cstheme="minorHAnsi"/>
          <w:bCs/>
          <w:sz w:val="22"/>
          <w:szCs w:val="22"/>
        </w:rPr>
        <w:t>43,9</w:t>
      </w:r>
      <w:r w:rsidRPr="001C2BDC">
        <w:rPr>
          <w:rFonts w:asciiTheme="minorHAnsi" w:hAnsiTheme="minorHAnsi" w:cstheme="minorHAnsi"/>
          <w:bCs/>
          <w:sz w:val="22"/>
          <w:szCs w:val="22"/>
        </w:rPr>
        <w:t xml:space="preserve">%, ou seja, cerca de € </w:t>
      </w:r>
      <w:r>
        <w:rPr>
          <w:rFonts w:asciiTheme="minorHAnsi" w:hAnsiTheme="minorHAnsi" w:cstheme="minorHAnsi"/>
          <w:bCs/>
          <w:sz w:val="22"/>
          <w:szCs w:val="22"/>
        </w:rPr>
        <w:t>187</w:t>
      </w:r>
      <w:r w:rsidRPr="001C2BDC">
        <w:rPr>
          <w:rFonts w:asciiTheme="minorHAnsi" w:hAnsiTheme="minorHAnsi" w:cstheme="minorHAnsi"/>
          <w:bCs/>
          <w:sz w:val="22"/>
          <w:szCs w:val="22"/>
        </w:rPr>
        <w:t>,</w:t>
      </w:r>
      <w:r>
        <w:rPr>
          <w:rFonts w:asciiTheme="minorHAnsi" w:hAnsiTheme="minorHAnsi" w:cstheme="minorHAnsi"/>
          <w:bCs/>
          <w:sz w:val="22"/>
          <w:szCs w:val="22"/>
        </w:rPr>
        <w:t>5</w:t>
      </w:r>
      <w:r w:rsidRPr="001C2BDC">
        <w:rPr>
          <w:rFonts w:asciiTheme="minorHAnsi" w:hAnsiTheme="minorHAnsi" w:cstheme="minorHAnsi"/>
          <w:bCs/>
          <w:sz w:val="22"/>
          <w:szCs w:val="22"/>
        </w:rPr>
        <w:t xml:space="preserve"> milhões, considerando de igual modo todas as hipotecas registadas a favor da PARVALOREM, ou seja, hipotecas de 1º grau ou grau superior.</w:t>
      </w:r>
    </w:p>
    <w:p w14:paraId="4E5256CA" w14:textId="77777777" w:rsidR="001C2BDC" w:rsidRPr="001C2BDC" w:rsidRDefault="001C2BDC" w:rsidP="001C2BDC">
      <w:pPr>
        <w:jc w:val="both"/>
        <w:rPr>
          <w:rFonts w:asciiTheme="minorHAnsi" w:hAnsiTheme="minorHAnsi" w:cstheme="minorHAnsi"/>
          <w:bCs/>
          <w:sz w:val="22"/>
          <w:szCs w:val="22"/>
        </w:rPr>
      </w:pPr>
    </w:p>
    <w:bookmarkEnd w:id="23"/>
    <w:p w14:paraId="7E2E0BC7" w14:textId="77777777" w:rsidR="00C93B74" w:rsidRPr="001C2BDC" w:rsidRDefault="00C93B74" w:rsidP="00C93B74">
      <w:pPr>
        <w:jc w:val="both"/>
        <w:rPr>
          <w:rFonts w:asciiTheme="minorHAnsi" w:hAnsiTheme="minorHAnsi" w:cstheme="minorHAnsi"/>
          <w:bCs/>
          <w:sz w:val="22"/>
          <w:szCs w:val="22"/>
        </w:rPr>
      </w:pPr>
    </w:p>
    <w:p w14:paraId="4786BA6B" w14:textId="77777777" w:rsidR="00C93B74" w:rsidRPr="007B4009" w:rsidRDefault="00C93B74" w:rsidP="00C93B74">
      <w:pPr>
        <w:jc w:val="both"/>
        <w:rPr>
          <w:rFonts w:asciiTheme="minorHAnsi" w:hAnsiTheme="minorHAnsi" w:cstheme="minorHAnsi"/>
          <w:b/>
          <w:sz w:val="22"/>
          <w:szCs w:val="22"/>
          <w:u w:val="single"/>
        </w:rPr>
      </w:pPr>
      <w:bookmarkStart w:id="26" w:name="_Hlk155782091"/>
      <w:bookmarkEnd w:id="24"/>
      <w:r w:rsidRPr="007B4009">
        <w:rPr>
          <w:rFonts w:asciiTheme="minorHAnsi" w:hAnsiTheme="minorHAnsi" w:cstheme="minorHAnsi"/>
          <w:b/>
          <w:sz w:val="22"/>
          <w:szCs w:val="22"/>
          <w:u w:val="single"/>
        </w:rPr>
        <w:t>Gestão da carteira de imóveis</w:t>
      </w:r>
    </w:p>
    <w:p w14:paraId="16AA6EB8" w14:textId="77777777" w:rsidR="00C93B74" w:rsidRDefault="00C93B74" w:rsidP="00C93B74">
      <w:pPr>
        <w:rPr>
          <w:rFonts w:asciiTheme="minorHAnsi" w:hAnsiTheme="minorHAnsi" w:cstheme="minorHAnsi"/>
          <w:bCs/>
          <w:sz w:val="22"/>
          <w:szCs w:val="22"/>
        </w:rPr>
      </w:pPr>
    </w:p>
    <w:p w14:paraId="56351356" w14:textId="77777777" w:rsidR="008C71B0" w:rsidRPr="008C71B0" w:rsidRDefault="008C71B0" w:rsidP="00DF561C">
      <w:pPr>
        <w:jc w:val="both"/>
        <w:rPr>
          <w:rFonts w:asciiTheme="minorHAnsi" w:hAnsiTheme="minorHAnsi" w:cstheme="minorHAnsi"/>
          <w:sz w:val="22"/>
          <w:szCs w:val="22"/>
        </w:rPr>
      </w:pPr>
      <w:bookmarkStart w:id="27" w:name="_Hlk198638864"/>
      <w:r w:rsidRPr="008C71B0">
        <w:rPr>
          <w:rFonts w:asciiTheme="minorHAnsi" w:hAnsiTheme="minorHAnsi" w:cstheme="minorHAnsi"/>
          <w:sz w:val="22"/>
          <w:szCs w:val="22"/>
        </w:rPr>
        <w:t>A PARVALOREM continuou a seguir uma estratégia de adjudicação de ativos imobiliários associados a créditos com garantias hipotecárias, sempre que existisse uma expetativa de valorização desses imóveis, nomeadamente através da submissão de projetos de desenvolvimento urbanístico – pedidos de informação prévia (</w:t>
      </w:r>
      <w:proofErr w:type="spellStart"/>
      <w:r w:rsidRPr="008C71B0">
        <w:rPr>
          <w:rFonts w:asciiTheme="minorHAnsi" w:hAnsiTheme="minorHAnsi" w:cstheme="minorHAnsi"/>
          <w:sz w:val="22"/>
          <w:szCs w:val="22"/>
        </w:rPr>
        <w:t>PIP’s</w:t>
      </w:r>
      <w:proofErr w:type="spellEnd"/>
      <w:r w:rsidRPr="008C71B0">
        <w:rPr>
          <w:rFonts w:asciiTheme="minorHAnsi" w:hAnsiTheme="minorHAnsi" w:cstheme="minorHAnsi"/>
          <w:sz w:val="22"/>
          <w:szCs w:val="22"/>
        </w:rPr>
        <w:t>) simplificados ou qualificados – que permitissem otimizar o seu potencial de comercialização.</w:t>
      </w:r>
    </w:p>
    <w:p w14:paraId="4D33B40A" w14:textId="77777777" w:rsidR="008C71B0" w:rsidRPr="008C71B0" w:rsidRDefault="008C71B0" w:rsidP="00DF561C">
      <w:pPr>
        <w:jc w:val="both"/>
        <w:rPr>
          <w:rFonts w:asciiTheme="minorHAnsi" w:hAnsiTheme="minorHAnsi" w:cstheme="minorHAnsi"/>
          <w:sz w:val="22"/>
          <w:szCs w:val="22"/>
        </w:rPr>
      </w:pPr>
    </w:p>
    <w:p w14:paraId="54F85197" w14:textId="538ECFC1" w:rsidR="00FC55AC" w:rsidRPr="00FC55AC" w:rsidRDefault="008C71B0" w:rsidP="00DF561C">
      <w:pPr>
        <w:jc w:val="both"/>
        <w:rPr>
          <w:rFonts w:asciiTheme="minorHAnsi" w:hAnsiTheme="minorHAnsi" w:cstheme="minorHAnsi"/>
          <w:bCs/>
          <w:sz w:val="22"/>
          <w:szCs w:val="22"/>
        </w:rPr>
      </w:pPr>
      <w:r w:rsidRPr="008C71B0">
        <w:rPr>
          <w:rFonts w:asciiTheme="minorHAnsi" w:hAnsiTheme="minorHAnsi" w:cstheme="minorHAnsi"/>
          <w:sz w:val="22"/>
          <w:szCs w:val="22"/>
        </w:rPr>
        <w:t>À semelhança do que aconteceu em 2024, o dinamismo que se verifica no mercado imobiliário português também impactou positivamente a evolução das vendas de imóveis da PARVALOREM este ano, em particular nos segmentos residencial, comercial e logístico.</w:t>
      </w:r>
    </w:p>
    <w:p w14:paraId="555EE9DE" w14:textId="77777777" w:rsidR="00FC55AC" w:rsidRPr="00FC55AC" w:rsidRDefault="00FC55AC" w:rsidP="00DF561C">
      <w:pPr>
        <w:rPr>
          <w:rFonts w:asciiTheme="minorHAnsi" w:hAnsiTheme="minorHAnsi" w:cstheme="minorHAnsi"/>
          <w:bCs/>
          <w:sz w:val="22"/>
          <w:szCs w:val="22"/>
          <w:u w:val="single"/>
        </w:rPr>
      </w:pPr>
    </w:p>
    <w:p w14:paraId="584CFDF8" w14:textId="31851DC3" w:rsidR="00C2057B" w:rsidRPr="00FC55AC" w:rsidRDefault="00C2057B" w:rsidP="00DF561C">
      <w:pPr>
        <w:jc w:val="both"/>
        <w:rPr>
          <w:rFonts w:asciiTheme="minorHAnsi" w:hAnsiTheme="minorHAnsi" w:cstheme="minorHAnsi"/>
          <w:bCs/>
          <w:sz w:val="22"/>
          <w:szCs w:val="22"/>
          <w:u w:val="single"/>
        </w:rPr>
      </w:pPr>
      <w:r w:rsidRPr="00C2057B">
        <w:rPr>
          <w:rFonts w:asciiTheme="minorHAnsi" w:hAnsiTheme="minorHAnsi" w:cstheme="minorHAnsi"/>
          <w:bCs/>
          <w:sz w:val="22"/>
          <w:szCs w:val="22"/>
          <w:u w:val="single"/>
        </w:rPr>
        <w:t>Vendas de Imóveis</w:t>
      </w:r>
    </w:p>
    <w:p w14:paraId="5565E7F5" w14:textId="3F65AB79" w:rsidR="00FC55AC" w:rsidRPr="00FC55AC" w:rsidRDefault="00C2057B" w:rsidP="00DF561C">
      <w:pPr>
        <w:jc w:val="both"/>
        <w:rPr>
          <w:rFonts w:asciiTheme="minorHAnsi" w:hAnsiTheme="minorHAnsi" w:cstheme="minorHAnsi"/>
          <w:bCs/>
          <w:sz w:val="22"/>
          <w:szCs w:val="22"/>
          <w:lang w:eastAsia="en-US"/>
        </w:rPr>
      </w:pPr>
      <w:r w:rsidRPr="00C2057B">
        <w:rPr>
          <w:rFonts w:asciiTheme="minorHAnsi" w:hAnsiTheme="minorHAnsi" w:cstheme="minorHAnsi"/>
          <w:bCs/>
          <w:sz w:val="22"/>
          <w:szCs w:val="22"/>
          <w:lang w:eastAsia="en-US"/>
        </w:rPr>
        <w:t xml:space="preserve">Em 2025, a PARVALOREM realizou um total de 64 escrituras, correspondentes à venda de 183 imóveis (artigos matriciais), no valor de </w:t>
      </w:r>
      <w:r>
        <w:rPr>
          <w:rFonts w:asciiTheme="minorHAnsi" w:hAnsiTheme="minorHAnsi" w:cstheme="minorHAnsi"/>
          <w:bCs/>
          <w:sz w:val="22"/>
          <w:szCs w:val="22"/>
          <w:lang w:eastAsia="en-US"/>
        </w:rPr>
        <w:t xml:space="preserve">€ </w:t>
      </w:r>
      <w:r w:rsidRPr="00C2057B">
        <w:rPr>
          <w:rFonts w:asciiTheme="minorHAnsi" w:hAnsiTheme="minorHAnsi" w:cstheme="minorHAnsi"/>
          <w:bCs/>
          <w:sz w:val="22"/>
          <w:szCs w:val="22"/>
          <w:lang w:eastAsia="en-US"/>
        </w:rPr>
        <w:t xml:space="preserve">15,2 </w:t>
      </w:r>
      <w:r>
        <w:rPr>
          <w:rFonts w:asciiTheme="minorHAnsi" w:hAnsiTheme="minorHAnsi" w:cstheme="minorHAnsi"/>
          <w:bCs/>
          <w:sz w:val="22"/>
          <w:szCs w:val="22"/>
          <w:lang w:eastAsia="en-US"/>
        </w:rPr>
        <w:t>milhões,</w:t>
      </w:r>
      <w:r w:rsidRPr="00C2057B">
        <w:rPr>
          <w:rFonts w:asciiTheme="minorHAnsi" w:hAnsiTheme="minorHAnsi" w:cstheme="minorHAnsi"/>
          <w:bCs/>
          <w:sz w:val="22"/>
          <w:szCs w:val="22"/>
          <w:lang w:eastAsia="en-US"/>
        </w:rPr>
        <w:t xml:space="preserve"> ou seja, um aumento de 6,5% face a 2024. Com exceção do ano de 2017</w:t>
      </w:r>
      <w:r w:rsidRPr="00E13A52">
        <w:rPr>
          <w:rFonts w:asciiTheme="minorHAnsi" w:hAnsiTheme="minorHAnsi" w:cstheme="minorHAnsi"/>
          <w:bCs/>
          <w:sz w:val="22"/>
          <w:szCs w:val="22"/>
          <w:lang w:eastAsia="en-US"/>
        </w:rPr>
        <w:t xml:space="preserve">, em que se realizaram operações de venda </w:t>
      </w:r>
      <w:proofErr w:type="spellStart"/>
      <w:r w:rsidRPr="00E13A52">
        <w:rPr>
          <w:rFonts w:asciiTheme="minorHAnsi" w:hAnsiTheme="minorHAnsi" w:cstheme="minorHAnsi"/>
          <w:bCs/>
          <w:sz w:val="22"/>
          <w:szCs w:val="22"/>
          <w:lang w:eastAsia="en-US"/>
        </w:rPr>
        <w:t>intra-grupo</w:t>
      </w:r>
      <w:proofErr w:type="spellEnd"/>
      <w:r w:rsidRPr="00E13A52">
        <w:rPr>
          <w:rFonts w:asciiTheme="minorHAnsi" w:hAnsiTheme="minorHAnsi" w:cstheme="minorHAnsi"/>
          <w:bCs/>
          <w:sz w:val="22"/>
          <w:szCs w:val="22"/>
          <w:lang w:eastAsia="en-US"/>
        </w:rPr>
        <w:t>, es</w:t>
      </w:r>
      <w:r w:rsidRPr="00C2057B">
        <w:rPr>
          <w:rFonts w:asciiTheme="minorHAnsi" w:hAnsiTheme="minorHAnsi" w:cstheme="minorHAnsi"/>
          <w:bCs/>
          <w:sz w:val="22"/>
          <w:szCs w:val="22"/>
          <w:lang w:eastAsia="en-US"/>
        </w:rPr>
        <w:t xml:space="preserve">te foi o melhor ano de vendas desde o início da atividade da Empresa. Em termos acumulados, a venda de imóveis já atingiu cerca de € 109,8 </w:t>
      </w:r>
      <w:r>
        <w:rPr>
          <w:rFonts w:asciiTheme="minorHAnsi" w:hAnsiTheme="minorHAnsi" w:cstheme="minorHAnsi"/>
          <w:bCs/>
          <w:sz w:val="22"/>
          <w:szCs w:val="22"/>
          <w:lang w:eastAsia="en-US"/>
        </w:rPr>
        <w:t>milhões</w:t>
      </w:r>
      <w:r w:rsidRPr="00C2057B">
        <w:rPr>
          <w:rFonts w:asciiTheme="minorHAnsi" w:hAnsiTheme="minorHAnsi" w:cstheme="minorHAnsi"/>
          <w:bCs/>
          <w:sz w:val="22"/>
          <w:szCs w:val="22"/>
          <w:lang w:eastAsia="en-US"/>
        </w:rPr>
        <w:t>.</w:t>
      </w:r>
    </w:p>
    <w:p w14:paraId="41807AB8" w14:textId="77777777" w:rsidR="00FC55AC" w:rsidRPr="00FC55AC" w:rsidRDefault="00FC55AC" w:rsidP="00DF561C">
      <w:pPr>
        <w:jc w:val="center"/>
        <w:rPr>
          <w:rFonts w:asciiTheme="minorHAnsi" w:hAnsiTheme="minorHAnsi" w:cstheme="minorHAnsi"/>
          <w:bCs/>
          <w:sz w:val="22"/>
          <w:szCs w:val="22"/>
        </w:rPr>
      </w:pPr>
    </w:p>
    <w:p w14:paraId="78F0C114" w14:textId="41119131" w:rsidR="00FC55AC" w:rsidRPr="00FC55AC" w:rsidRDefault="00C2057B" w:rsidP="00DF561C">
      <w:pPr>
        <w:jc w:val="center"/>
        <w:rPr>
          <w:rFonts w:asciiTheme="minorHAnsi" w:hAnsiTheme="minorHAnsi" w:cstheme="minorHAnsi"/>
          <w:bCs/>
          <w:sz w:val="22"/>
          <w:szCs w:val="22"/>
        </w:rPr>
      </w:pPr>
      <w:r>
        <w:rPr>
          <w:noProof/>
          <w14:ligatures w14:val="standardContextual"/>
        </w:rPr>
        <w:lastRenderedPageBreak/>
        <w:drawing>
          <wp:inline distT="0" distB="0" distL="0" distR="0" wp14:anchorId="59FBE622" wp14:editId="2CBAE501">
            <wp:extent cx="4096800" cy="2991600"/>
            <wp:effectExtent l="0" t="0" r="0" b="0"/>
            <wp:docPr id="5" name="Imagem 4" descr="Uma imagem com texto, captura de ecrã, diagrama&#10;&#10;Os conteúdos gerados por IA podem estar incorretos.">
              <a:extLst xmlns:a="http://schemas.openxmlformats.org/drawingml/2006/main">
                <a:ext uri="{FF2B5EF4-FFF2-40B4-BE49-F238E27FC236}">
                  <a16:creationId xmlns:a16="http://schemas.microsoft.com/office/drawing/2014/main" id="{D2195AEA-4E3F-070A-4FAD-A74AA897ED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m texto, captura de ecrã, diagrama&#10;&#10;Os conteúdos gerados por IA podem estar incorretos.">
                      <a:extLst>
                        <a:ext uri="{FF2B5EF4-FFF2-40B4-BE49-F238E27FC236}">
                          <a16:creationId xmlns:a16="http://schemas.microsoft.com/office/drawing/2014/main" id="{D2195AEA-4E3F-070A-4FAD-A74AA897ED71}"/>
                        </a:ext>
                      </a:extLst>
                    </pic:cNvPr>
                    <pic:cNvPicPr>
                      <a:picLocks noChangeAspect="1"/>
                    </pic:cNvPicPr>
                  </pic:nvPicPr>
                  <pic:blipFill>
                    <a:blip r:embed="rId17"/>
                    <a:stretch>
                      <a:fillRect/>
                    </a:stretch>
                  </pic:blipFill>
                  <pic:spPr>
                    <a:xfrm>
                      <a:off x="0" y="0"/>
                      <a:ext cx="4096800" cy="2991600"/>
                    </a:xfrm>
                    <a:prstGeom prst="rect">
                      <a:avLst/>
                    </a:prstGeom>
                  </pic:spPr>
                </pic:pic>
              </a:graphicData>
            </a:graphic>
          </wp:inline>
        </w:drawing>
      </w:r>
    </w:p>
    <w:p w14:paraId="472C0D1C" w14:textId="77777777" w:rsidR="00FC55AC" w:rsidRPr="00FC55AC" w:rsidRDefault="00FC55AC" w:rsidP="00DF561C">
      <w:pPr>
        <w:jc w:val="both"/>
        <w:rPr>
          <w:rFonts w:asciiTheme="minorHAnsi" w:hAnsiTheme="minorHAnsi" w:cstheme="minorHAnsi"/>
          <w:bCs/>
          <w:sz w:val="22"/>
          <w:szCs w:val="22"/>
          <w:lang w:eastAsia="en-US"/>
        </w:rPr>
      </w:pPr>
    </w:p>
    <w:p w14:paraId="02B7050E" w14:textId="77777777" w:rsidR="00C2057B" w:rsidRPr="00C2057B" w:rsidRDefault="00C2057B" w:rsidP="00DF561C">
      <w:pPr>
        <w:jc w:val="both"/>
        <w:rPr>
          <w:rFonts w:asciiTheme="minorHAnsi" w:hAnsiTheme="minorHAnsi" w:cstheme="minorHAnsi"/>
          <w:bCs/>
          <w:sz w:val="22"/>
          <w:szCs w:val="22"/>
          <w:lang w:eastAsia="en-US"/>
        </w:rPr>
      </w:pPr>
      <w:r w:rsidRPr="00C2057B">
        <w:rPr>
          <w:rFonts w:asciiTheme="minorHAnsi" w:hAnsiTheme="minorHAnsi" w:cstheme="minorHAnsi"/>
          <w:bCs/>
          <w:sz w:val="22"/>
          <w:szCs w:val="22"/>
          <w:lang w:eastAsia="en-US"/>
        </w:rPr>
        <w:t>Em 2025, 159 dos 183 imóveis vendidos tiveram intermediação imobiliária, ou seja, 87% do total de vendas. O custo de comissionamento face ao valor total da venda de imóveis situou-se nos 3,5% (incluindo IVA à taxa legal em vigor).</w:t>
      </w:r>
    </w:p>
    <w:p w14:paraId="42499B8A" w14:textId="77777777" w:rsidR="00C2057B" w:rsidRPr="00C2057B" w:rsidRDefault="00C2057B" w:rsidP="00DF561C">
      <w:pPr>
        <w:jc w:val="both"/>
        <w:rPr>
          <w:rFonts w:asciiTheme="minorHAnsi" w:hAnsiTheme="minorHAnsi" w:cstheme="minorHAnsi"/>
          <w:bCs/>
          <w:sz w:val="22"/>
          <w:szCs w:val="22"/>
          <w:lang w:eastAsia="en-US"/>
        </w:rPr>
      </w:pPr>
    </w:p>
    <w:p w14:paraId="1CE0D27B" w14:textId="69EC86CF" w:rsidR="00C2057B" w:rsidRPr="00C2057B" w:rsidRDefault="00C2057B" w:rsidP="00DF561C">
      <w:pPr>
        <w:jc w:val="both"/>
        <w:rPr>
          <w:rFonts w:asciiTheme="minorHAnsi" w:hAnsiTheme="minorHAnsi" w:cstheme="minorHAnsi"/>
          <w:bCs/>
          <w:sz w:val="22"/>
          <w:szCs w:val="22"/>
          <w:lang w:eastAsia="en-US"/>
        </w:rPr>
      </w:pPr>
      <w:r w:rsidRPr="00C2057B">
        <w:rPr>
          <w:rFonts w:asciiTheme="minorHAnsi" w:hAnsiTheme="minorHAnsi" w:cstheme="minorHAnsi"/>
          <w:bCs/>
          <w:sz w:val="22"/>
          <w:szCs w:val="22"/>
          <w:lang w:eastAsia="en-US"/>
        </w:rPr>
        <w:t xml:space="preserve">Destacam-se de seguida 5 alienações de imóveis com valor de venda superior a </w:t>
      </w:r>
      <w:r>
        <w:rPr>
          <w:rFonts w:asciiTheme="minorHAnsi" w:hAnsiTheme="minorHAnsi" w:cstheme="minorHAnsi"/>
          <w:bCs/>
          <w:sz w:val="22"/>
          <w:szCs w:val="22"/>
          <w:lang w:eastAsia="en-US"/>
        </w:rPr>
        <w:t xml:space="preserve">€ </w:t>
      </w:r>
      <w:r w:rsidRPr="00C2057B">
        <w:rPr>
          <w:rFonts w:asciiTheme="minorHAnsi" w:hAnsiTheme="minorHAnsi" w:cstheme="minorHAnsi"/>
          <w:bCs/>
          <w:sz w:val="22"/>
          <w:szCs w:val="22"/>
          <w:lang w:eastAsia="en-US"/>
        </w:rPr>
        <w:t xml:space="preserve">1 </w:t>
      </w:r>
      <w:r>
        <w:rPr>
          <w:rFonts w:asciiTheme="minorHAnsi" w:hAnsiTheme="minorHAnsi" w:cstheme="minorHAnsi"/>
          <w:bCs/>
          <w:sz w:val="22"/>
          <w:szCs w:val="22"/>
          <w:lang w:eastAsia="en-US"/>
        </w:rPr>
        <w:t>milhão</w:t>
      </w:r>
      <w:r w:rsidRPr="00C2057B">
        <w:rPr>
          <w:rFonts w:asciiTheme="minorHAnsi" w:hAnsiTheme="minorHAnsi" w:cstheme="minorHAnsi"/>
          <w:bCs/>
          <w:sz w:val="22"/>
          <w:szCs w:val="22"/>
          <w:lang w:eastAsia="en-US"/>
        </w:rPr>
        <w:t xml:space="preserve"> e que, no seu conjunto, atingiram um total de </w:t>
      </w:r>
      <w:r>
        <w:rPr>
          <w:rFonts w:asciiTheme="minorHAnsi" w:hAnsiTheme="minorHAnsi" w:cstheme="minorHAnsi"/>
          <w:bCs/>
          <w:sz w:val="22"/>
          <w:szCs w:val="22"/>
          <w:lang w:eastAsia="en-US"/>
        </w:rPr>
        <w:t xml:space="preserve">€ </w:t>
      </w:r>
      <w:r w:rsidRPr="00C2057B">
        <w:rPr>
          <w:rFonts w:asciiTheme="minorHAnsi" w:hAnsiTheme="minorHAnsi" w:cstheme="minorHAnsi"/>
          <w:bCs/>
          <w:sz w:val="22"/>
          <w:szCs w:val="22"/>
          <w:lang w:eastAsia="en-US"/>
        </w:rPr>
        <w:t xml:space="preserve">8,6 </w:t>
      </w:r>
      <w:r>
        <w:rPr>
          <w:rFonts w:asciiTheme="minorHAnsi" w:hAnsiTheme="minorHAnsi" w:cstheme="minorHAnsi"/>
          <w:bCs/>
          <w:sz w:val="22"/>
          <w:szCs w:val="22"/>
          <w:lang w:eastAsia="en-US"/>
        </w:rPr>
        <w:t>milhões</w:t>
      </w:r>
      <w:r w:rsidRPr="00C2057B">
        <w:rPr>
          <w:rFonts w:asciiTheme="minorHAnsi" w:hAnsiTheme="minorHAnsi" w:cstheme="minorHAnsi"/>
          <w:bCs/>
          <w:sz w:val="22"/>
          <w:szCs w:val="22"/>
          <w:lang w:eastAsia="en-US"/>
        </w:rPr>
        <w:t>:</w:t>
      </w:r>
    </w:p>
    <w:p w14:paraId="77F77EE3" w14:textId="085837B2" w:rsidR="00C2057B" w:rsidRPr="00C2057B" w:rsidRDefault="00C2057B" w:rsidP="00DF561C">
      <w:pPr>
        <w:pStyle w:val="PargrafodaLista"/>
        <w:numPr>
          <w:ilvl w:val="0"/>
          <w:numId w:val="33"/>
        </w:numPr>
        <w:jc w:val="both"/>
        <w:rPr>
          <w:rFonts w:asciiTheme="minorHAnsi" w:hAnsiTheme="minorHAnsi" w:cstheme="minorHAnsi"/>
          <w:bCs/>
          <w:sz w:val="22"/>
          <w:szCs w:val="22"/>
          <w:lang w:eastAsia="en-US"/>
        </w:rPr>
      </w:pPr>
      <w:r w:rsidRPr="00C2057B">
        <w:rPr>
          <w:rFonts w:asciiTheme="minorHAnsi" w:hAnsiTheme="minorHAnsi" w:cstheme="minorHAnsi"/>
          <w:bCs/>
          <w:sz w:val="22"/>
          <w:szCs w:val="22"/>
          <w:lang w:eastAsia="en-US"/>
        </w:rPr>
        <w:t xml:space="preserve">Conjunto de 4 lojas na Marina de Albufeira, Faro – </w:t>
      </w:r>
      <w:r>
        <w:rPr>
          <w:rFonts w:asciiTheme="minorHAnsi" w:hAnsiTheme="minorHAnsi" w:cstheme="minorHAnsi"/>
          <w:bCs/>
          <w:sz w:val="22"/>
          <w:szCs w:val="22"/>
          <w:lang w:eastAsia="en-US"/>
        </w:rPr>
        <w:t xml:space="preserve">€ </w:t>
      </w:r>
      <w:r w:rsidRPr="00C2057B">
        <w:rPr>
          <w:rFonts w:asciiTheme="minorHAnsi" w:hAnsiTheme="minorHAnsi" w:cstheme="minorHAnsi"/>
          <w:bCs/>
          <w:sz w:val="22"/>
          <w:szCs w:val="22"/>
          <w:lang w:eastAsia="en-US"/>
        </w:rPr>
        <w:t>2,25</w:t>
      </w:r>
      <w:r>
        <w:rPr>
          <w:rFonts w:asciiTheme="minorHAnsi" w:hAnsiTheme="minorHAnsi" w:cstheme="minorHAnsi"/>
          <w:bCs/>
          <w:sz w:val="22"/>
          <w:szCs w:val="22"/>
          <w:lang w:eastAsia="en-US"/>
        </w:rPr>
        <w:t xml:space="preserve"> milhões</w:t>
      </w:r>
      <w:r w:rsidRPr="00C2057B">
        <w:rPr>
          <w:rFonts w:asciiTheme="minorHAnsi" w:hAnsiTheme="minorHAnsi" w:cstheme="minorHAnsi"/>
          <w:bCs/>
          <w:sz w:val="22"/>
          <w:szCs w:val="22"/>
          <w:lang w:eastAsia="en-US"/>
        </w:rPr>
        <w:t>;</w:t>
      </w:r>
    </w:p>
    <w:p w14:paraId="624D26BB" w14:textId="3BF3A1FD" w:rsidR="00C2057B" w:rsidRPr="00C2057B" w:rsidRDefault="00C2057B" w:rsidP="00DF561C">
      <w:pPr>
        <w:pStyle w:val="PargrafodaLista"/>
        <w:numPr>
          <w:ilvl w:val="0"/>
          <w:numId w:val="33"/>
        </w:numPr>
        <w:jc w:val="both"/>
        <w:rPr>
          <w:rFonts w:asciiTheme="minorHAnsi" w:hAnsiTheme="minorHAnsi" w:cstheme="minorHAnsi"/>
          <w:bCs/>
          <w:sz w:val="22"/>
          <w:szCs w:val="22"/>
          <w:lang w:eastAsia="en-US"/>
        </w:rPr>
      </w:pPr>
      <w:r w:rsidRPr="00C2057B">
        <w:rPr>
          <w:rFonts w:asciiTheme="minorHAnsi" w:hAnsiTheme="minorHAnsi" w:cstheme="minorHAnsi"/>
          <w:bCs/>
          <w:sz w:val="22"/>
          <w:szCs w:val="22"/>
          <w:lang w:eastAsia="en-US"/>
        </w:rPr>
        <w:t xml:space="preserve">Urbanização em Benavente, Santarém (63 lotes) – </w:t>
      </w:r>
      <w:r>
        <w:rPr>
          <w:rFonts w:asciiTheme="minorHAnsi" w:hAnsiTheme="minorHAnsi" w:cstheme="minorHAnsi"/>
          <w:bCs/>
          <w:sz w:val="22"/>
          <w:szCs w:val="22"/>
          <w:lang w:eastAsia="en-US"/>
        </w:rPr>
        <w:t xml:space="preserve">€ </w:t>
      </w:r>
      <w:r w:rsidRPr="00C2057B">
        <w:rPr>
          <w:rFonts w:asciiTheme="minorHAnsi" w:hAnsiTheme="minorHAnsi" w:cstheme="minorHAnsi"/>
          <w:bCs/>
          <w:sz w:val="22"/>
          <w:szCs w:val="22"/>
          <w:lang w:eastAsia="en-US"/>
        </w:rPr>
        <w:t xml:space="preserve">1,95 </w:t>
      </w:r>
      <w:r>
        <w:rPr>
          <w:rFonts w:asciiTheme="minorHAnsi" w:hAnsiTheme="minorHAnsi" w:cstheme="minorHAnsi"/>
          <w:bCs/>
          <w:sz w:val="22"/>
          <w:szCs w:val="22"/>
          <w:lang w:eastAsia="en-US"/>
        </w:rPr>
        <w:t xml:space="preserve">milhões </w:t>
      </w:r>
      <w:r w:rsidRPr="00C2057B">
        <w:rPr>
          <w:rFonts w:asciiTheme="minorHAnsi" w:hAnsiTheme="minorHAnsi" w:cstheme="minorHAnsi"/>
          <w:bCs/>
          <w:sz w:val="22"/>
          <w:szCs w:val="22"/>
          <w:lang w:eastAsia="en-US"/>
        </w:rPr>
        <w:t xml:space="preserve">(adquirida pelo </w:t>
      </w:r>
      <w:r w:rsidR="007C4183" w:rsidRPr="007C4183">
        <w:rPr>
          <w:rFonts w:asciiTheme="minorHAnsi" w:hAnsiTheme="minorHAnsi" w:cstheme="minorHAnsi"/>
          <w:bCs/>
          <w:sz w:val="22"/>
          <w:szCs w:val="22"/>
          <w:lang w:eastAsia="en-US"/>
        </w:rPr>
        <w:t>Instituto de Habitação e da Reabilitação Urbana, I.P.</w:t>
      </w:r>
      <w:r w:rsidR="007C4183">
        <w:rPr>
          <w:rFonts w:asciiTheme="minorHAnsi" w:hAnsiTheme="minorHAnsi" w:cstheme="minorHAnsi"/>
          <w:bCs/>
          <w:sz w:val="22"/>
          <w:szCs w:val="22"/>
          <w:lang w:eastAsia="en-US"/>
        </w:rPr>
        <w:t>,</w:t>
      </w:r>
      <w:r w:rsidRPr="00C2057B">
        <w:rPr>
          <w:rFonts w:asciiTheme="minorHAnsi" w:hAnsiTheme="minorHAnsi" w:cstheme="minorHAnsi"/>
          <w:bCs/>
          <w:sz w:val="22"/>
          <w:szCs w:val="22"/>
          <w:lang w:eastAsia="en-US"/>
        </w:rPr>
        <w:t xml:space="preserve"> para inclusão na Bolsa de Habitação Pública)</w:t>
      </w:r>
      <w:r>
        <w:rPr>
          <w:rFonts w:asciiTheme="minorHAnsi" w:hAnsiTheme="minorHAnsi" w:cstheme="minorHAnsi"/>
          <w:bCs/>
          <w:sz w:val="22"/>
          <w:szCs w:val="22"/>
          <w:lang w:eastAsia="en-US"/>
        </w:rPr>
        <w:t>;</w:t>
      </w:r>
    </w:p>
    <w:p w14:paraId="44D3B32B" w14:textId="0C60D61A" w:rsidR="00C2057B" w:rsidRPr="00C2057B" w:rsidRDefault="00C2057B" w:rsidP="00DF561C">
      <w:pPr>
        <w:pStyle w:val="PargrafodaLista"/>
        <w:numPr>
          <w:ilvl w:val="0"/>
          <w:numId w:val="33"/>
        </w:numPr>
        <w:jc w:val="both"/>
        <w:rPr>
          <w:rFonts w:asciiTheme="minorHAnsi" w:hAnsiTheme="minorHAnsi" w:cstheme="minorHAnsi"/>
          <w:bCs/>
          <w:sz w:val="22"/>
          <w:szCs w:val="22"/>
          <w:lang w:eastAsia="en-US"/>
        </w:rPr>
      </w:pPr>
      <w:r w:rsidRPr="00C2057B">
        <w:rPr>
          <w:rFonts w:asciiTheme="minorHAnsi" w:hAnsiTheme="minorHAnsi" w:cstheme="minorHAnsi"/>
          <w:bCs/>
          <w:sz w:val="22"/>
          <w:szCs w:val="22"/>
          <w:lang w:eastAsia="en-US"/>
        </w:rPr>
        <w:t xml:space="preserve">Urbanização no Cartaxo, Santarém (36 lotes) – </w:t>
      </w:r>
      <w:r>
        <w:rPr>
          <w:rFonts w:asciiTheme="minorHAnsi" w:hAnsiTheme="minorHAnsi" w:cstheme="minorHAnsi"/>
          <w:bCs/>
          <w:sz w:val="22"/>
          <w:szCs w:val="22"/>
          <w:lang w:eastAsia="en-US"/>
        </w:rPr>
        <w:t xml:space="preserve">€ </w:t>
      </w:r>
      <w:r w:rsidRPr="00C2057B">
        <w:rPr>
          <w:rFonts w:asciiTheme="minorHAnsi" w:hAnsiTheme="minorHAnsi" w:cstheme="minorHAnsi"/>
          <w:bCs/>
          <w:sz w:val="22"/>
          <w:szCs w:val="22"/>
          <w:lang w:eastAsia="en-US"/>
        </w:rPr>
        <w:t xml:space="preserve">1,8 </w:t>
      </w:r>
      <w:r>
        <w:rPr>
          <w:rFonts w:asciiTheme="minorHAnsi" w:hAnsiTheme="minorHAnsi" w:cstheme="minorHAnsi"/>
          <w:bCs/>
          <w:sz w:val="22"/>
          <w:szCs w:val="22"/>
          <w:lang w:eastAsia="en-US"/>
        </w:rPr>
        <w:t>milhões</w:t>
      </w:r>
      <w:r w:rsidRPr="00C2057B">
        <w:rPr>
          <w:rFonts w:asciiTheme="minorHAnsi" w:hAnsiTheme="minorHAnsi" w:cstheme="minorHAnsi"/>
          <w:bCs/>
          <w:sz w:val="22"/>
          <w:szCs w:val="22"/>
          <w:lang w:eastAsia="en-US"/>
        </w:rPr>
        <w:t>;</w:t>
      </w:r>
    </w:p>
    <w:p w14:paraId="088D4D4B" w14:textId="5AF37A22" w:rsidR="00C2057B" w:rsidRPr="00C2057B" w:rsidRDefault="00C2057B" w:rsidP="00DF561C">
      <w:pPr>
        <w:pStyle w:val="PargrafodaLista"/>
        <w:numPr>
          <w:ilvl w:val="0"/>
          <w:numId w:val="33"/>
        </w:numPr>
        <w:jc w:val="both"/>
        <w:rPr>
          <w:rFonts w:asciiTheme="minorHAnsi" w:hAnsiTheme="minorHAnsi" w:cstheme="minorHAnsi"/>
          <w:bCs/>
          <w:sz w:val="22"/>
          <w:szCs w:val="22"/>
          <w:lang w:eastAsia="en-US"/>
        </w:rPr>
      </w:pPr>
      <w:r w:rsidRPr="00C2057B">
        <w:rPr>
          <w:rFonts w:asciiTheme="minorHAnsi" w:hAnsiTheme="minorHAnsi" w:cstheme="minorHAnsi"/>
          <w:bCs/>
          <w:sz w:val="22"/>
          <w:szCs w:val="22"/>
          <w:lang w:eastAsia="en-US"/>
        </w:rPr>
        <w:t xml:space="preserve">Terreno Urbano na Guia, Cascais – </w:t>
      </w:r>
      <w:r>
        <w:rPr>
          <w:rFonts w:asciiTheme="minorHAnsi" w:hAnsiTheme="minorHAnsi" w:cstheme="minorHAnsi"/>
          <w:bCs/>
          <w:sz w:val="22"/>
          <w:szCs w:val="22"/>
          <w:lang w:eastAsia="en-US"/>
        </w:rPr>
        <w:t xml:space="preserve">€ </w:t>
      </w:r>
      <w:r w:rsidRPr="00C2057B">
        <w:rPr>
          <w:rFonts w:asciiTheme="minorHAnsi" w:hAnsiTheme="minorHAnsi" w:cstheme="minorHAnsi"/>
          <w:bCs/>
          <w:sz w:val="22"/>
          <w:szCs w:val="22"/>
          <w:lang w:eastAsia="en-US"/>
        </w:rPr>
        <w:t xml:space="preserve">1,5 </w:t>
      </w:r>
      <w:r>
        <w:rPr>
          <w:rFonts w:asciiTheme="minorHAnsi" w:hAnsiTheme="minorHAnsi" w:cstheme="minorHAnsi"/>
          <w:bCs/>
          <w:sz w:val="22"/>
          <w:szCs w:val="22"/>
          <w:lang w:eastAsia="en-US"/>
        </w:rPr>
        <w:t>milhões</w:t>
      </w:r>
      <w:r w:rsidRPr="00C2057B">
        <w:rPr>
          <w:rFonts w:asciiTheme="minorHAnsi" w:hAnsiTheme="minorHAnsi" w:cstheme="minorHAnsi"/>
          <w:bCs/>
          <w:sz w:val="22"/>
          <w:szCs w:val="22"/>
          <w:lang w:eastAsia="en-US"/>
        </w:rPr>
        <w:t>;</w:t>
      </w:r>
    </w:p>
    <w:p w14:paraId="2FDAF377" w14:textId="72ED10D7" w:rsidR="00C2057B" w:rsidRPr="00C2057B" w:rsidRDefault="00C2057B" w:rsidP="00DF561C">
      <w:pPr>
        <w:pStyle w:val="PargrafodaLista"/>
        <w:numPr>
          <w:ilvl w:val="0"/>
          <w:numId w:val="33"/>
        </w:numPr>
        <w:jc w:val="both"/>
        <w:rPr>
          <w:rFonts w:asciiTheme="minorHAnsi" w:hAnsiTheme="minorHAnsi" w:cstheme="minorHAnsi"/>
          <w:bCs/>
          <w:sz w:val="22"/>
          <w:szCs w:val="22"/>
          <w:lang w:eastAsia="en-US"/>
        </w:rPr>
      </w:pPr>
      <w:r w:rsidRPr="00C2057B">
        <w:rPr>
          <w:rFonts w:asciiTheme="minorHAnsi" w:hAnsiTheme="minorHAnsi" w:cstheme="minorHAnsi"/>
          <w:bCs/>
          <w:sz w:val="22"/>
          <w:szCs w:val="22"/>
          <w:lang w:eastAsia="en-US"/>
        </w:rPr>
        <w:t xml:space="preserve">Terrenos Urbanos na Marina de Albufeira, Faro (5 lotes) – </w:t>
      </w:r>
      <w:r>
        <w:rPr>
          <w:rFonts w:asciiTheme="minorHAnsi" w:hAnsiTheme="minorHAnsi" w:cstheme="minorHAnsi"/>
          <w:bCs/>
          <w:sz w:val="22"/>
          <w:szCs w:val="22"/>
          <w:lang w:eastAsia="en-US"/>
        </w:rPr>
        <w:t xml:space="preserve">€ </w:t>
      </w:r>
      <w:r w:rsidRPr="00C2057B">
        <w:rPr>
          <w:rFonts w:asciiTheme="minorHAnsi" w:hAnsiTheme="minorHAnsi" w:cstheme="minorHAnsi"/>
          <w:bCs/>
          <w:sz w:val="22"/>
          <w:szCs w:val="22"/>
          <w:lang w:eastAsia="en-US"/>
        </w:rPr>
        <w:t>1,1</w:t>
      </w:r>
      <w:r>
        <w:rPr>
          <w:rFonts w:asciiTheme="minorHAnsi" w:hAnsiTheme="minorHAnsi" w:cstheme="minorHAnsi"/>
          <w:bCs/>
          <w:sz w:val="22"/>
          <w:szCs w:val="22"/>
          <w:lang w:eastAsia="en-US"/>
        </w:rPr>
        <w:t xml:space="preserve"> milhões</w:t>
      </w:r>
      <w:r w:rsidRPr="00C2057B">
        <w:rPr>
          <w:rFonts w:asciiTheme="minorHAnsi" w:hAnsiTheme="minorHAnsi" w:cstheme="minorHAnsi"/>
          <w:bCs/>
          <w:sz w:val="22"/>
          <w:szCs w:val="22"/>
          <w:lang w:eastAsia="en-US"/>
        </w:rPr>
        <w:t>.</w:t>
      </w:r>
    </w:p>
    <w:p w14:paraId="7DBADF10" w14:textId="77777777" w:rsidR="00C2057B" w:rsidRPr="00C2057B" w:rsidRDefault="00C2057B" w:rsidP="00DF561C">
      <w:pPr>
        <w:jc w:val="both"/>
        <w:rPr>
          <w:rFonts w:asciiTheme="minorHAnsi" w:hAnsiTheme="minorHAnsi" w:cstheme="minorHAnsi"/>
          <w:bCs/>
          <w:sz w:val="22"/>
          <w:szCs w:val="22"/>
          <w:lang w:eastAsia="en-US"/>
        </w:rPr>
      </w:pPr>
    </w:p>
    <w:p w14:paraId="67955EF2" w14:textId="050C69EB" w:rsidR="00FC55AC" w:rsidRPr="00FC55AC" w:rsidRDefault="00C2057B" w:rsidP="00DF561C">
      <w:pPr>
        <w:jc w:val="both"/>
        <w:rPr>
          <w:rFonts w:asciiTheme="minorHAnsi" w:hAnsiTheme="minorHAnsi" w:cstheme="minorHAnsi"/>
          <w:bCs/>
          <w:sz w:val="22"/>
          <w:szCs w:val="22"/>
          <w:lang w:eastAsia="en-US"/>
        </w:rPr>
      </w:pPr>
      <w:r w:rsidRPr="00C2057B">
        <w:rPr>
          <w:rFonts w:asciiTheme="minorHAnsi" w:hAnsiTheme="minorHAnsi" w:cstheme="minorHAnsi"/>
          <w:bCs/>
          <w:sz w:val="22"/>
          <w:szCs w:val="22"/>
          <w:lang w:eastAsia="en-US"/>
        </w:rPr>
        <w:t>Desde 2013, a venda de imóveis tem sido consistentemente realizada por valores em linha com os do mercado imobiliário. Não obstante o elevado valor de aquisição de alguns imóveis e a antiguidade da carteira, que tem conduzido, em diversas ocasiões, a uma relação negativa entre o valor de venda e o valor de aquisição, o ano de 2025 ficou marcado por um ganho de cerca de 27% face aos valores de aquisição dos imóveis vendidos, a melhor desde o início da atividade da Empresa.</w:t>
      </w:r>
    </w:p>
    <w:p w14:paraId="68685642" w14:textId="77777777" w:rsidR="00FC55AC" w:rsidRDefault="00FC55AC" w:rsidP="00DF561C">
      <w:pPr>
        <w:jc w:val="both"/>
        <w:rPr>
          <w:rFonts w:asciiTheme="minorHAnsi" w:hAnsiTheme="minorHAnsi" w:cstheme="minorHAnsi"/>
          <w:bCs/>
          <w:sz w:val="22"/>
          <w:szCs w:val="22"/>
          <w:u w:val="single"/>
        </w:rPr>
      </w:pPr>
    </w:p>
    <w:p w14:paraId="14F6078B" w14:textId="77777777" w:rsidR="00C2057B" w:rsidRPr="00FC55AC" w:rsidRDefault="00C2057B" w:rsidP="00DF561C">
      <w:pPr>
        <w:jc w:val="both"/>
        <w:rPr>
          <w:rFonts w:asciiTheme="minorHAnsi" w:hAnsiTheme="minorHAnsi" w:cstheme="minorHAnsi"/>
          <w:bCs/>
          <w:sz w:val="22"/>
          <w:szCs w:val="22"/>
          <w:u w:val="single"/>
        </w:rPr>
      </w:pPr>
    </w:p>
    <w:p w14:paraId="17129051" w14:textId="77777777" w:rsidR="00C2057B" w:rsidRDefault="00C2057B" w:rsidP="00DF561C">
      <w:pPr>
        <w:jc w:val="both"/>
        <w:rPr>
          <w:rFonts w:asciiTheme="minorHAnsi" w:hAnsiTheme="minorHAnsi" w:cstheme="minorHAnsi"/>
          <w:bCs/>
          <w:sz w:val="22"/>
          <w:szCs w:val="22"/>
          <w:u w:val="single"/>
        </w:rPr>
      </w:pPr>
      <w:bookmarkStart w:id="28" w:name="_Hlk99456025"/>
      <w:r w:rsidRPr="00C2057B">
        <w:rPr>
          <w:rFonts w:asciiTheme="minorHAnsi" w:hAnsiTheme="minorHAnsi" w:cstheme="minorHAnsi"/>
          <w:bCs/>
          <w:sz w:val="22"/>
          <w:szCs w:val="22"/>
          <w:u w:val="single"/>
        </w:rPr>
        <w:t>Imóveis Arrendados</w:t>
      </w:r>
    </w:p>
    <w:bookmarkEnd w:id="26"/>
    <w:bookmarkEnd w:id="27"/>
    <w:bookmarkEnd w:id="28"/>
    <w:p w14:paraId="64FD4AE9" w14:textId="77777777" w:rsidR="00C2057B" w:rsidRPr="00FC55AC" w:rsidRDefault="00C2057B" w:rsidP="00DF561C">
      <w:pPr>
        <w:jc w:val="both"/>
        <w:rPr>
          <w:rFonts w:asciiTheme="minorHAnsi" w:hAnsiTheme="minorHAnsi" w:cstheme="minorHAnsi"/>
          <w:sz w:val="22"/>
          <w:szCs w:val="22"/>
        </w:rPr>
      </w:pPr>
      <w:r w:rsidRPr="00FC55AC">
        <w:rPr>
          <w:rFonts w:asciiTheme="minorHAnsi" w:hAnsiTheme="minorHAnsi" w:cstheme="minorHAnsi"/>
          <w:sz w:val="22"/>
          <w:szCs w:val="22"/>
        </w:rPr>
        <w:t xml:space="preserve">A </w:t>
      </w:r>
      <w:r>
        <w:rPr>
          <w:rFonts w:asciiTheme="minorHAnsi" w:hAnsiTheme="minorHAnsi" w:cstheme="minorHAnsi"/>
          <w:sz w:val="22"/>
          <w:szCs w:val="22"/>
        </w:rPr>
        <w:t>PARVALOREM</w:t>
      </w:r>
      <w:r w:rsidRPr="00FC55AC">
        <w:rPr>
          <w:rFonts w:asciiTheme="minorHAnsi" w:hAnsiTheme="minorHAnsi" w:cstheme="minorHAnsi"/>
          <w:sz w:val="22"/>
          <w:szCs w:val="22"/>
        </w:rPr>
        <w:t xml:space="preserve"> </w:t>
      </w:r>
      <w:r>
        <w:rPr>
          <w:rFonts w:asciiTheme="minorHAnsi" w:hAnsiTheme="minorHAnsi" w:cstheme="minorHAnsi"/>
          <w:sz w:val="22"/>
          <w:szCs w:val="22"/>
        </w:rPr>
        <w:t>manteve-se ativa no mercado de arrendamento, procurando posicionar os seus imóveis para obter algum rendimento dos mesmos e promover a respetiva</w:t>
      </w:r>
      <w:r w:rsidRPr="00FC55AC">
        <w:rPr>
          <w:rFonts w:asciiTheme="minorHAnsi" w:hAnsiTheme="minorHAnsi" w:cstheme="minorHAnsi"/>
          <w:sz w:val="22"/>
          <w:szCs w:val="22"/>
        </w:rPr>
        <w:t xml:space="preserve"> alienação</w:t>
      </w:r>
      <w:r>
        <w:rPr>
          <w:rFonts w:asciiTheme="minorHAnsi" w:hAnsiTheme="minorHAnsi" w:cstheme="minorHAnsi"/>
          <w:sz w:val="22"/>
          <w:szCs w:val="22"/>
        </w:rPr>
        <w:t xml:space="preserve"> nas melhores condições possíveis</w:t>
      </w:r>
      <w:r w:rsidRPr="00FC55AC">
        <w:rPr>
          <w:rFonts w:asciiTheme="minorHAnsi" w:hAnsiTheme="minorHAnsi" w:cstheme="minorHAnsi"/>
          <w:sz w:val="22"/>
          <w:szCs w:val="22"/>
        </w:rPr>
        <w:t>.</w:t>
      </w:r>
      <w:r>
        <w:rPr>
          <w:rFonts w:asciiTheme="minorHAnsi" w:hAnsiTheme="minorHAnsi" w:cstheme="minorHAnsi"/>
          <w:sz w:val="22"/>
          <w:szCs w:val="22"/>
        </w:rPr>
        <w:t xml:space="preserve"> Os</w:t>
      </w:r>
      <w:r w:rsidRPr="00FC55AC">
        <w:rPr>
          <w:rFonts w:asciiTheme="minorHAnsi" w:hAnsiTheme="minorHAnsi" w:cstheme="minorHAnsi"/>
          <w:sz w:val="22"/>
          <w:szCs w:val="22"/>
        </w:rPr>
        <w:t xml:space="preserve"> arrendamento</w:t>
      </w:r>
      <w:r>
        <w:rPr>
          <w:rFonts w:asciiTheme="minorHAnsi" w:hAnsiTheme="minorHAnsi" w:cstheme="minorHAnsi"/>
          <w:sz w:val="22"/>
          <w:szCs w:val="22"/>
        </w:rPr>
        <w:t>s</w:t>
      </w:r>
      <w:r w:rsidRPr="00FC55AC">
        <w:rPr>
          <w:rFonts w:asciiTheme="minorHAnsi" w:hAnsiTheme="minorHAnsi" w:cstheme="minorHAnsi"/>
          <w:sz w:val="22"/>
          <w:szCs w:val="22"/>
        </w:rPr>
        <w:t xml:space="preserve"> permite</w:t>
      </w:r>
      <w:r>
        <w:rPr>
          <w:rFonts w:asciiTheme="minorHAnsi" w:hAnsiTheme="minorHAnsi" w:cstheme="minorHAnsi"/>
          <w:sz w:val="22"/>
          <w:szCs w:val="22"/>
        </w:rPr>
        <w:t>m</w:t>
      </w:r>
      <w:r w:rsidRPr="00FC55AC">
        <w:rPr>
          <w:rFonts w:asciiTheme="minorHAnsi" w:hAnsiTheme="minorHAnsi" w:cstheme="minorHAnsi"/>
          <w:sz w:val="22"/>
          <w:szCs w:val="22"/>
        </w:rPr>
        <w:t xml:space="preserve"> evitar a desvalorização dos imóveis devolutos</w:t>
      </w:r>
      <w:r>
        <w:rPr>
          <w:rFonts w:asciiTheme="minorHAnsi" w:hAnsiTheme="minorHAnsi" w:cstheme="minorHAnsi"/>
          <w:sz w:val="22"/>
          <w:szCs w:val="22"/>
        </w:rPr>
        <w:t>,</w:t>
      </w:r>
      <w:r w:rsidRPr="00FC55AC">
        <w:rPr>
          <w:rFonts w:asciiTheme="minorHAnsi" w:hAnsiTheme="minorHAnsi" w:cstheme="minorHAnsi"/>
          <w:sz w:val="22"/>
          <w:szCs w:val="22"/>
        </w:rPr>
        <w:t xml:space="preserve"> na medida em que, na maior parte dos casos, </w:t>
      </w:r>
      <w:r>
        <w:rPr>
          <w:rFonts w:asciiTheme="minorHAnsi" w:hAnsiTheme="minorHAnsi" w:cstheme="minorHAnsi"/>
          <w:sz w:val="22"/>
          <w:szCs w:val="22"/>
        </w:rPr>
        <w:t xml:space="preserve">os arrendatários realizam </w:t>
      </w:r>
      <w:r w:rsidRPr="00FC55AC">
        <w:rPr>
          <w:rFonts w:asciiTheme="minorHAnsi" w:hAnsiTheme="minorHAnsi" w:cstheme="minorHAnsi"/>
          <w:sz w:val="22"/>
          <w:szCs w:val="22"/>
        </w:rPr>
        <w:t xml:space="preserve">obras de manutenção e, nalguns casos, benfeitorias, </w:t>
      </w:r>
      <w:r>
        <w:rPr>
          <w:rFonts w:asciiTheme="minorHAnsi" w:hAnsiTheme="minorHAnsi" w:cstheme="minorHAnsi"/>
          <w:sz w:val="22"/>
          <w:szCs w:val="22"/>
        </w:rPr>
        <w:t>para garantir o conforto necessário ao desenvolvimento do seu negócio</w:t>
      </w:r>
      <w:r w:rsidRPr="00FC55AC">
        <w:rPr>
          <w:rFonts w:asciiTheme="minorHAnsi" w:hAnsiTheme="minorHAnsi" w:cstheme="minorHAnsi"/>
          <w:sz w:val="22"/>
          <w:szCs w:val="22"/>
        </w:rPr>
        <w:t xml:space="preserve">, </w:t>
      </w:r>
      <w:r>
        <w:rPr>
          <w:rFonts w:asciiTheme="minorHAnsi" w:hAnsiTheme="minorHAnsi" w:cstheme="minorHAnsi"/>
          <w:sz w:val="22"/>
          <w:szCs w:val="22"/>
        </w:rPr>
        <w:t xml:space="preserve">sendo, portanto, </w:t>
      </w:r>
      <w:r w:rsidRPr="00FC55AC">
        <w:rPr>
          <w:rFonts w:asciiTheme="minorHAnsi" w:hAnsiTheme="minorHAnsi" w:cstheme="minorHAnsi"/>
          <w:sz w:val="22"/>
          <w:szCs w:val="22"/>
        </w:rPr>
        <w:t xml:space="preserve">uma forma eficiente </w:t>
      </w:r>
      <w:r>
        <w:rPr>
          <w:rFonts w:asciiTheme="minorHAnsi" w:hAnsiTheme="minorHAnsi" w:cstheme="minorHAnsi"/>
          <w:sz w:val="22"/>
          <w:szCs w:val="22"/>
        </w:rPr>
        <w:t xml:space="preserve">de os mesmos serem </w:t>
      </w:r>
      <w:r w:rsidRPr="00FC55AC">
        <w:rPr>
          <w:rFonts w:asciiTheme="minorHAnsi" w:hAnsiTheme="minorHAnsi" w:cstheme="minorHAnsi"/>
          <w:sz w:val="22"/>
          <w:szCs w:val="22"/>
        </w:rPr>
        <w:t>reabilita</w:t>
      </w:r>
      <w:r>
        <w:rPr>
          <w:rFonts w:asciiTheme="minorHAnsi" w:hAnsiTheme="minorHAnsi" w:cstheme="minorHAnsi"/>
          <w:sz w:val="22"/>
          <w:szCs w:val="22"/>
        </w:rPr>
        <w:t>dos</w:t>
      </w:r>
      <w:r w:rsidRPr="00FC55AC">
        <w:rPr>
          <w:rFonts w:asciiTheme="minorHAnsi" w:hAnsiTheme="minorHAnsi" w:cstheme="minorHAnsi"/>
          <w:sz w:val="22"/>
          <w:szCs w:val="22"/>
        </w:rPr>
        <w:t>.</w:t>
      </w:r>
    </w:p>
    <w:p w14:paraId="642FB6F7" w14:textId="77777777" w:rsidR="00C2057B" w:rsidRPr="00FC55AC" w:rsidRDefault="00C2057B" w:rsidP="00DF561C">
      <w:pPr>
        <w:rPr>
          <w:rFonts w:asciiTheme="minorHAnsi" w:hAnsiTheme="minorHAnsi" w:cstheme="minorHAnsi"/>
          <w:sz w:val="22"/>
          <w:szCs w:val="22"/>
        </w:rPr>
      </w:pPr>
    </w:p>
    <w:p w14:paraId="158B1845" w14:textId="785AC1B7" w:rsidR="00C2057B" w:rsidRPr="00FC55AC" w:rsidRDefault="00C2057B" w:rsidP="00DF561C">
      <w:pPr>
        <w:jc w:val="both"/>
        <w:rPr>
          <w:rFonts w:asciiTheme="minorHAnsi" w:hAnsiTheme="minorHAnsi" w:cstheme="minorHAnsi"/>
          <w:sz w:val="22"/>
          <w:szCs w:val="22"/>
        </w:rPr>
      </w:pPr>
      <w:r w:rsidRPr="00FC55AC">
        <w:rPr>
          <w:rFonts w:asciiTheme="minorHAnsi" w:hAnsiTheme="minorHAnsi" w:cstheme="minorHAnsi"/>
          <w:sz w:val="22"/>
          <w:szCs w:val="22"/>
        </w:rPr>
        <w:t>Em 202</w:t>
      </w:r>
      <w:r>
        <w:rPr>
          <w:rFonts w:asciiTheme="minorHAnsi" w:hAnsiTheme="minorHAnsi" w:cstheme="minorHAnsi"/>
          <w:sz w:val="22"/>
          <w:szCs w:val="22"/>
        </w:rPr>
        <w:t>5</w:t>
      </w:r>
      <w:r w:rsidRPr="00FC55AC">
        <w:rPr>
          <w:rFonts w:asciiTheme="minorHAnsi" w:hAnsiTheme="minorHAnsi" w:cstheme="minorHAnsi"/>
          <w:sz w:val="22"/>
          <w:szCs w:val="22"/>
        </w:rPr>
        <w:t xml:space="preserve">, </w:t>
      </w:r>
      <w:r>
        <w:rPr>
          <w:rFonts w:asciiTheme="minorHAnsi" w:hAnsiTheme="minorHAnsi" w:cstheme="minorHAnsi"/>
          <w:sz w:val="22"/>
          <w:szCs w:val="22"/>
        </w:rPr>
        <w:t xml:space="preserve">35 </w:t>
      </w:r>
      <w:r w:rsidRPr="00FC55AC">
        <w:rPr>
          <w:rFonts w:asciiTheme="minorHAnsi" w:hAnsiTheme="minorHAnsi" w:cstheme="minorHAnsi"/>
          <w:sz w:val="22"/>
          <w:szCs w:val="22"/>
        </w:rPr>
        <w:t xml:space="preserve">dos </w:t>
      </w:r>
      <w:r>
        <w:rPr>
          <w:rFonts w:asciiTheme="minorHAnsi" w:hAnsiTheme="minorHAnsi" w:cstheme="minorHAnsi"/>
          <w:sz w:val="22"/>
          <w:szCs w:val="22"/>
        </w:rPr>
        <w:t>183</w:t>
      </w:r>
      <w:r w:rsidRPr="00FC55AC">
        <w:rPr>
          <w:rFonts w:asciiTheme="minorHAnsi" w:hAnsiTheme="minorHAnsi" w:cstheme="minorHAnsi"/>
          <w:sz w:val="22"/>
          <w:szCs w:val="22"/>
        </w:rPr>
        <w:t xml:space="preserve"> </w:t>
      </w:r>
      <w:r>
        <w:rPr>
          <w:rFonts w:asciiTheme="minorHAnsi" w:hAnsiTheme="minorHAnsi" w:cstheme="minorHAnsi"/>
          <w:sz w:val="22"/>
          <w:szCs w:val="22"/>
        </w:rPr>
        <w:t>imóveis</w:t>
      </w:r>
      <w:r w:rsidRPr="00FC55AC">
        <w:rPr>
          <w:rFonts w:asciiTheme="minorHAnsi" w:hAnsiTheme="minorHAnsi" w:cstheme="minorHAnsi"/>
          <w:sz w:val="22"/>
          <w:szCs w:val="22"/>
        </w:rPr>
        <w:t xml:space="preserve"> vendidos</w:t>
      </w:r>
      <w:r>
        <w:rPr>
          <w:rFonts w:asciiTheme="minorHAnsi" w:hAnsiTheme="minorHAnsi" w:cstheme="minorHAnsi"/>
          <w:sz w:val="22"/>
          <w:szCs w:val="22"/>
        </w:rPr>
        <w:t xml:space="preserve"> estavam arrendados, tendo-se </w:t>
      </w:r>
      <w:r w:rsidRPr="00FC55AC">
        <w:rPr>
          <w:rFonts w:asciiTheme="minorHAnsi" w:hAnsiTheme="minorHAnsi" w:cstheme="minorHAnsi"/>
          <w:sz w:val="22"/>
          <w:szCs w:val="22"/>
        </w:rPr>
        <w:t>verific</w:t>
      </w:r>
      <w:r>
        <w:rPr>
          <w:rFonts w:asciiTheme="minorHAnsi" w:hAnsiTheme="minorHAnsi" w:cstheme="minorHAnsi"/>
          <w:sz w:val="22"/>
          <w:szCs w:val="22"/>
        </w:rPr>
        <w:t>ado também</w:t>
      </w:r>
      <w:r w:rsidRPr="00FC55AC">
        <w:rPr>
          <w:rFonts w:asciiTheme="minorHAnsi" w:hAnsiTheme="minorHAnsi" w:cstheme="minorHAnsi"/>
          <w:sz w:val="22"/>
          <w:szCs w:val="22"/>
        </w:rPr>
        <w:t xml:space="preserve"> um significativo </w:t>
      </w:r>
      <w:r>
        <w:rPr>
          <w:rFonts w:asciiTheme="minorHAnsi" w:hAnsiTheme="minorHAnsi" w:cstheme="minorHAnsi"/>
          <w:sz w:val="22"/>
          <w:szCs w:val="22"/>
        </w:rPr>
        <w:t>a</w:t>
      </w:r>
      <w:r w:rsidRPr="00FC55AC">
        <w:rPr>
          <w:rFonts w:asciiTheme="minorHAnsi" w:hAnsiTheme="minorHAnsi" w:cstheme="minorHAnsi"/>
          <w:sz w:val="22"/>
          <w:szCs w:val="22"/>
        </w:rPr>
        <w:t>créscimo</w:t>
      </w:r>
      <w:r>
        <w:rPr>
          <w:rFonts w:asciiTheme="minorHAnsi" w:hAnsiTheme="minorHAnsi" w:cstheme="minorHAnsi"/>
          <w:sz w:val="22"/>
          <w:szCs w:val="22"/>
        </w:rPr>
        <w:t xml:space="preserve"> </w:t>
      </w:r>
      <w:r w:rsidRPr="00FC55AC">
        <w:rPr>
          <w:rFonts w:asciiTheme="minorHAnsi" w:hAnsiTheme="minorHAnsi" w:cstheme="minorHAnsi"/>
          <w:sz w:val="22"/>
          <w:szCs w:val="22"/>
        </w:rPr>
        <w:t xml:space="preserve">no </w:t>
      </w:r>
      <w:r w:rsidRPr="00C2057B">
        <w:rPr>
          <w:rFonts w:asciiTheme="minorHAnsi" w:hAnsiTheme="minorHAnsi" w:cstheme="minorHAnsi"/>
          <w:i/>
          <w:iCs/>
          <w:sz w:val="22"/>
          <w:szCs w:val="22"/>
        </w:rPr>
        <w:t>cash-flow</w:t>
      </w:r>
      <w:r w:rsidRPr="00FC55AC">
        <w:rPr>
          <w:rFonts w:asciiTheme="minorHAnsi" w:hAnsiTheme="minorHAnsi" w:cstheme="minorHAnsi"/>
          <w:sz w:val="22"/>
          <w:szCs w:val="22"/>
        </w:rPr>
        <w:t xml:space="preserve"> </w:t>
      </w:r>
      <w:r>
        <w:rPr>
          <w:rFonts w:asciiTheme="minorHAnsi" w:hAnsiTheme="minorHAnsi" w:cstheme="minorHAnsi"/>
          <w:sz w:val="22"/>
          <w:szCs w:val="22"/>
        </w:rPr>
        <w:t>gerado pelos</w:t>
      </w:r>
      <w:r w:rsidRPr="00FC55AC">
        <w:rPr>
          <w:rFonts w:asciiTheme="minorHAnsi" w:hAnsiTheme="minorHAnsi" w:cstheme="minorHAnsi"/>
          <w:sz w:val="22"/>
          <w:szCs w:val="22"/>
        </w:rPr>
        <w:t xml:space="preserve"> arrendamentos</w:t>
      </w:r>
      <w:r>
        <w:rPr>
          <w:rFonts w:asciiTheme="minorHAnsi" w:hAnsiTheme="minorHAnsi" w:cstheme="minorHAnsi"/>
          <w:sz w:val="22"/>
          <w:szCs w:val="22"/>
        </w:rPr>
        <w:t xml:space="preserve"> (cerca de € 0,6 milhões em </w:t>
      </w:r>
      <w:r>
        <w:rPr>
          <w:rFonts w:asciiTheme="minorHAnsi" w:hAnsiTheme="minorHAnsi" w:cstheme="minorHAnsi"/>
          <w:sz w:val="22"/>
          <w:szCs w:val="22"/>
        </w:rPr>
        <w:lastRenderedPageBreak/>
        <w:t>2025, ou seja, mais 130% do que em 2024)</w:t>
      </w:r>
      <w:r w:rsidRPr="00FC55AC">
        <w:rPr>
          <w:rFonts w:asciiTheme="minorHAnsi" w:hAnsiTheme="minorHAnsi" w:cstheme="minorHAnsi"/>
          <w:sz w:val="22"/>
          <w:szCs w:val="22"/>
        </w:rPr>
        <w:t xml:space="preserve">, </w:t>
      </w:r>
      <w:r>
        <w:rPr>
          <w:rFonts w:asciiTheme="minorHAnsi" w:hAnsiTheme="minorHAnsi" w:cstheme="minorHAnsi"/>
          <w:sz w:val="22"/>
          <w:szCs w:val="22"/>
        </w:rPr>
        <w:t xml:space="preserve">em virtude da entrada em carteira de 22 lojas </w:t>
      </w:r>
      <w:r>
        <w:rPr>
          <w:rFonts w:asciiTheme="minorHAnsi" w:hAnsiTheme="minorHAnsi" w:cstheme="minorHAnsi"/>
          <w:bCs/>
          <w:sz w:val="22"/>
          <w:szCs w:val="22"/>
        </w:rPr>
        <w:t>arrendadas</w:t>
      </w:r>
      <w:r w:rsidRPr="009723EC">
        <w:rPr>
          <w:rFonts w:asciiTheme="minorHAnsi" w:hAnsiTheme="minorHAnsi" w:cstheme="minorHAnsi"/>
          <w:bCs/>
          <w:sz w:val="22"/>
          <w:szCs w:val="22"/>
        </w:rPr>
        <w:t xml:space="preserve"> na Marina de Albufeira</w:t>
      </w:r>
      <w:r>
        <w:rPr>
          <w:rFonts w:asciiTheme="minorHAnsi" w:hAnsiTheme="minorHAnsi" w:cstheme="minorHAnsi"/>
          <w:bCs/>
          <w:sz w:val="22"/>
          <w:szCs w:val="22"/>
        </w:rPr>
        <w:t>,</w:t>
      </w:r>
      <w:r w:rsidRPr="009723EC">
        <w:rPr>
          <w:rFonts w:asciiTheme="minorHAnsi" w:hAnsiTheme="minorHAnsi" w:cstheme="minorHAnsi"/>
          <w:bCs/>
          <w:sz w:val="22"/>
          <w:szCs w:val="22"/>
        </w:rPr>
        <w:t xml:space="preserve"> Algarve</w:t>
      </w:r>
      <w:r w:rsidRPr="00FC55AC">
        <w:rPr>
          <w:rFonts w:asciiTheme="minorHAnsi" w:hAnsiTheme="minorHAnsi" w:cstheme="minorHAnsi"/>
          <w:sz w:val="22"/>
          <w:szCs w:val="22"/>
        </w:rPr>
        <w:t>.</w:t>
      </w:r>
    </w:p>
    <w:p w14:paraId="142ED02F" w14:textId="77777777" w:rsidR="00C2057B" w:rsidRDefault="00C2057B" w:rsidP="00C2057B">
      <w:pPr>
        <w:jc w:val="both"/>
        <w:rPr>
          <w:rFonts w:asciiTheme="minorHAnsi" w:hAnsiTheme="minorHAnsi" w:cstheme="minorHAnsi"/>
          <w:sz w:val="22"/>
          <w:szCs w:val="22"/>
        </w:rPr>
      </w:pPr>
    </w:p>
    <w:p w14:paraId="62F548A1" w14:textId="11C4A8C5" w:rsidR="00C2057B" w:rsidRPr="00FC55AC" w:rsidRDefault="00C2057B" w:rsidP="00C2057B">
      <w:pPr>
        <w:jc w:val="both"/>
        <w:rPr>
          <w:rFonts w:asciiTheme="minorHAnsi" w:hAnsiTheme="minorHAnsi" w:cstheme="minorHAnsi"/>
          <w:sz w:val="22"/>
          <w:szCs w:val="22"/>
        </w:rPr>
      </w:pPr>
      <w:r>
        <w:rPr>
          <w:rFonts w:asciiTheme="minorHAnsi" w:hAnsiTheme="minorHAnsi" w:cstheme="minorHAnsi"/>
          <w:sz w:val="22"/>
          <w:szCs w:val="22"/>
        </w:rPr>
        <w:t>O</w:t>
      </w:r>
      <w:r w:rsidRPr="00FC55AC">
        <w:rPr>
          <w:rFonts w:asciiTheme="minorHAnsi" w:hAnsiTheme="minorHAnsi" w:cstheme="minorHAnsi"/>
          <w:sz w:val="22"/>
          <w:szCs w:val="22"/>
        </w:rPr>
        <w:t xml:space="preserve"> </w:t>
      </w:r>
      <w:r>
        <w:rPr>
          <w:rFonts w:asciiTheme="minorHAnsi" w:hAnsiTheme="minorHAnsi" w:cstheme="minorHAnsi"/>
          <w:sz w:val="22"/>
          <w:szCs w:val="22"/>
        </w:rPr>
        <w:t>valor</w:t>
      </w:r>
      <w:r w:rsidRPr="00FC55AC">
        <w:rPr>
          <w:rFonts w:asciiTheme="minorHAnsi" w:hAnsiTheme="minorHAnsi" w:cstheme="minorHAnsi"/>
          <w:sz w:val="22"/>
          <w:szCs w:val="22"/>
        </w:rPr>
        <w:t xml:space="preserve"> global do cash-flow </w:t>
      </w:r>
      <w:r>
        <w:rPr>
          <w:rFonts w:asciiTheme="minorHAnsi" w:hAnsiTheme="minorHAnsi" w:cstheme="minorHAnsi"/>
          <w:sz w:val="22"/>
          <w:szCs w:val="22"/>
        </w:rPr>
        <w:t>gerado pelos</w:t>
      </w:r>
      <w:r w:rsidRPr="00FC55AC">
        <w:rPr>
          <w:rFonts w:asciiTheme="minorHAnsi" w:hAnsiTheme="minorHAnsi" w:cstheme="minorHAnsi"/>
          <w:sz w:val="22"/>
          <w:szCs w:val="22"/>
        </w:rPr>
        <w:t xml:space="preserve"> arrendamentos </w:t>
      </w:r>
      <w:r>
        <w:rPr>
          <w:rFonts w:asciiTheme="minorHAnsi" w:hAnsiTheme="minorHAnsi" w:cstheme="minorHAnsi"/>
          <w:sz w:val="22"/>
          <w:szCs w:val="22"/>
        </w:rPr>
        <w:t>desde 2012 já atingiu cerca de</w:t>
      </w:r>
      <w:r w:rsidRPr="00FC55AC">
        <w:rPr>
          <w:rFonts w:asciiTheme="minorHAnsi" w:hAnsiTheme="minorHAnsi" w:cstheme="minorHAnsi"/>
          <w:sz w:val="22"/>
          <w:szCs w:val="22"/>
        </w:rPr>
        <w:t xml:space="preserve"> </w:t>
      </w:r>
      <w:r>
        <w:rPr>
          <w:rFonts w:asciiTheme="minorHAnsi" w:hAnsiTheme="minorHAnsi" w:cstheme="minorHAnsi"/>
          <w:sz w:val="22"/>
          <w:szCs w:val="22"/>
        </w:rPr>
        <w:t>€</w:t>
      </w:r>
      <w:r w:rsidR="00D94EFE">
        <w:rPr>
          <w:rFonts w:asciiTheme="minorHAnsi" w:hAnsiTheme="minorHAnsi" w:cstheme="minorHAnsi"/>
          <w:sz w:val="22"/>
          <w:szCs w:val="22"/>
        </w:rPr>
        <w:t> </w:t>
      </w:r>
      <w:proofErr w:type="gramStart"/>
      <w:r>
        <w:rPr>
          <w:rFonts w:asciiTheme="minorHAnsi" w:hAnsiTheme="minorHAnsi" w:cstheme="minorHAnsi"/>
          <w:sz w:val="22"/>
          <w:szCs w:val="22"/>
        </w:rPr>
        <w:t>5</w:t>
      </w:r>
      <w:r w:rsidRPr="00FC55AC">
        <w:rPr>
          <w:rFonts w:asciiTheme="minorHAnsi" w:hAnsiTheme="minorHAnsi" w:cstheme="minorHAnsi"/>
          <w:sz w:val="22"/>
          <w:szCs w:val="22"/>
        </w:rPr>
        <w:t>,</w:t>
      </w:r>
      <w:r>
        <w:rPr>
          <w:rFonts w:asciiTheme="minorHAnsi" w:hAnsiTheme="minorHAnsi" w:cstheme="minorHAnsi"/>
          <w:sz w:val="22"/>
          <w:szCs w:val="22"/>
        </w:rPr>
        <w:t>1</w:t>
      </w:r>
      <w:r w:rsidR="00D94EFE">
        <w:rPr>
          <w:rFonts w:asciiTheme="minorHAnsi" w:hAnsiTheme="minorHAnsi" w:cstheme="minorHAnsi"/>
          <w:sz w:val="22"/>
          <w:szCs w:val="22"/>
        </w:rPr>
        <w:t> </w:t>
      </w:r>
      <w:r>
        <w:rPr>
          <w:rFonts w:asciiTheme="minorHAnsi" w:hAnsiTheme="minorHAnsi" w:cstheme="minorHAnsi"/>
          <w:sz w:val="22"/>
          <w:szCs w:val="22"/>
        </w:rPr>
        <w:t>milhões</w:t>
      </w:r>
      <w:proofErr w:type="gramEnd"/>
      <w:r w:rsidRPr="00FC55AC">
        <w:rPr>
          <w:rFonts w:asciiTheme="minorHAnsi" w:hAnsiTheme="minorHAnsi" w:cstheme="minorHAnsi"/>
          <w:sz w:val="22"/>
          <w:szCs w:val="22"/>
        </w:rPr>
        <w:t xml:space="preserve"> </w:t>
      </w:r>
      <w:r>
        <w:rPr>
          <w:rFonts w:asciiTheme="minorHAnsi" w:hAnsiTheme="minorHAnsi" w:cstheme="minorHAnsi"/>
          <w:sz w:val="22"/>
          <w:szCs w:val="22"/>
        </w:rPr>
        <w:t>ou seja, 4,7</w:t>
      </w:r>
      <w:r w:rsidRPr="00FC55AC">
        <w:rPr>
          <w:rFonts w:asciiTheme="minorHAnsi" w:hAnsiTheme="minorHAnsi" w:cstheme="minorHAnsi"/>
          <w:sz w:val="22"/>
          <w:szCs w:val="22"/>
        </w:rPr>
        <w:t>% d</w:t>
      </w:r>
      <w:r>
        <w:rPr>
          <w:rFonts w:asciiTheme="minorHAnsi" w:hAnsiTheme="minorHAnsi" w:cstheme="minorHAnsi"/>
          <w:sz w:val="22"/>
          <w:szCs w:val="22"/>
        </w:rPr>
        <w:t>as</w:t>
      </w:r>
      <w:r w:rsidRPr="00FC55AC">
        <w:rPr>
          <w:rFonts w:asciiTheme="minorHAnsi" w:hAnsiTheme="minorHAnsi" w:cstheme="minorHAnsi"/>
          <w:sz w:val="22"/>
          <w:szCs w:val="22"/>
        </w:rPr>
        <w:t xml:space="preserve"> vendas </w:t>
      </w:r>
      <w:r>
        <w:rPr>
          <w:rFonts w:asciiTheme="minorHAnsi" w:hAnsiTheme="minorHAnsi" w:cstheme="minorHAnsi"/>
          <w:sz w:val="22"/>
          <w:szCs w:val="22"/>
        </w:rPr>
        <w:t>realizadas</w:t>
      </w:r>
      <w:r w:rsidRPr="00FC55AC">
        <w:rPr>
          <w:rFonts w:asciiTheme="minorHAnsi" w:hAnsiTheme="minorHAnsi" w:cstheme="minorHAnsi"/>
          <w:sz w:val="22"/>
          <w:szCs w:val="22"/>
        </w:rPr>
        <w:t xml:space="preserve"> </w:t>
      </w:r>
      <w:r>
        <w:rPr>
          <w:rFonts w:asciiTheme="minorHAnsi" w:hAnsiTheme="minorHAnsi" w:cstheme="minorHAnsi"/>
          <w:sz w:val="22"/>
          <w:szCs w:val="22"/>
        </w:rPr>
        <w:t>no período</w:t>
      </w:r>
      <w:r w:rsidRPr="00FC55AC">
        <w:rPr>
          <w:rFonts w:asciiTheme="minorHAnsi" w:hAnsiTheme="minorHAnsi" w:cstheme="minorHAnsi"/>
          <w:sz w:val="22"/>
          <w:szCs w:val="22"/>
        </w:rPr>
        <w:t>.</w:t>
      </w:r>
    </w:p>
    <w:p w14:paraId="76F0331C" w14:textId="77777777" w:rsidR="00C2057B" w:rsidRDefault="00C2057B" w:rsidP="00C2057B">
      <w:pPr>
        <w:rPr>
          <w:rFonts w:asciiTheme="minorHAnsi" w:hAnsiTheme="minorHAnsi" w:cstheme="minorHAnsi"/>
          <w:sz w:val="22"/>
          <w:szCs w:val="22"/>
        </w:rPr>
      </w:pPr>
    </w:p>
    <w:p w14:paraId="527FC855" w14:textId="77777777" w:rsidR="00C2057B" w:rsidRPr="00FC55AC" w:rsidRDefault="00C2057B" w:rsidP="00C2057B">
      <w:pPr>
        <w:rPr>
          <w:rFonts w:asciiTheme="minorHAnsi" w:hAnsiTheme="minorHAnsi" w:cstheme="minorHAnsi"/>
          <w:sz w:val="22"/>
          <w:szCs w:val="22"/>
        </w:rPr>
      </w:pPr>
    </w:p>
    <w:p w14:paraId="77E5A537" w14:textId="77777777" w:rsidR="00C2057B" w:rsidRPr="00C2057B" w:rsidRDefault="00C2057B" w:rsidP="00C2057B">
      <w:pPr>
        <w:jc w:val="both"/>
        <w:rPr>
          <w:rFonts w:asciiTheme="minorHAnsi" w:hAnsiTheme="minorHAnsi" w:cstheme="minorHAnsi"/>
          <w:bCs/>
          <w:sz w:val="22"/>
          <w:szCs w:val="22"/>
          <w:u w:val="single"/>
        </w:rPr>
      </w:pPr>
      <w:r w:rsidRPr="00C2057B">
        <w:rPr>
          <w:rFonts w:asciiTheme="minorHAnsi" w:hAnsiTheme="minorHAnsi" w:cstheme="minorHAnsi"/>
          <w:bCs/>
          <w:sz w:val="22"/>
          <w:szCs w:val="22"/>
          <w:u w:val="single"/>
        </w:rPr>
        <w:t>Carteira Remanescente</w:t>
      </w:r>
    </w:p>
    <w:p w14:paraId="61B7747A" w14:textId="77777777" w:rsidR="00C2057B" w:rsidRPr="00FC55AC" w:rsidRDefault="00C2057B" w:rsidP="00C2057B">
      <w:pPr>
        <w:jc w:val="both"/>
        <w:rPr>
          <w:rFonts w:asciiTheme="minorHAnsi" w:hAnsiTheme="minorHAnsi" w:cstheme="minorHAnsi"/>
          <w:bCs/>
          <w:sz w:val="22"/>
          <w:szCs w:val="22"/>
        </w:rPr>
      </w:pPr>
      <w:r w:rsidRPr="00FC55AC">
        <w:rPr>
          <w:rFonts w:asciiTheme="minorHAnsi" w:hAnsiTheme="minorHAnsi" w:cstheme="minorHAnsi"/>
          <w:bCs/>
          <w:sz w:val="22"/>
          <w:szCs w:val="22"/>
        </w:rPr>
        <w:t xml:space="preserve">A carteira da PARVALOREM é constituída por imóveis adquiridos através de adjudicações judiciais ou fiscais e </w:t>
      </w:r>
      <w:r>
        <w:rPr>
          <w:rFonts w:asciiTheme="minorHAnsi" w:hAnsiTheme="minorHAnsi" w:cstheme="minorHAnsi"/>
          <w:bCs/>
          <w:sz w:val="22"/>
          <w:szCs w:val="22"/>
        </w:rPr>
        <w:t xml:space="preserve">de </w:t>
      </w:r>
      <w:r w:rsidRPr="00FC55AC">
        <w:rPr>
          <w:rFonts w:asciiTheme="minorHAnsi" w:hAnsiTheme="minorHAnsi" w:cstheme="minorHAnsi"/>
          <w:bCs/>
          <w:sz w:val="22"/>
          <w:szCs w:val="22"/>
        </w:rPr>
        <w:t>dações em pagamento</w:t>
      </w:r>
      <w:r>
        <w:rPr>
          <w:rFonts w:asciiTheme="minorHAnsi" w:hAnsiTheme="minorHAnsi" w:cstheme="minorHAnsi"/>
          <w:bCs/>
          <w:sz w:val="22"/>
          <w:szCs w:val="22"/>
        </w:rPr>
        <w:t>,</w:t>
      </w:r>
      <w:r w:rsidRPr="00FC55AC">
        <w:rPr>
          <w:rFonts w:asciiTheme="minorHAnsi" w:hAnsiTheme="minorHAnsi" w:cstheme="minorHAnsi"/>
          <w:bCs/>
          <w:sz w:val="22"/>
          <w:szCs w:val="22"/>
        </w:rPr>
        <w:t xml:space="preserve"> no âmbito dos processos de recuperação de crédito</w:t>
      </w:r>
      <w:r>
        <w:rPr>
          <w:rFonts w:asciiTheme="minorHAnsi" w:hAnsiTheme="minorHAnsi" w:cstheme="minorHAnsi"/>
          <w:bCs/>
          <w:sz w:val="22"/>
          <w:szCs w:val="22"/>
        </w:rPr>
        <w:t xml:space="preserve"> intentados desde a criação da Empresa</w:t>
      </w:r>
      <w:r w:rsidRPr="00FC55AC">
        <w:rPr>
          <w:rFonts w:asciiTheme="minorHAnsi" w:hAnsiTheme="minorHAnsi" w:cstheme="minorHAnsi"/>
          <w:bCs/>
          <w:sz w:val="22"/>
          <w:szCs w:val="22"/>
        </w:rPr>
        <w:t>.</w:t>
      </w:r>
    </w:p>
    <w:p w14:paraId="55FC4795" w14:textId="77777777" w:rsidR="00C2057B" w:rsidRPr="00FC55AC" w:rsidRDefault="00C2057B" w:rsidP="00C2057B">
      <w:pPr>
        <w:jc w:val="both"/>
        <w:rPr>
          <w:rFonts w:asciiTheme="minorHAnsi" w:hAnsiTheme="minorHAnsi" w:cstheme="minorHAnsi"/>
          <w:bCs/>
          <w:sz w:val="22"/>
          <w:szCs w:val="22"/>
        </w:rPr>
      </w:pPr>
    </w:p>
    <w:p w14:paraId="4A53021C" w14:textId="49AA324A" w:rsidR="00C2057B" w:rsidRPr="00FC55AC" w:rsidRDefault="00C2057B" w:rsidP="00C2057B">
      <w:pPr>
        <w:jc w:val="both"/>
        <w:rPr>
          <w:rFonts w:asciiTheme="minorHAnsi" w:hAnsiTheme="minorHAnsi" w:cstheme="minorHAnsi"/>
          <w:bCs/>
          <w:sz w:val="22"/>
          <w:szCs w:val="22"/>
        </w:rPr>
      </w:pPr>
      <w:r>
        <w:rPr>
          <w:rFonts w:asciiTheme="minorHAnsi" w:hAnsiTheme="minorHAnsi" w:cstheme="minorHAnsi"/>
          <w:bCs/>
          <w:sz w:val="22"/>
          <w:szCs w:val="22"/>
        </w:rPr>
        <w:t>À data de 31 de dezembro de 2025, a carteira da PARVALOREM era</w:t>
      </w:r>
      <w:r w:rsidRPr="00FC55AC">
        <w:rPr>
          <w:rFonts w:asciiTheme="minorHAnsi" w:hAnsiTheme="minorHAnsi" w:cstheme="minorHAnsi"/>
          <w:bCs/>
          <w:sz w:val="22"/>
          <w:szCs w:val="22"/>
        </w:rPr>
        <w:t xml:space="preserve"> composta por </w:t>
      </w:r>
      <w:r>
        <w:rPr>
          <w:rFonts w:asciiTheme="minorHAnsi" w:hAnsiTheme="minorHAnsi" w:cstheme="minorHAnsi"/>
          <w:bCs/>
          <w:sz w:val="22"/>
          <w:szCs w:val="22"/>
        </w:rPr>
        <w:t>411</w:t>
      </w:r>
      <w:r w:rsidRPr="00FC55AC">
        <w:rPr>
          <w:rFonts w:asciiTheme="minorHAnsi" w:hAnsiTheme="minorHAnsi" w:cstheme="minorHAnsi"/>
          <w:bCs/>
          <w:sz w:val="22"/>
          <w:szCs w:val="22"/>
        </w:rPr>
        <w:t xml:space="preserve"> </w:t>
      </w:r>
      <w:r>
        <w:rPr>
          <w:rFonts w:asciiTheme="minorHAnsi" w:hAnsiTheme="minorHAnsi" w:cstheme="minorHAnsi"/>
          <w:bCs/>
          <w:sz w:val="22"/>
          <w:szCs w:val="22"/>
        </w:rPr>
        <w:t>imóveis (</w:t>
      </w:r>
      <w:r w:rsidRPr="00FC55AC">
        <w:rPr>
          <w:rFonts w:asciiTheme="minorHAnsi" w:hAnsiTheme="minorHAnsi" w:cstheme="minorHAnsi"/>
          <w:bCs/>
          <w:sz w:val="22"/>
          <w:szCs w:val="22"/>
        </w:rPr>
        <w:t>artigos matriciais</w:t>
      </w:r>
      <w:r>
        <w:rPr>
          <w:rFonts w:asciiTheme="minorHAnsi" w:hAnsiTheme="minorHAnsi" w:cstheme="minorHAnsi"/>
          <w:bCs/>
          <w:sz w:val="22"/>
          <w:szCs w:val="22"/>
        </w:rPr>
        <w:t>), que correspondem a</w:t>
      </w:r>
      <w:r w:rsidRPr="00FC55AC">
        <w:rPr>
          <w:rFonts w:asciiTheme="minorHAnsi" w:hAnsiTheme="minorHAnsi" w:cstheme="minorHAnsi"/>
          <w:bCs/>
          <w:sz w:val="22"/>
          <w:szCs w:val="22"/>
        </w:rPr>
        <w:t xml:space="preserve"> </w:t>
      </w:r>
      <w:r>
        <w:rPr>
          <w:rFonts w:asciiTheme="minorHAnsi" w:hAnsiTheme="minorHAnsi" w:cstheme="minorHAnsi"/>
          <w:bCs/>
          <w:sz w:val="22"/>
          <w:szCs w:val="22"/>
        </w:rPr>
        <w:t>32</w:t>
      </w:r>
      <w:r w:rsidRPr="00FC55AC">
        <w:rPr>
          <w:rFonts w:asciiTheme="minorHAnsi" w:hAnsiTheme="minorHAnsi" w:cstheme="minorHAnsi"/>
          <w:bCs/>
          <w:sz w:val="22"/>
          <w:szCs w:val="22"/>
        </w:rPr>
        <w:t>% d</w:t>
      </w:r>
      <w:r>
        <w:rPr>
          <w:rFonts w:asciiTheme="minorHAnsi" w:hAnsiTheme="minorHAnsi" w:cstheme="minorHAnsi"/>
          <w:bCs/>
          <w:sz w:val="22"/>
          <w:szCs w:val="22"/>
        </w:rPr>
        <w:t>os</w:t>
      </w:r>
      <w:r w:rsidRPr="00FC55AC">
        <w:rPr>
          <w:rFonts w:asciiTheme="minorHAnsi" w:hAnsiTheme="minorHAnsi" w:cstheme="minorHAnsi"/>
          <w:bCs/>
          <w:sz w:val="22"/>
          <w:szCs w:val="22"/>
        </w:rPr>
        <w:t xml:space="preserve"> 1.2</w:t>
      </w:r>
      <w:r>
        <w:rPr>
          <w:rFonts w:asciiTheme="minorHAnsi" w:hAnsiTheme="minorHAnsi" w:cstheme="minorHAnsi"/>
          <w:bCs/>
          <w:sz w:val="22"/>
          <w:szCs w:val="22"/>
        </w:rPr>
        <w:t>82</w:t>
      </w:r>
      <w:r w:rsidRPr="00FC55AC">
        <w:rPr>
          <w:rFonts w:asciiTheme="minorHAnsi" w:hAnsiTheme="minorHAnsi" w:cstheme="minorHAnsi"/>
          <w:bCs/>
          <w:sz w:val="22"/>
          <w:szCs w:val="22"/>
        </w:rPr>
        <w:t xml:space="preserve"> </w:t>
      </w:r>
      <w:r>
        <w:rPr>
          <w:rFonts w:asciiTheme="minorHAnsi" w:hAnsiTheme="minorHAnsi" w:cstheme="minorHAnsi"/>
          <w:bCs/>
          <w:sz w:val="22"/>
          <w:szCs w:val="22"/>
        </w:rPr>
        <w:t xml:space="preserve">imóveis </w:t>
      </w:r>
      <w:r w:rsidRPr="00FC55AC">
        <w:rPr>
          <w:rFonts w:asciiTheme="minorHAnsi" w:hAnsiTheme="minorHAnsi" w:cstheme="minorHAnsi"/>
          <w:bCs/>
          <w:sz w:val="22"/>
          <w:szCs w:val="22"/>
        </w:rPr>
        <w:t xml:space="preserve">que </w:t>
      </w:r>
      <w:r>
        <w:rPr>
          <w:rFonts w:asciiTheme="minorHAnsi" w:hAnsiTheme="minorHAnsi" w:cstheme="minorHAnsi"/>
          <w:bCs/>
          <w:sz w:val="22"/>
          <w:szCs w:val="22"/>
        </w:rPr>
        <w:t>deram entrada</w:t>
      </w:r>
      <w:r w:rsidRPr="00FC55AC">
        <w:rPr>
          <w:rFonts w:asciiTheme="minorHAnsi" w:hAnsiTheme="minorHAnsi" w:cstheme="minorHAnsi"/>
          <w:bCs/>
          <w:sz w:val="22"/>
          <w:szCs w:val="22"/>
        </w:rPr>
        <w:t xml:space="preserve"> </w:t>
      </w:r>
      <w:r>
        <w:rPr>
          <w:rFonts w:asciiTheme="minorHAnsi" w:hAnsiTheme="minorHAnsi" w:cstheme="minorHAnsi"/>
          <w:bCs/>
          <w:sz w:val="22"/>
          <w:szCs w:val="22"/>
        </w:rPr>
        <w:t xml:space="preserve">na carteira </w:t>
      </w:r>
      <w:r w:rsidRPr="00FC55AC">
        <w:rPr>
          <w:rFonts w:asciiTheme="minorHAnsi" w:hAnsiTheme="minorHAnsi" w:cstheme="minorHAnsi"/>
          <w:bCs/>
          <w:sz w:val="22"/>
          <w:szCs w:val="22"/>
        </w:rPr>
        <w:t>desde 2012.</w:t>
      </w:r>
      <w:r>
        <w:rPr>
          <w:rFonts w:asciiTheme="minorHAnsi" w:hAnsiTheme="minorHAnsi" w:cstheme="minorHAnsi"/>
          <w:bCs/>
          <w:sz w:val="22"/>
          <w:szCs w:val="22"/>
        </w:rPr>
        <w:t xml:space="preserve"> O valor de mercado desta carteira ascendia, na mesma data, a cerca de € 127 milhões.</w:t>
      </w:r>
    </w:p>
    <w:p w14:paraId="6D84C3FC" w14:textId="77777777" w:rsidR="00C2057B" w:rsidRPr="00FC55AC" w:rsidRDefault="00C2057B" w:rsidP="00C2057B">
      <w:pPr>
        <w:jc w:val="both"/>
        <w:rPr>
          <w:rFonts w:asciiTheme="minorHAnsi" w:hAnsiTheme="minorHAnsi" w:cstheme="minorHAnsi"/>
          <w:bCs/>
          <w:sz w:val="22"/>
          <w:szCs w:val="22"/>
        </w:rPr>
      </w:pPr>
    </w:p>
    <w:p w14:paraId="195F9642" w14:textId="77777777" w:rsidR="00C2057B" w:rsidRPr="00FC55AC" w:rsidRDefault="00C2057B" w:rsidP="00C2057B">
      <w:pPr>
        <w:jc w:val="both"/>
        <w:rPr>
          <w:rFonts w:asciiTheme="minorHAnsi" w:hAnsiTheme="minorHAnsi" w:cstheme="minorHAnsi"/>
          <w:bCs/>
          <w:sz w:val="22"/>
          <w:szCs w:val="22"/>
        </w:rPr>
      </w:pPr>
      <w:r>
        <w:rPr>
          <w:rFonts w:asciiTheme="minorHAnsi" w:hAnsiTheme="minorHAnsi" w:cstheme="minorHAnsi"/>
          <w:bCs/>
          <w:sz w:val="22"/>
          <w:szCs w:val="22"/>
        </w:rPr>
        <w:t>Durante o ano de</w:t>
      </w:r>
      <w:r w:rsidRPr="00FC55AC">
        <w:rPr>
          <w:rFonts w:asciiTheme="minorHAnsi" w:hAnsiTheme="minorHAnsi" w:cstheme="minorHAnsi"/>
          <w:bCs/>
          <w:sz w:val="22"/>
          <w:szCs w:val="22"/>
        </w:rPr>
        <w:t xml:space="preserve"> 202</w:t>
      </w:r>
      <w:r>
        <w:rPr>
          <w:rFonts w:asciiTheme="minorHAnsi" w:hAnsiTheme="minorHAnsi" w:cstheme="minorHAnsi"/>
          <w:bCs/>
          <w:sz w:val="22"/>
          <w:szCs w:val="22"/>
        </w:rPr>
        <w:t>5,</w:t>
      </w:r>
      <w:r w:rsidRPr="00FC55AC">
        <w:rPr>
          <w:rFonts w:asciiTheme="minorHAnsi" w:hAnsiTheme="minorHAnsi" w:cstheme="minorHAnsi"/>
          <w:bCs/>
          <w:sz w:val="22"/>
          <w:szCs w:val="22"/>
        </w:rPr>
        <w:t xml:space="preserve"> </w:t>
      </w:r>
      <w:r>
        <w:rPr>
          <w:rFonts w:asciiTheme="minorHAnsi" w:hAnsiTheme="minorHAnsi" w:cstheme="minorHAnsi"/>
          <w:bCs/>
          <w:sz w:val="22"/>
          <w:szCs w:val="22"/>
        </w:rPr>
        <w:t xml:space="preserve">deram </w:t>
      </w:r>
      <w:r w:rsidRPr="00FC55AC">
        <w:rPr>
          <w:rFonts w:asciiTheme="minorHAnsi" w:hAnsiTheme="minorHAnsi" w:cstheme="minorHAnsi"/>
          <w:bCs/>
          <w:sz w:val="22"/>
          <w:szCs w:val="22"/>
        </w:rPr>
        <w:t>entra</w:t>
      </w:r>
      <w:r>
        <w:rPr>
          <w:rFonts w:asciiTheme="minorHAnsi" w:hAnsiTheme="minorHAnsi" w:cstheme="minorHAnsi"/>
          <w:bCs/>
          <w:sz w:val="22"/>
          <w:szCs w:val="22"/>
        </w:rPr>
        <w:t>da na carteira de imóveis 23</w:t>
      </w:r>
      <w:r w:rsidRPr="00FC55AC">
        <w:rPr>
          <w:rFonts w:asciiTheme="minorHAnsi" w:hAnsiTheme="minorHAnsi" w:cstheme="minorHAnsi"/>
          <w:bCs/>
          <w:sz w:val="22"/>
          <w:szCs w:val="22"/>
        </w:rPr>
        <w:t xml:space="preserve"> novos </w:t>
      </w:r>
      <w:r>
        <w:rPr>
          <w:rFonts w:asciiTheme="minorHAnsi" w:hAnsiTheme="minorHAnsi" w:cstheme="minorHAnsi"/>
          <w:bCs/>
          <w:sz w:val="22"/>
          <w:szCs w:val="22"/>
        </w:rPr>
        <w:t>imóveis</w:t>
      </w:r>
      <w:r w:rsidRPr="00FC55AC">
        <w:rPr>
          <w:rFonts w:asciiTheme="minorHAnsi" w:hAnsiTheme="minorHAnsi" w:cstheme="minorHAnsi"/>
          <w:bCs/>
          <w:sz w:val="22"/>
          <w:szCs w:val="22"/>
        </w:rPr>
        <w:t xml:space="preserve">, </w:t>
      </w:r>
      <w:r>
        <w:rPr>
          <w:rFonts w:asciiTheme="minorHAnsi" w:hAnsiTheme="minorHAnsi" w:cstheme="minorHAnsi"/>
          <w:bCs/>
          <w:sz w:val="22"/>
          <w:szCs w:val="22"/>
        </w:rPr>
        <w:t xml:space="preserve">mantendo-se, contudo, </w:t>
      </w:r>
      <w:r w:rsidRPr="00FC55AC">
        <w:rPr>
          <w:rFonts w:asciiTheme="minorHAnsi" w:hAnsiTheme="minorHAnsi" w:cstheme="minorHAnsi"/>
          <w:bCs/>
          <w:sz w:val="22"/>
          <w:szCs w:val="22"/>
        </w:rPr>
        <w:t>a tendência verific</w:t>
      </w:r>
      <w:r>
        <w:rPr>
          <w:rFonts w:asciiTheme="minorHAnsi" w:hAnsiTheme="minorHAnsi" w:cstheme="minorHAnsi"/>
          <w:bCs/>
          <w:sz w:val="22"/>
          <w:szCs w:val="22"/>
        </w:rPr>
        <w:t>ada</w:t>
      </w:r>
      <w:r w:rsidRPr="00FC55AC">
        <w:rPr>
          <w:rFonts w:asciiTheme="minorHAnsi" w:hAnsiTheme="minorHAnsi" w:cstheme="minorHAnsi"/>
          <w:bCs/>
          <w:sz w:val="22"/>
          <w:szCs w:val="22"/>
        </w:rPr>
        <w:t xml:space="preserve"> </w:t>
      </w:r>
      <w:r>
        <w:rPr>
          <w:rFonts w:asciiTheme="minorHAnsi" w:hAnsiTheme="minorHAnsi" w:cstheme="minorHAnsi"/>
          <w:bCs/>
          <w:sz w:val="22"/>
          <w:szCs w:val="22"/>
        </w:rPr>
        <w:t>em 2024, d</w:t>
      </w:r>
      <w:r w:rsidRPr="00FC55AC">
        <w:rPr>
          <w:rFonts w:asciiTheme="minorHAnsi" w:hAnsiTheme="minorHAnsi" w:cstheme="minorHAnsi"/>
          <w:bCs/>
          <w:sz w:val="22"/>
          <w:szCs w:val="22"/>
        </w:rPr>
        <w:t xml:space="preserve">e </w:t>
      </w:r>
      <w:r>
        <w:rPr>
          <w:rFonts w:asciiTheme="minorHAnsi" w:hAnsiTheme="minorHAnsi" w:cstheme="minorHAnsi"/>
          <w:bCs/>
          <w:sz w:val="22"/>
          <w:szCs w:val="22"/>
        </w:rPr>
        <w:t xml:space="preserve">o número de </w:t>
      </w:r>
      <w:r w:rsidRPr="00FC55AC">
        <w:rPr>
          <w:rFonts w:asciiTheme="minorHAnsi" w:hAnsiTheme="minorHAnsi" w:cstheme="minorHAnsi"/>
          <w:bCs/>
          <w:sz w:val="22"/>
          <w:szCs w:val="22"/>
        </w:rPr>
        <w:t>aliena</w:t>
      </w:r>
      <w:r>
        <w:rPr>
          <w:rFonts w:asciiTheme="minorHAnsi" w:hAnsiTheme="minorHAnsi" w:cstheme="minorHAnsi"/>
          <w:bCs/>
          <w:sz w:val="22"/>
          <w:szCs w:val="22"/>
        </w:rPr>
        <w:t xml:space="preserve">ções ser </w:t>
      </w:r>
      <w:r w:rsidRPr="00FC55AC">
        <w:rPr>
          <w:rFonts w:asciiTheme="minorHAnsi" w:hAnsiTheme="minorHAnsi" w:cstheme="minorHAnsi"/>
          <w:bCs/>
          <w:sz w:val="22"/>
          <w:szCs w:val="22"/>
        </w:rPr>
        <w:t xml:space="preserve">superior </w:t>
      </w:r>
      <w:r>
        <w:rPr>
          <w:rFonts w:asciiTheme="minorHAnsi" w:hAnsiTheme="minorHAnsi" w:cstheme="minorHAnsi"/>
          <w:bCs/>
          <w:sz w:val="22"/>
          <w:szCs w:val="22"/>
        </w:rPr>
        <w:t>às</w:t>
      </w:r>
      <w:r w:rsidRPr="00FC55AC">
        <w:rPr>
          <w:rFonts w:asciiTheme="minorHAnsi" w:hAnsiTheme="minorHAnsi" w:cstheme="minorHAnsi"/>
          <w:bCs/>
          <w:sz w:val="22"/>
          <w:szCs w:val="22"/>
        </w:rPr>
        <w:t xml:space="preserve"> entradas de imóveis.</w:t>
      </w:r>
    </w:p>
    <w:p w14:paraId="03141143" w14:textId="77777777" w:rsidR="00C2057B" w:rsidRDefault="00C2057B" w:rsidP="00C2057B">
      <w:pPr>
        <w:jc w:val="both"/>
        <w:rPr>
          <w:rFonts w:asciiTheme="minorHAnsi" w:hAnsiTheme="minorHAnsi" w:cstheme="minorHAnsi"/>
          <w:sz w:val="22"/>
          <w:szCs w:val="22"/>
        </w:rPr>
      </w:pPr>
    </w:p>
    <w:p w14:paraId="33E6DC0E" w14:textId="77777777" w:rsidR="00C2057B" w:rsidRDefault="00C2057B" w:rsidP="00C2057B">
      <w:pPr>
        <w:jc w:val="both"/>
        <w:rPr>
          <w:rFonts w:asciiTheme="minorHAnsi" w:hAnsiTheme="minorHAnsi" w:cstheme="minorHAnsi"/>
          <w:sz w:val="22"/>
          <w:szCs w:val="22"/>
        </w:rPr>
      </w:pPr>
      <w:r>
        <w:rPr>
          <w:noProof/>
          <w14:ligatures w14:val="standardContextual"/>
        </w:rPr>
        <w:drawing>
          <wp:inline distT="0" distB="0" distL="0" distR="0" wp14:anchorId="677B45EA" wp14:editId="7F36024A">
            <wp:extent cx="5400040" cy="1715770"/>
            <wp:effectExtent l="0" t="0" r="0" b="0"/>
            <wp:docPr id="6" name="Imagem 5" descr="Uma imagem com diagrama, texto, captura de ecrã, Esquema&#10;&#10;Os conteúdos gerados por IA podem estar incorretos.">
              <a:extLst xmlns:a="http://schemas.openxmlformats.org/drawingml/2006/main">
                <a:ext uri="{FF2B5EF4-FFF2-40B4-BE49-F238E27FC236}">
                  <a16:creationId xmlns:a16="http://schemas.microsoft.com/office/drawing/2014/main" id="{74671D7B-171C-87A2-B822-BC81A887FC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5" descr="Uma imagem com diagrama, texto, captura de ecrã, Esquema&#10;&#10;Os conteúdos gerados por IA podem estar incorretos.">
                      <a:extLst>
                        <a:ext uri="{FF2B5EF4-FFF2-40B4-BE49-F238E27FC236}">
                          <a16:creationId xmlns:a16="http://schemas.microsoft.com/office/drawing/2014/main" id="{74671D7B-171C-87A2-B822-BC81A887FC13}"/>
                        </a:ext>
                      </a:extLst>
                    </pic:cNvPr>
                    <pic:cNvPicPr>
                      <a:picLocks noChangeAspect="1"/>
                    </pic:cNvPicPr>
                  </pic:nvPicPr>
                  <pic:blipFill>
                    <a:blip r:embed="rId18"/>
                    <a:stretch>
                      <a:fillRect/>
                    </a:stretch>
                  </pic:blipFill>
                  <pic:spPr>
                    <a:xfrm>
                      <a:off x="0" y="0"/>
                      <a:ext cx="5400040" cy="1715770"/>
                    </a:xfrm>
                    <a:prstGeom prst="rect">
                      <a:avLst/>
                    </a:prstGeom>
                  </pic:spPr>
                </pic:pic>
              </a:graphicData>
            </a:graphic>
          </wp:inline>
        </w:drawing>
      </w:r>
    </w:p>
    <w:p w14:paraId="3A94DF14" w14:textId="77777777" w:rsidR="00C2057B" w:rsidRPr="00FC55AC" w:rsidRDefault="00C2057B" w:rsidP="00C2057B">
      <w:pPr>
        <w:jc w:val="both"/>
        <w:rPr>
          <w:rFonts w:asciiTheme="minorHAnsi" w:hAnsiTheme="minorHAnsi" w:cstheme="minorHAnsi"/>
          <w:sz w:val="22"/>
          <w:szCs w:val="22"/>
        </w:rPr>
      </w:pPr>
    </w:p>
    <w:p w14:paraId="7C3ED283" w14:textId="77777777" w:rsidR="00C2057B" w:rsidRPr="00FC55AC" w:rsidRDefault="00C2057B" w:rsidP="00C2057B">
      <w:pPr>
        <w:jc w:val="both"/>
        <w:rPr>
          <w:rFonts w:asciiTheme="minorHAnsi" w:hAnsiTheme="minorHAnsi" w:cstheme="minorHAnsi"/>
          <w:bCs/>
          <w:sz w:val="22"/>
          <w:szCs w:val="22"/>
        </w:rPr>
      </w:pPr>
      <w:r>
        <w:rPr>
          <w:rFonts w:asciiTheme="minorHAnsi" w:hAnsiTheme="minorHAnsi" w:cstheme="minorHAnsi"/>
          <w:bCs/>
          <w:sz w:val="22"/>
          <w:szCs w:val="22"/>
        </w:rPr>
        <w:t>Em termos de</w:t>
      </w:r>
      <w:r w:rsidRPr="00FC55AC">
        <w:rPr>
          <w:rFonts w:asciiTheme="minorHAnsi" w:hAnsiTheme="minorHAnsi" w:cstheme="minorHAnsi"/>
          <w:bCs/>
          <w:sz w:val="22"/>
          <w:szCs w:val="22"/>
        </w:rPr>
        <w:t xml:space="preserve"> distribuição geográfica</w:t>
      </w:r>
      <w:r>
        <w:rPr>
          <w:rFonts w:asciiTheme="minorHAnsi" w:hAnsiTheme="minorHAnsi" w:cstheme="minorHAnsi"/>
          <w:bCs/>
          <w:sz w:val="22"/>
          <w:szCs w:val="22"/>
        </w:rPr>
        <w:t>, a</w:t>
      </w:r>
      <w:r w:rsidRPr="00FC55AC">
        <w:rPr>
          <w:rFonts w:asciiTheme="minorHAnsi" w:hAnsiTheme="minorHAnsi" w:cstheme="minorHAnsi"/>
          <w:bCs/>
          <w:sz w:val="22"/>
          <w:szCs w:val="22"/>
        </w:rPr>
        <w:t xml:space="preserve"> carteira da PARVALOREM está dispersa por </w:t>
      </w:r>
      <w:r>
        <w:rPr>
          <w:rFonts w:asciiTheme="minorHAnsi" w:hAnsiTheme="minorHAnsi" w:cstheme="minorHAnsi"/>
          <w:bCs/>
          <w:sz w:val="22"/>
          <w:szCs w:val="22"/>
        </w:rPr>
        <w:t xml:space="preserve">todo o território nacional, não obstante haver </w:t>
      </w:r>
      <w:r w:rsidRPr="00FC55AC">
        <w:rPr>
          <w:rFonts w:asciiTheme="minorHAnsi" w:hAnsiTheme="minorHAnsi" w:cstheme="minorHAnsi"/>
          <w:bCs/>
          <w:sz w:val="22"/>
          <w:szCs w:val="22"/>
        </w:rPr>
        <w:t>maior concentração (</w:t>
      </w:r>
      <w:r>
        <w:rPr>
          <w:rFonts w:asciiTheme="minorHAnsi" w:hAnsiTheme="minorHAnsi" w:cstheme="minorHAnsi"/>
          <w:bCs/>
          <w:sz w:val="22"/>
          <w:szCs w:val="22"/>
        </w:rPr>
        <w:t>65</w:t>
      </w:r>
      <w:r w:rsidRPr="00FC55AC">
        <w:rPr>
          <w:rFonts w:asciiTheme="minorHAnsi" w:hAnsiTheme="minorHAnsi" w:cstheme="minorHAnsi"/>
          <w:bCs/>
          <w:sz w:val="22"/>
          <w:szCs w:val="22"/>
        </w:rPr>
        <w:t xml:space="preserve">%) em apenas </w:t>
      </w:r>
      <w:r>
        <w:rPr>
          <w:rFonts w:asciiTheme="minorHAnsi" w:hAnsiTheme="minorHAnsi" w:cstheme="minorHAnsi"/>
          <w:bCs/>
          <w:sz w:val="22"/>
          <w:szCs w:val="22"/>
        </w:rPr>
        <w:t>quatros</w:t>
      </w:r>
      <w:r w:rsidRPr="00FC55AC">
        <w:rPr>
          <w:rFonts w:asciiTheme="minorHAnsi" w:hAnsiTheme="minorHAnsi" w:cstheme="minorHAnsi"/>
          <w:bCs/>
          <w:sz w:val="22"/>
          <w:szCs w:val="22"/>
        </w:rPr>
        <w:t xml:space="preserve"> distritos: Coimbra,</w:t>
      </w:r>
      <w:r>
        <w:rPr>
          <w:rFonts w:asciiTheme="minorHAnsi" w:hAnsiTheme="minorHAnsi" w:cstheme="minorHAnsi"/>
          <w:bCs/>
          <w:sz w:val="22"/>
          <w:szCs w:val="22"/>
        </w:rPr>
        <w:t xml:space="preserve"> Faro, Madeira</w:t>
      </w:r>
      <w:r w:rsidRPr="00FC55AC">
        <w:rPr>
          <w:rFonts w:asciiTheme="minorHAnsi" w:hAnsiTheme="minorHAnsi" w:cstheme="minorHAnsi"/>
          <w:bCs/>
          <w:sz w:val="22"/>
          <w:szCs w:val="22"/>
        </w:rPr>
        <w:t xml:space="preserve"> e Porto.</w:t>
      </w:r>
      <w:r>
        <w:rPr>
          <w:rFonts w:asciiTheme="minorHAnsi" w:hAnsiTheme="minorHAnsi" w:cstheme="minorHAnsi"/>
          <w:bCs/>
          <w:sz w:val="22"/>
          <w:szCs w:val="22"/>
        </w:rPr>
        <w:t xml:space="preserve"> Existem, ainda, 3 imóveis fora de Portugal, nomeadamente 2 em Cabo Verde e 1 em Espanha.</w:t>
      </w:r>
    </w:p>
    <w:p w14:paraId="111EDA0A" w14:textId="77777777" w:rsidR="00C2057B" w:rsidRPr="00FC55AC" w:rsidRDefault="00C2057B" w:rsidP="00C2057B">
      <w:pPr>
        <w:jc w:val="both"/>
        <w:rPr>
          <w:rFonts w:asciiTheme="minorHAnsi" w:hAnsiTheme="minorHAnsi" w:cstheme="minorHAnsi"/>
          <w:bCs/>
          <w:sz w:val="22"/>
          <w:szCs w:val="22"/>
        </w:rPr>
      </w:pPr>
    </w:p>
    <w:p w14:paraId="679F5B37" w14:textId="1DAB0FCA" w:rsidR="00C2057B" w:rsidRPr="00FC55AC" w:rsidRDefault="00C2057B" w:rsidP="00C2057B">
      <w:pPr>
        <w:jc w:val="both"/>
        <w:rPr>
          <w:rFonts w:asciiTheme="minorHAnsi" w:hAnsiTheme="minorHAnsi" w:cstheme="minorHAnsi"/>
          <w:sz w:val="22"/>
          <w:szCs w:val="22"/>
        </w:rPr>
      </w:pPr>
      <w:r>
        <w:rPr>
          <w:rFonts w:asciiTheme="minorHAnsi" w:hAnsiTheme="minorHAnsi" w:cstheme="minorHAnsi"/>
          <w:bCs/>
          <w:sz w:val="22"/>
          <w:szCs w:val="22"/>
        </w:rPr>
        <w:t>Por tipologia, a</w:t>
      </w:r>
      <w:r w:rsidRPr="00FC55AC">
        <w:rPr>
          <w:rFonts w:asciiTheme="minorHAnsi" w:hAnsiTheme="minorHAnsi" w:cstheme="minorHAnsi"/>
          <w:bCs/>
          <w:sz w:val="22"/>
          <w:szCs w:val="22"/>
        </w:rPr>
        <w:t xml:space="preserve"> carteira tem uma </w:t>
      </w:r>
      <w:r>
        <w:rPr>
          <w:rFonts w:asciiTheme="minorHAnsi" w:hAnsiTheme="minorHAnsi" w:cstheme="minorHAnsi"/>
          <w:bCs/>
          <w:sz w:val="22"/>
          <w:szCs w:val="22"/>
        </w:rPr>
        <w:t xml:space="preserve">maior </w:t>
      </w:r>
      <w:r w:rsidRPr="00FC55AC">
        <w:rPr>
          <w:rFonts w:asciiTheme="minorHAnsi" w:hAnsiTheme="minorHAnsi" w:cstheme="minorHAnsi"/>
          <w:bCs/>
          <w:sz w:val="22"/>
          <w:szCs w:val="22"/>
        </w:rPr>
        <w:t xml:space="preserve">predominância de terrenos </w:t>
      </w:r>
      <w:r>
        <w:rPr>
          <w:rFonts w:asciiTheme="minorHAnsi" w:hAnsiTheme="minorHAnsi" w:cstheme="minorHAnsi"/>
          <w:bCs/>
          <w:sz w:val="22"/>
          <w:szCs w:val="22"/>
        </w:rPr>
        <w:t>(</w:t>
      </w:r>
      <w:r w:rsidRPr="00FC55AC">
        <w:rPr>
          <w:rFonts w:asciiTheme="minorHAnsi" w:hAnsiTheme="minorHAnsi" w:cstheme="minorHAnsi"/>
          <w:bCs/>
          <w:sz w:val="22"/>
          <w:szCs w:val="22"/>
        </w:rPr>
        <w:t>6</w:t>
      </w:r>
      <w:r>
        <w:rPr>
          <w:rFonts w:asciiTheme="minorHAnsi" w:hAnsiTheme="minorHAnsi" w:cstheme="minorHAnsi"/>
          <w:bCs/>
          <w:sz w:val="22"/>
          <w:szCs w:val="22"/>
        </w:rPr>
        <w:t>4</w:t>
      </w:r>
      <w:r w:rsidRPr="00FC55AC">
        <w:rPr>
          <w:rFonts w:asciiTheme="minorHAnsi" w:hAnsiTheme="minorHAnsi" w:cstheme="minorHAnsi"/>
          <w:bCs/>
          <w:sz w:val="22"/>
          <w:szCs w:val="22"/>
        </w:rPr>
        <w:t>%</w:t>
      </w:r>
      <w:r>
        <w:rPr>
          <w:rFonts w:asciiTheme="minorHAnsi" w:hAnsiTheme="minorHAnsi" w:cstheme="minorHAnsi"/>
          <w:bCs/>
          <w:sz w:val="22"/>
          <w:szCs w:val="22"/>
        </w:rPr>
        <w:t>)</w:t>
      </w:r>
      <w:r w:rsidRPr="00FC55AC">
        <w:rPr>
          <w:rFonts w:asciiTheme="minorHAnsi" w:hAnsiTheme="minorHAnsi" w:cstheme="minorHAnsi"/>
          <w:bCs/>
          <w:sz w:val="22"/>
          <w:szCs w:val="22"/>
        </w:rPr>
        <w:t xml:space="preserve">, </w:t>
      </w:r>
      <w:r>
        <w:rPr>
          <w:rFonts w:asciiTheme="minorHAnsi" w:hAnsiTheme="minorHAnsi" w:cstheme="minorHAnsi"/>
          <w:bCs/>
          <w:sz w:val="22"/>
          <w:szCs w:val="22"/>
        </w:rPr>
        <w:t>seguindo-se a habitação (</w:t>
      </w:r>
      <w:r w:rsidRPr="00FC55AC">
        <w:rPr>
          <w:rFonts w:asciiTheme="minorHAnsi" w:hAnsiTheme="minorHAnsi" w:cstheme="minorHAnsi"/>
          <w:bCs/>
          <w:sz w:val="22"/>
          <w:szCs w:val="22"/>
        </w:rPr>
        <w:t>1</w:t>
      </w:r>
      <w:r>
        <w:rPr>
          <w:rFonts w:asciiTheme="minorHAnsi" w:hAnsiTheme="minorHAnsi" w:cstheme="minorHAnsi"/>
          <w:bCs/>
          <w:sz w:val="22"/>
          <w:szCs w:val="22"/>
        </w:rPr>
        <w:t>4</w:t>
      </w:r>
      <w:r w:rsidRPr="00FC55AC">
        <w:rPr>
          <w:rFonts w:asciiTheme="minorHAnsi" w:hAnsiTheme="minorHAnsi" w:cstheme="minorHAnsi"/>
          <w:bCs/>
          <w:sz w:val="22"/>
          <w:szCs w:val="22"/>
        </w:rPr>
        <w:t>%</w:t>
      </w:r>
      <w:r>
        <w:rPr>
          <w:rFonts w:asciiTheme="minorHAnsi" w:hAnsiTheme="minorHAnsi" w:cstheme="minorHAnsi"/>
          <w:bCs/>
          <w:sz w:val="22"/>
          <w:szCs w:val="22"/>
        </w:rPr>
        <w:t>)</w:t>
      </w:r>
      <w:r w:rsidRPr="00FC55AC">
        <w:rPr>
          <w:rFonts w:asciiTheme="minorHAnsi" w:hAnsiTheme="minorHAnsi" w:cstheme="minorHAnsi"/>
          <w:bCs/>
          <w:sz w:val="22"/>
          <w:szCs w:val="22"/>
        </w:rPr>
        <w:t xml:space="preserve"> e </w:t>
      </w:r>
      <w:r>
        <w:rPr>
          <w:rFonts w:asciiTheme="minorHAnsi" w:hAnsiTheme="minorHAnsi" w:cstheme="minorHAnsi"/>
          <w:bCs/>
          <w:sz w:val="22"/>
          <w:szCs w:val="22"/>
        </w:rPr>
        <w:t xml:space="preserve">os </w:t>
      </w:r>
      <w:r w:rsidRPr="00FC55AC">
        <w:rPr>
          <w:rFonts w:asciiTheme="minorHAnsi" w:hAnsiTheme="minorHAnsi" w:cstheme="minorHAnsi"/>
          <w:bCs/>
          <w:sz w:val="22"/>
          <w:szCs w:val="22"/>
        </w:rPr>
        <w:t xml:space="preserve">espaços comerciais </w:t>
      </w:r>
      <w:r>
        <w:rPr>
          <w:rFonts w:asciiTheme="minorHAnsi" w:hAnsiTheme="minorHAnsi" w:cstheme="minorHAnsi"/>
          <w:bCs/>
          <w:sz w:val="22"/>
          <w:szCs w:val="22"/>
        </w:rPr>
        <w:t>(</w:t>
      </w:r>
      <w:r w:rsidRPr="00FC55AC">
        <w:rPr>
          <w:rFonts w:asciiTheme="minorHAnsi" w:hAnsiTheme="minorHAnsi" w:cstheme="minorHAnsi"/>
          <w:bCs/>
          <w:sz w:val="22"/>
          <w:szCs w:val="22"/>
        </w:rPr>
        <w:t>1</w:t>
      </w:r>
      <w:r>
        <w:rPr>
          <w:rFonts w:asciiTheme="minorHAnsi" w:hAnsiTheme="minorHAnsi" w:cstheme="minorHAnsi"/>
          <w:bCs/>
          <w:sz w:val="22"/>
          <w:szCs w:val="22"/>
        </w:rPr>
        <w:t>3</w:t>
      </w:r>
      <w:r w:rsidRPr="00FC55AC">
        <w:rPr>
          <w:rFonts w:asciiTheme="minorHAnsi" w:hAnsiTheme="minorHAnsi" w:cstheme="minorHAnsi"/>
          <w:bCs/>
          <w:sz w:val="22"/>
          <w:szCs w:val="22"/>
        </w:rPr>
        <w:t>%</w:t>
      </w:r>
      <w:r>
        <w:rPr>
          <w:rFonts w:asciiTheme="minorHAnsi" w:hAnsiTheme="minorHAnsi" w:cstheme="minorHAnsi"/>
          <w:bCs/>
          <w:sz w:val="22"/>
          <w:szCs w:val="22"/>
        </w:rPr>
        <w:t>)</w:t>
      </w:r>
      <w:r w:rsidRPr="00FC55AC">
        <w:rPr>
          <w:rFonts w:asciiTheme="minorHAnsi" w:hAnsiTheme="minorHAnsi" w:cstheme="minorHAnsi"/>
          <w:bCs/>
          <w:sz w:val="22"/>
          <w:szCs w:val="22"/>
        </w:rPr>
        <w:t xml:space="preserve">. </w:t>
      </w:r>
      <w:r>
        <w:rPr>
          <w:rFonts w:asciiTheme="minorHAnsi" w:hAnsiTheme="minorHAnsi" w:cstheme="minorHAnsi"/>
          <w:bCs/>
          <w:sz w:val="22"/>
          <w:szCs w:val="22"/>
        </w:rPr>
        <w:t xml:space="preserve">Quanto ao valor de mercado, </w:t>
      </w:r>
      <w:r w:rsidRPr="00FC55AC">
        <w:rPr>
          <w:rFonts w:asciiTheme="minorHAnsi" w:hAnsiTheme="minorHAnsi" w:cstheme="minorHAnsi"/>
          <w:bCs/>
          <w:sz w:val="22"/>
          <w:szCs w:val="22"/>
        </w:rPr>
        <w:t xml:space="preserve">a distribuição </w:t>
      </w:r>
      <w:r>
        <w:rPr>
          <w:rFonts w:asciiTheme="minorHAnsi" w:hAnsiTheme="minorHAnsi" w:cstheme="minorHAnsi"/>
          <w:bCs/>
          <w:sz w:val="22"/>
          <w:szCs w:val="22"/>
        </w:rPr>
        <w:t>é muito atomizada</w:t>
      </w:r>
      <w:r w:rsidRPr="00FC55AC">
        <w:rPr>
          <w:rFonts w:asciiTheme="minorHAnsi" w:hAnsiTheme="minorHAnsi" w:cstheme="minorHAnsi"/>
          <w:bCs/>
          <w:sz w:val="22"/>
          <w:szCs w:val="22"/>
        </w:rPr>
        <w:t xml:space="preserve">, com </w:t>
      </w:r>
      <w:r>
        <w:rPr>
          <w:rFonts w:asciiTheme="minorHAnsi" w:hAnsiTheme="minorHAnsi" w:cstheme="minorHAnsi"/>
          <w:bCs/>
          <w:sz w:val="22"/>
          <w:szCs w:val="22"/>
        </w:rPr>
        <w:t>89</w:t>
      </w:r>
      <w:r w:rsidRPr="00FC55AC">
        <w:rPr>
          <w:rFonts w:asciiTheme="minorHAnsi" w:hAnsiTheme="minorHAnsi" w:cstheme="minorHAnsi"/>
          <w:bCs/>
          <w:sz w:val="22"/>
          <w:szCs w:val="22"/>
        </w:rPr>
        <w:t xml:space="preserve">% </w:t>
      </w:r>
      <w:r>
        <w:rPr>
          <w:rFonts w:asciiTheme="minorHAnsi" w:hAnsiTheme="minorHAnsi" w:cstheme="minorHAnsi"/>
          <w:bCs/>
          <w:sz w:val="22"/>
          <w:szCs w:val="22"/>
        </w:rPr>
        <w:t>dos imóveis de</w:t>
      </w:r>
      <w:r w:rsidRPr="00FC55AC">
        <w:rPr>
          <w:rFonts w:asciiTheme="minorHAnsi" w:hAnsiTheme="minorHAnsi" w:cstheme="minorHAnsi"/>
          <w:bCs/>
          <w:sz w:val="22"/>
          <w:szCs w:val="22"/>
        </w:rPr>
        <w:t xml:space="preserve"> valor inferior a </w:t>
      </w:r>
      <w:r>
        <w:rPr>
          <w:rFonts w:asciiTheme="minorHAnsi" w:hAnsiTheme="minorHAnsi" w:cstheme="minorHAnsi"/>
          <w:bCs/>
          <w:sz w:val="22"/>
          <w:szCs w:val="22"/>
        </w:rPr>
        <w:t xml:space="preserve">€ </w:t>
      </w:r>
      <w:r w:rsidRPr="00FC55AC">
        <w:rPr>
          <w:rFonts w:asciiTheme="minorHAnsi" w:hAnsiTheme="minorHAnsi" w:cstheme="minorHAnsi"/>
          <w:bCs/>
          <w:sz w:val="22"/>
          <w:szCs w:val="22"/>
        </w:rPr>
        <w:t xml:space="preserve">500 </w:t>
      </w:r>
      <w:r>
        <w:rPr>
          <w:rFonts w:asciiTheme="minorHAnsi" w:hAnsiTheme="minorHAnsi" w:cstheme="minorHAnsi"/>
          <w:bCs/>
          <w:sz w:val="22"/>
          <w:szCs w:val="22"/>
        </w:rPr>
        <w:t>milhões, 78</w:t>
      </w:r>
      <w:r w:rsidRPr="00FC55AC">
        <w:rPr>
          <w:rFonts w:asciiTheme="minorHAnsi" w:hAnsiTheme="minorHAnsi" w:cstheme="minorHAnsi"/>
          <w:bCs/>
          <w:sz w:val="22"/>
          <w:szCs w:val="22"/>
        </w:rPr>
        <w:t xml:space="preserve">% de valor inferior a </w:t>
      </w:r>
      <w:r>
        <w:rPr>
          <w:rFonts w:asciiTheme="minorHAnsi" w:hAnsiTheme="minorHAnsi" w:cstheme="minorHAnsi"/>
          <w:bCs/>
          <w:sz w:val="22"/>
          <w:szCs w:val="22"/>
        </w:rPr>
        <w:t xml:space="preserve">€ </w:t>
      </w:r>
      <w:r w:rsidRPr="00FC55AC">
        <w:rPr>
          <w:rFonts w:asciiTheme="minorHAnsi" w:hAnsiTheme="minorHAnsi" w:cstheme="minorHAnsi"/>
          <w:bCs/>
          <w:sz w:val="22"/>
          <w:szCs w:val="22"/>
        </w:rPr>
        <w:t xml:space="preserve">250 </w:t>
      </w:r>
      <w:r>
        <w:rPr>
          <w:rFonts w:asciiTheme="minorHAnsi" w:hAnsiTheme="minorHAnsi" w:cstheme="minorHAnsi"/>
          <w:bCs/>
          <w:sz w:val="22"/>
          <w:szCs w:val="22"/>
        </w:rPr>
        <w:t>milhões</w:t>
      </w:r>
      <w:r w:rsidRPr="00FC55AC">
        <w:rPr>
          <w:rFonts w:asciiTheme="minorHAnsi" w:hAnsiTheme="minorHAnsi" w:cstheme="minorHAnsi"/>
          <w:bCs/>
          <w:sz w:val="22"/>
          <w:szCs w:val="22"/>
        </w:rPr>
        <w:t xml:space="preserve"> </w:t>
      </w:r>
      <w:r>
        <w:rPr>
          <w:rFonts w:asciiTheme="minorHAnsi" w:hAnsiTheme="minorHAnsi" w:cstheme="minorHAnsi"/>
          <w:bCs/>
          <w:sz w:val="22"/>
          <w:szCs w:val="22"/>
        </w:rPr>
        <w:t xml:space="preserve">e </w:t>
      </w:r>
      <w:r w:rsidRPr="00FC55AC">
        <w:rPr>
          <w:rFonts w:asciiTheme="minorHAnsi" w:hAnsiTheme="minorHAnsi" w:cstheme="minorHAnsi"/>
          <w:bCs/>
          <w:sz w:val="22"/>
          <w:szCs w:val="22"/>
        </w:rPr>
        <w:t>5</w:t>
      </w:r>
      <w:r>
        <w:rPr>
          <w:rFonts w:asciiTheme="minorHAnsi" w:hAnsiTheme="minorHAnsi" w:cstheme="minorHAnsi"/>
          <w:bCs/>
          <w:sz w:val="22"/>
          <w:szCs w:val="22"/>
        </w:rPr>
        <w:t>1</w:t>
      </w:r>
      <w:r w:rsidRPr="00FC55AC">
        <w:rPr>
          <w:rFonts w:asciiTheme="minorHAnsi" w:hAnsiTheme="minorHAnsi" w:cstheme="minorHAnsi"/>
          <w:bCs/>
          <w:sz w:val="22"/>
          <w:szCs w:val="22"/>
        </w:rPr>
        <w:t xml:space="preserve">% </w:t>
      </w:r>
      <w:r>
        <w:rPr>
          <w:rFonts w:asciiTheme="minorHAnsi" w:hAnsiTheme="minorHAnsi" w:cstheme="minorHAnsi"/>
          <w:bCs/>
          <w:sz w:val="22"/>
          <w:szCs w:val="22"/>
        </w:rPr>
        <w:t>de</w:t>
      </w:r>
      <w:r w:rsidRPr="00FC55AC">
        <w:rPr>
          <w:rFonts w:asciiTheme="minorHAnsi" w:hAnsiTheme="minorHAnsi" w:cstheme="minorHAnsi"/>
          <w:bCs/>
          <w:sz w:val="22"/>
          <w:szCs w:val="22"/>
        </w:rPr>
        <w:t xml:space="preserve"> valor inferior a </w:t>
      </w:r>
      <w:r>
        <w:rPr>
          <w:rFonts w:asciiTheme="minorHAnsi" w:hAnsiTheme="minorHAnsi" w:cstheme="minorHAnsi"/>
          <w:bCs/>
          <w:sz w:val="22"/>
          <w:szCs w:val="22"/>
        </w:rPr>
        <w:t xml:space="preserve">€ </w:t>
      </w:r>
      <w:r w:rsidRPr="00FC55AC">
        <w:rPr>
          <w:rFonts w:asciiTheme="minorHAnsi" w:hAnsiTheme="minorHAnsi" w:cstheme="minorHAnsi"/>
          <w:bCs/>
          <w:sz w:val="22"/>
          <w:szCs w:val="22"/>
        </w:rPr>
        <w:t>50 m</w:t>
      </w:r>
      <w:r>
        <w:rPr>
          <w:rFonts w:asciiTheme="minorHAnsi" w:hAnsiTheme="minorHAnsi" w:cstheme="minorHAnsi"/>
          <w:bCs/>
          <w:sz w:val="22"/>
          <w:szCs w:val="22"/>
        </w:rPr>
        <w:t>ilhões</w:t>
      </w:r>
      <w:r w:rsidRPr="00FC55AC">
        <w:rPr>
          <w:rFonts w:asciiTheme="minorHAnsi" w:hAnsiTheme="minorHAnsi" w:cstheme="minorHAnsi"/>
          <w:bCs/>
          <w:sz w:val="22"/>
          <w:szCs w:val="22"/>
        </w:rPr>
        <w:t>.</w:t>
      </w:r>
    </w:p>
    <w:p w14:paraId="05757E62" w14:textId="77777777" w:rsidR="00C93B74" w:rsidRDefault="00C93B74" w:rsidP="00C93B74">
      <w:pPr>
        <w:jc w:val="both"/>
        <w:rPr>
          <w:rFonts w:asciiTheme="minorHAnsi" w:hAnsiTheme="minorHAnsi" w:cstheme="minorHAnsi"/>
          <w:b/>
          <w:sz w:val="22"/>
          <w:szCs w:val="22"/>
          <w:u w:val="single"/>
        </w:rPr>
      </w:pPr>
    </w:p>
    <w:p w14:paraId="485895E3" w14:textId="77777777" w:rsidR="00C2057B" w:rsidRDefault="00C2057B" w:rsidP="00C93B74">
      <w:pPr>
        <w:jc w:val="both"/>
        <w:rPr>
          <w:rFonts w:asciiTheme="minorHAnsi" w:hAnsiTheme="minorHAnsi" w:cstheme="minorHAnsi"/>
          <w:b/>
          <w:sz w:val="22"/>
          <w:szCs w:val="22"/>
          <w:u w:val="single"/>
        </w:rPr>
      </w:pPr>
    </w:p>
    <w:p w14:paraId="509B0E3F" w14:textId="77777777" w:rsidR="00C2057B" w:rsidRDefault="00C2057B" w:rsidP="00C93B74">
      <w:pPr>
        <w:jc w:val="both"/>
        <w:rPr>
          <w:rFonts w:asciiTheme="minorHAnsi" w:hAnsiTheme="minorHAnsi" w:cstheme="minorHAnsi"/>
          <w:b/>
          <w:sz w:val="22"/>
          <w:szCs w:val="22"/>
          <w:u w:val="single"/>
        </w:rPr>
      </w:pPr>
    </w:p>
    <w:p w14:paraId="077E172C" w14:textId="77777777" w:rsidR="00C93B74" w:rsidRPr="007B4009" w:rsidRDefault="00C93B74" w:rsidP="00C93B74">
      <w:pPr>
        <w:jc w:val="both"/>
        <w:rPr>
          <w:rFonts w:asciiTheme="minorHAnsi" w:hAnsiTheme="minorHAnsi" w:cstheme="minorHAnsi"/>
          <w:b/>
          <w:sz w:val="22"/>
          <w:szCs w:val="22"/>
          <w:u w:val="single"/>
        </w:rPr>
      </w:pPr>
      <w:r w:rsidRPr="007B4009">
        <w:rPr>
          <w:rFonts w:asciiTheme="minorHAnsi" w:hAnsiTheme="minorHAnsi" w:cstheme="minorHAnsi"/>
          <w:b/>
          <w:sz w:val="22"/>
          <w:szCs w:val="22"/>
          <w:u w:val="single"/>
        </w:rPr>
        <w:t>Gestão de ativos Financeiros</w:t>
      </w:r>
    </w:p>
    <w:p w14:paraId="0B4BB4DA" w14:textId="77777777" w:rsidR="00C93B74" w:rsidRDefault="00C93B74" w:rsidP="00C93B74">
      <w:pPr>
        <w:jc w:val="both"/>
        <w:rPr>
          <w:rFonts w:asciiTheme="minorHAnsi" w:hAnsiTheme="minorHAnsi" w:cstheme="minorHAnsi"/>
          <w:b/>
          <w:sz w:val="22"/>
          <w:szCs w:val="22"/>
          <w:u w:val="single"/>
        </w:rPr>
      </w:pPr>
    </w:p>
    <w:p w14:paraId="15634D8B" w14:textId="77E46413" w:rsidR="009C6D87" w:rsidRPr="00810646" w:rsidRDefault="009C6D87" w:rsidP="00810646">
      <w:pPr>
        <w:pStyle w:val="efcorpodetextoRGS"/>
        <w:spacing w:line="240" w:lineRule="auto"/>
        <w:rPr>
          <w:rFonts w:eastAsia="Times New Roman"/>
          <w:bCs/>
          <w:kern w:val="0"/>
          <w:lang w:eastAsia="pt-PT"/>
        </w:rPr>
      </w:pPr>
      <w:bookmarkStart w:id="29" w:name="_Hlk218850092"/>
      <w:r w:rsidRPr="00810646">
        <w:rPr>
          <w:rFonts w:eastAsia="Times New Roman"/>
          <w:bCs/>
          <w:kern w:val="0"/>
          <w:lang w:eastAsia="pt-PT"/>
        </w:rPr>
        <w:t>Em julho de 2025 ocorreram as dissoluções, encerramento da liquidação e cancelamento da matr</w:t>
      </w:r>
      <w:r w:rsidR="00906C14">
        <w:rPr>
          <w:rFonts w:eastAsia="Times New Roman"/>
          <w:bCs/>
          <w:kern w:val="0"/>
          <w:lang w:eastAsia="pt-PT"/>
        </w:rPr>
        <w:t>í</w:t>
      </w:r>
      <w:r w:rsidRPr="00810646">
        <w:rPr>
          <w:rFonts w:eastAsia="Times New Roman"/>
          <w:bCs/>
          <w:kern w:val="0"/>
          <w:lang w:eastAsia="pt-PT"/>
        </w:rPr>
        <w:t xml:space="preserve">cula das sociedades </w:t>
      </w:r>
      <w:proofErr w:type="spellStart"/>
      <w:r w:rsidRPr="00810646">
        <w:rPr>
          <w:rFonts w:eastAsia="Times New Roman"/>
          <w:bCs/>
          <w:kern w:val="0"/>
          <w:lang w:eastAsia="pt-PT"/>
        </w:rPr>
        <w:t>Brick</w:t>
      </w:r>
      <w:proofErr w:type="spellEnd"/>
      <w:r w:rsidRPr="00810646">
        <w:rPr>
          <w:rFonts w:eastAsia="Times New Roman"/>
          <w:bCs/>
          <w:kern w:val="0"/>
          <w:lang w:eastAsia="pt-PT"/>
        </w:rPr>
        <w:t xml:space="preserve"> </w:t>
      </w:r>
      <w:proofErr w:type="spellStart"/>
      <w:r w:rsidRPr="00810646">
        <w:rPr>
          <w:rFonts w:eastAsia="Times New Roman"/>
          <w:bCs/>
          <w:kern w:val="0"/>
          <w:lang w:eastAsia="pt-PT"/>
        </w:rPr>
        <w:t>and</w:t>
      </w:r>
      <w:proofErr w:type="spellEnd"/>
      <w:r w:rsidRPr="00810646">
        <w:rPr>
          <w:rFonts w:eastAsia="Times New Roman"/>
          <w:bCs/>
          <w:kern w:val="0"/>
          <w:lang w:eastAsia="pt-PT"/>
        </w:rPr>
        <w:t xml:space="preserve"> </w:t>
      </w:r>
      <w:proofErr w:type="spellStart"/>
      <w:r w:rsidRPr="00810646">
        <w:rPr>
          <w:rFonts w:eastAsia="Times New Roman"/>
          <w:bCs/>
          <w:kern w:val="0"/>
          <w:lang w:eastAsia="pt-PT"/>
        </w:rPr>
        <w:t>Sand</w:t>
      </w:r>
      <w:proofErr w:type="spellEnd"/>
      <w:r w:rsidRPr="00810646">
        <w:rPr>
          <w:rFonts w:eastAsia="Times New Roman"/>
          <w:bCs/>
          <w:kern w:val="0"/>
          <w:lang w:eastAsia="pt-PT"/>
        </w:rPr>
        <w:t xml:space="preserve"> – Sociedade Imobiliária, S.A. e Sociedade de Administração Imobiliária Palácio das Águias, </w:t>
      </w:r>
      <w:proofErr w:type="gramStart"/>
      <w:r w:rsidRPr="00810646">
        <w:rPr>
          <w:rFonts w:eastAsia="Times New Roman"/>
          <w:bCs/>
          <w:kern w:val="0"/>
          <w:lang w:eastAsia="pt-PT"/>
        </w:rPr>
        <w:t>S.A..</w:t>
      </w:r>
      <w:proofErr w:type="gramEnd"/>
      <w:r w:rsidRPr="00810646">
        <w:rPr>
          <w:rFonts w:eastAsia="Times New Roman"/>
          <w:bCs/>
          <w:kern w:val="0"/>
          <w:lang w:eastAsia="pt-PT"/>
        </w:rPr>
        <w:t xml:space="preserve"> Ambas as sociedades eram participadas em 100% pela PARVALOREM, tendo sido distribuídos</w:t>
      </w:r>
      <w:r w:rsidR="00A94553" w:rsidRPr="00810646">
        <w:rPr>
          <w:rFonts w:eastAsia="Times New Roman"/>
          <w:bCs/>
          <w:kern w:val="0"/>
          <w:lang w:eastAsia="pt-PT"/>
        </w:rPr>
        <w:t>,</w:t>
      </w:r>
      <w:r w:rsidRPr="00810646">
        <w:rPr>
          <w:rFonts w:eastAsia="Times New Roman"/>
          <w:bCs/>
          <w:kern w:val="0"/>
          <w:lang w:eastAsia="pt-PT"/>
        </w:rPr>
        <w:t xml:space="preserve"> na partilha</w:t>
      </w:r>
      <w:r w:rsidR="00A94553" w:rsidRPr="00810646">
        <w:rPr>
          <w:rFonts w:eastAsia="Times New Roman"/>
          <w:bCs/>
          <w:kern w:val="0"/>
          <w:lang w:eastAsia="pt-PT"/>
        </w:rPr>
        <w:t>,</w:t>
      </w:r>
      <w:r w:rsidRPr="00810646">
        <w:rPr>
          <w:rFonts w:eastAsia="Times New Roman"/>
          <w:bCs/>
          <w:kern w:val="0"/>
          <w:lang w:eastAsia="pt-PT"/>
        </w:rPr>
        <w:t xml:space="preserve"> os imóveis de que eram titulares.</w:t>
      </w:r>
    </w:p>
    <w:p w14:paraId="1DA27BA8" w14:textId="77777777" w:rsidR="009C6D87" w:rsidRPr="00810646" w:rsidRDefault="009C6D87" w:rsidP="00810646">
      <w:pPr>
        <w:pStyle w:val="efcorpodetextoRGS"/>
        <w:spacing w:line="240" w:lineRule="auto"/>
        <w:rPr>
          <w:rFonts w:eastAsia="Times New Roman"/>
          <w:bCs/>
          <w:kern w:val="0"/>
          <w:lang w:eastAsia="pt-PT"/>
        </w:rPr>
      </w:pPr>
    </w:p>
    <w:p w14:paraId="28F46810" w14:textId="77777777" w:rsidR="00CB1B2A" w:rsidRDefault="00CB1B2A" w:rsidP="00810646">
      <w:pPr>
        <w:pStyle w:val="efcorpodetextoRGS"/>
        <w:spacing w:line="240" w:lineRule="auto"/>
      </w:pPr>
      <w:r w:rsidRPr="00810646">
        <w:rPr>
          <w:rFonts w:eastAsia="Times New Roman"/>
          <w:bCs/>
          <w:kern w:val="0"/>
          <w:lang w:eastAsia="pt-PT"/>
        </w:rPr>
        <w:lastRenderedPageBreak/>
        <w:t xml:space="preserve">Em 2025 a PARVALOREM </w:t>
      </w:r>
      <w:proofErr w:type="spellStart"/>
      <w:r w:rsidRPr="00810646">
        <w:rPr>
          <w:rFonts w:eastAsia="Times New Roman"/>
          <w:bCs/>
          <w:kern w:val="0"/>
          <w:lang w:eastAsia="pt-PT"/>
        </w:rPr>
        <w:t>desreconheceu</w:t>
      </w:r>
      <w:proofErr w:type="spellEnd"/>
      <w:r w:rsidRPr="00810646">
        <w:rPr>
          <w:rFonts w:eastAsia="Times New Roman"/>
          <w:bCs/>
          <w:kern w:val="0"/>
          <w:lang w:eastAsia="pt-PT"/>
        </w:rPr>
        <w:t xml:space="preserve"> do seu balanço as participações que detinha na </w:t>
      </w:r>
      <w:proofErr w:type="spellStart"/>
      <w:r w:rsidRPr="00810646">
        <w:rPr>
          <w:rFonts w:eastAsia="Times New Roman"/>
          <w:bCs/>
          <w:kern w:val="0"/>
          <w:lang w:eastAsia="pt-PT"/>
        </w:rPr>
        <w:t>Calzeus</w:t>
      </w:r>
      <w:proofErr w:type="spellEnd"/>
      <w:r w:rsidRPr="00810646">
        <w:rPr>
          <w:rFonts w:eastAsia="Times New Roman"/>
          <w:bCs/>
          <w:kern w:val="0"/>
          <w:lang w:eastAsia="pt-PT"/>
        </w:rPr>
        <w:t xml:space="preserve"> - Calçado e Acessórios de Moda, S.A. e na </w:t>
      </w:r>
      <w:proofErr w:type="spellStart"/>
      <w:r w:rsidRPr="00810646">
        <w:rPr>
          <w:rFonts w:eastAsia="Times New Roman"/>
          <w:bCs/>
          <w:kern w:val="0"/>
          <w:lang w:eastAsia="pt-PT"/>
        </w:rPr>
        <w:t>Lugab</w:t>
      </w:r>
      <w:proofErr w:type="spellEnd"/>
      <w:r w:rsidRPr="00810646">
        <w:rPr>
          <w:rFonts w:eastAsia="Times New Roman"/>
          <w:bCs/>
          <w:kern w:val="0"/>
          <w:lang w:eastAsia="pt-PT"/>
        </w:rPr>
        <w:t xml:space="preserve"> - Gestão e Participações S.A., em</w:t>
      </w:r>
      <w:r w:rsidRPr="00222791">
        <w:t xml:space="preserve"> virtude da extinção dos respetivos processos de insolvência</w:t>
      </w:r>
      <w:r>
        <w:t>. Relativamente à parti</w:t>
      </w:r>
      <w:r w:rsidRPr="00222791">
        <w:t xml:space="preserve">cipada </w:t>
      </w:r>
      <w:bookmarkEnd w:id="29"/>
      <w:proofErr w:type="spellStart"/>
      <w:r w:rsidRPr="00FE4128">
        <w:t>Entigere</w:t>
      </w:r>
      <w:proofErr w:type="spellEnd"/>
      <w:r w:rsidRPr="00FE4128">
        <w:t xml:space="preserve"> - Entidade Gestora da Rede </w:t>
      </w:r>
      <w:proofErr w:type="spellStart"/>
      <w:r w:rsidRPr="00FE4128">
        <w:t>Multiserviços</w:t>
      </w:r>
      <w:proofErr w:type="spellEnd"/>
      <w:r w:rsidRPr="00FE4128">
        <w:t xml:space="preserve"> S.A, </w:t>
      </w:r>
      <w:r w:rsidRPr="008D13D6">
        <w:t xml:space="preserve">por já não haver qualquer possibilidade de ressarcimento de valores no rateio final, também se procedeu ao </w:t>
      </w:r>
      <w:proofErr w:type="spellStart"/>
      <w:r w:rsidRPr="008D13D6">
        <w:rPr>
          <w:i/>
          <w:iCs/>
        </w:rPr>
        <w:t>write</w:t>
      </w:r>
      <w:proofErr w:type="spellEnd"/>
      <w:r w:rsidRPr="008D13D6">
        <w:rPr>
          <w:i/>
          <w:iCs/>
        </w:rPr>
        <w:t xml:space="preserve"> </w:t>
      </w:r>
      <w:proofErr w:type="spellStart"/>
      <w:r w:rsidRPr="008D13D6">
        <w:rPr>
          <w:i/>
          <w:iCs/>
        </w:rPr>
        <w:t>off</w:t>
      </w:r>
      <w:proofErr w:type="spellEnd"/>
      <w:r w:rsidRPr="008D13D6">
        <w:t xml:space="preserve"> da participação.</w:t>
      </w:r>
      <w:r>
        <w:t xml:space="preserve"> </w:t>
      </w:r>
    </w:p>
    <w:p w14:paraId="43490541" w14:textId="77777777" w:rsidR="00CB1B2A" w:rsidRDefault="00CB1B2A" w:rsidP="00810646">
      <w:pPr>
        <w:pStyle w:val="efcorpodetextoRGS"/>
        <w:spacing w:line="240" w:lineRule="auto"/>
      </w:pPr>
    </w:p>
    <w:p w14:paraId="630B35D4" w14:textId="5923544B" w:rsidR="005407A9" w:rsidRPr="000D03BE" w:rsidRDefault="005407A9" w:rsidP="00810646">
      <w:pPr>
        <w:jc w:val="both"/>
        <w:rPr>
          <w:rFonts w:asciiTheme="minorHAnsi" w:hAnsiTheme="minorHAnsi" w:cstheme="minorHAnsi"/>
          <w:sz w:val="22"/>
          <w:szCs w:val="22"/>
        </w:rPr>
      </w:pPr>
      <w:r>
        <w:rPr>
          <w:rFonts w:asciiTheme="minorHAnsi" w:hAnsiTheme="minorHAnsi" w:cstheme="minorHAnsi"/>
          <w:sz w:val="22"/>
          <w:szCs w:val="22"/>
        </w:rPr>
        <w:t>Em 2025, a PARVALOREM efetuou resgates de unidades de participação do IMONEGÓCIOS, num total de € 30 milhões</w:t>
      </w:r>
      <w:r w:rsidR="00FE4128">
        <w:rPr>
          <w:rFonts w:asciiTheme="minorHAnsi" w:hAnsiTheme="minorHAnsi" w:cstheme="minorHAnsi"/>
          <w:sz w:val="22"/>
          <w:szCs w:val="22"/>
        </w:rPr>
        <w:t>, e recebeu dividendos da participada IMOFUNDOS de € 3,8 milhões.</w:t>
      </w:r>
    </w:p>
    <w:p w14:paraId="5C90AD86" w14:textId="77777777" w:rsidR="00A1135F" w:rsidRDefault="00A1135F" w:rsidP="00810646">
      <w:pPr>
        <w:jc w:val="both"/>
        <w:rPr>
          <w:rFonts w:asciiTheme="minorHAnsi" w:hAnsiTheme="minorHAnsi" w:cstheme="minorHAnsi"/>
          <w:sz w:val="22"/>
          <w:szCs w:val="22"/>
        </w:rPr>
      </w:pPr>
    </w:p>
    <w:p w14:paraId="7EC1E752" w14:textId="6DC6CC49" w:rsidR="0064743F" w:rsidRDefault="00C93B74" w:rsidP="00810646">
      <w:pPr>
        <w:jc w:val="both"/>
        <w:rPr>
          <w:rFonts w:asciiTheme="minorHAnsi" w:hAnsiTheme="minorHAnsi" w:cstheme="minorHAnsi"/>
          <w:bCs/>
          <w:sz w:val="22"/>
          <w:szCs w:val="22"/>
        </w:rPr>
      </w:pPr>
      <w:r w:rsidRPr="0012132C">
        <w:rPr>
          <w:rFonts w:asciiTheme="minorHAnsi" w:hAnsiTheme="minorHAnsi" w:cstheme="minorHAnsi"/>
          <w:color w:val="000000"/>
          <w:sz w:val="22"/>
          <w:szCs w:val="22"/>
        </w:rPr>
        <w:t>Em 31 de dezembro de 202</w:t>
      </w:r>
      <w:r w:rsidR="00886180">
        <w:rPr>
          <w:rFonts w:asciiTheme="minorHAnsi" w:hAnsiTheme="minorHAnsi" w:cstheme="minorHAnsi"/>
          <w:color w:val="000000"/>
          <w:sz w:val="22"/>
          <w:szCs w:val="22"/>
        </w:rPr>
        <w:t>5</w:t>
      </w:r>
      <w:r w:rsidRPr="0012132C">
        <w:rPr>
          <w:rFonts w:asciiTheme="minorHAnsi" w:hAnsiTheme="minorHAnsi" w:cstheme="minorHAnsi"/>
          <w:color w:val="000000"/>
          <w:sz w:val="22"/>
          <w:szCs w:val="22"/>
        </w:rPr>
        <w:t>, a</w:t>
      </w:r>
      <w:r w:rsidRPr="0012132C">
        <w:rPr>
          <w:rFonts w:asciiTheme="minorHAnsi" w:hAnsiTheme="minorHAnsi" w:cstheme="minorHAnsi"/>
          <w:bCs/>
          <w:sz w:val="22"/>
          <w:szCs w:val="22"/>
        </w:rPr>
        <w:t xml:space="preserve"> carteira de participações financeiras e de títulos da PARVALOREM é a seguinte:</w:t>
      </w:r>
      <w:r w:rsidR="0064743F">
        <w:rPr>
          <w:rFonts w:asciiTheme="minorHAnsi" w:hAnsiTheme="minorHAnsi" w:cstheme="minorHAnsi"/>
          <w:bCs/>
          <w:sz w:val="22"/>
          <w:szCs w:val="22"/>
        </w:rPr>
        <w:t xml:space="preserve"> </w:t>
      </w:r>
    </w:p>
    <w:p w14:paraId="53D4AD14" w14:textId="77777777" w:rsidR="00A94122" w:rsidRDefault="00A94122" w:rsidP="00810646">
      <w:pPr>
        <w:jc w:val="both"/>
        <w:rPr>
          <w:rFonts w:asciiTheme="minorHAnsi" w:hAnsiTheme="minorHAnsi" w:cstheme="minorHAnsi"/>
          <w:bCs/>
          <w:sz w:val="22"/>
          <w:szCs w:val="22"/>
        </w:rPr>
      </w:pPr>
    </w:p>
    <w:tbl>
      <w:tblPr>
        <w:tblW w:w="8505" w:type="dxa"/>
        <w:tblCellMar>
          <w:left w:w="70" w:type="dxa"/>
          <w:right w:w="70" w:type="dxa"/>
        </w:tblCellMar>
        <w:tblLook w:val="04A0" w:firstRow="1" w:lastRow="0" w:firstColumn="1" w:lastColumn="0" w:noHBand="0" w:noVBand="1"/>
      </w:tblPr>
      <w:tblGrid>
        <w:gridCol w:w="6212"/>
        <w:gridCol w:w="1164"/>
        <w:gridCol w:w="1129"/>
      </w:tblGrid>
      <w:tr w:rsidR="00A94122" w14:paraId="71952FA5" w14:textId="77777777" w:rsidTr="000A7332">
        <w:trPr>
          <w:trHeight w:val="276"/>
          <w:tblHeader/>
        </w:trPr>
        <w:tc>
          <w:tcPr>
            <w:tcW w:w="8505" w:type="dxa"/>
            <w:gridSpan w:val="3"/>
            <w:tcBorders>
              <w:top w:val="nil"/>
              <w:left w:val="nil"/>
              <w:bottom w:val="nil"/>
              <w:right w:val="nil"/>
            </w:tcBorders>
            <w:noWrap/>
          </w:tcPr>
          <w:p w14:paraId="0A942D29" w14:textId="35C88927" w:rsidR="00A94122" w:rsidRDefault="00A94122" w:rsidP="00351BC7">
            <w:pPr>
              <w:jc w:val="right"/>
              <w:rPr>
                <w:sz w:val="20"/>
                <w:szCs w:val="20"/>
              </w:rPr>
            </w:pPr>
            <w:r w:rsidRPr="00DD0D53">
              <w:rPr>
                <w:rFonts w:asciiTheme="minorHAnsi" w:hAnsiTheme="minorHAnsi" w:cstheme="minorHAnsi"/>
                <w:bCs/>
                <w:sz w:val="16"/>
                <w:szCs w:val="16"/>
              </w:rPr>
              <w:t>Milhares de Euros</w:t>
            </w:r>
          </w:p>
        </w:tc>
      </w:tr>
      <w:tr w:rsidR="0064743F" w14:paraId="7B31FDBC" w14:textId="77777777" w:rsidTr="00690AB0">
        <w:trPr>
          <w:trHeight w:val="588"/>
          <w:tblHeader/>
        </w:trPr>
        <w:tc>
          <w:tcPr>
            <w:tcW w:w="6212" w:type="dxa"/>
            <w:tcBorders>
              <w:top w:val="single" w:sz="4" w:space="0" w:color="FFFFFF"/>
              <w:left w:val="single" w:sz="4" w:space="0" w:color="FFFFFF"/>
              <w:bottom w:val="single" w:sz="4" w:space="0" w:color="FFFFFF"/>
              <w:right w:val="single" w:sz="4" w:space="0" w:color="FFFFFF"/>
            </w:tcBorders>
            <w:shd w:val="clear" w:color="000000" w:fill="8EA9DB"/>
            <w:noWrap/>
            <w:vAlign w:val="center"/>
            <w:hideMark/>
          </w:tcPr>
          <w:p w14:paraId="0351BE29" w14:textId="77777777" w:rsidR="0064743F" w:rsidRDefault="0064743F">
            <w:pPr>
              <w:jc w:val="center"/>
              <w:rPr>
                <w:rFonts w:ascii="Calibri" w:hAnsi="Calibri" w:cs="Calibri"/>
                <w:b/>
                <w:bCs/>
                <w:sz w:val="20"/>
                <w:szCs w:val="20"/>
              </w:rPr>
            </w:pPr>
            <w:r>
              <w:rPr>
                <w:rFonts w:ascii="Calibri" w:hAnsi="Calibri" w:cs="Calibri"/>
                <w:b/>
                <w:bCs/>
                <w:sz w:val="20"/>
                <w:szCs w:val="20"/>
              </w:rPr>
              <w:t>Entidade</w:t>
            </w:r>
          </w:p>
        </w:tc>
        <w:tc>
          <w:tcPr>
            <w:tcW w:w="1164" w:type="dxa"/>
            <w:tcBorders>
              <w:top w:val="single" w:sz="4" w:space="0" w:color="FFFFFF"/>
              <w:left w:val="nil"/>
              <w:bottom w:val="single" w:sz="4" w:space="0" w:color="FFFFFF"/>
              <w:right w:val="single" w:sz="4" w:space="0" w:color="FFFFFF"/>
            </w:tcBorders>
            <w:shd w:val="clear" w:color="000000" w:fill="8EA9DB"/>
            <w:vAlign w:val="center"/>
            <w:hideMark/>
          </w:tcPr>
          <w:p w14:paraId="71F8F00D" w14:textId="77777777" w:rsidR="0064743F" w:rsidRDefault="0064743F">
            <w:pPr>
              <w:jc w:val="center"/>
              <w:rPr>
                <w:rFonts w:ascii="Calibri" w:hAnsi="Calibri" w:cs="Calibri"/>
                <w:b/>
                <w:bCs/>
                <w:sz w:val="20"/>
                <w:szCs w:val="20"/>
              </w:rPr>
            </w:pPr>
            <w:r>
              <w:rPr>
                <w:rFonts w:ascii="Calibri" w:hAnsi="Calibri" w:cs="Calibri"/>
                <w:b/>
                <w:bCs/>
                <w:sz w:val="20"/>
                <w:szCs w:val="20"/>
              </w:rPr>
              <w:t>Participação Detida</w:t>
            </w:r>
          </w:p>
        </w:tc>
        <w:tc>
          <w:tcPr>
            <w:tcW w:w="1129" w:type="dxa"/>
            <w:tcBorders>
              <w:top w:val="single" w:sz="4" w:space="0" w:color="FFFFFF"/>
              <w:left w:val="nil"/>
              <w:bottom w:val="single" w:sz="4" w:space="0" w:color="FFFFFF"/>
              <w:right w:val="single" w:sz="4" w:space="0" w:color="FFFFFF"/>
            </w:tcBorders>
            <w:shd w:val="clear" w:color="000000" w:fill="8EA9DB"/>
            <w:vAlign w:val="center"/>
            <w:hideMark/>
          </w:tcPr>
          <w:p w14:paraId="761E15A9" w14:textId="77777777" w:rsidR="0064743F" w:rsidRDefault="0064743F">
            <w:pPr>
              <w:jc w:val="center"/>
              <w:rPr>
                <w:rFonts w:ascii="Calibri" w:hAnsi="Calibri" w:cs="Calibri"/>
                <w:b/>
                <w:bCs/>
                <w:sz w:val="20"/>
                <w:szCs w:val="20"/>
              </w:rPr>
            </w:pPr>
            <w:r>
              <w:rPr>
                <w:rFonts w:ascii="Calibri" w:hAnsi="Calibri" w:cs="Calibri"/>
                <w:b/>
                <w:bCs/>
                <w:sz w:val="20"/>
                <w:szCs w:val="20"/>
              </w:rPr>
              <w:t>Valor de Balanço</w:t>
            </w:r>
          </w:p>
        </w:tc>
      </w:tr>
      <w:tr w:rsidR="0064743F" w:rsidRPr="0064743F" w14:paraId="1F5FEBB9" w14:textId="77777777" w:rsidTr="00690AB0">
        <w:trPr>
          <w:trHeight w:hRule="exact" w:val="255"/>
        </w:trPr>
        <w:tc>
          <w:tcPr>
            <w:tcW w:w="6212" w:type="dxa"/>
            <w:tcBorders>
              <w:top w:val="nil"/>
              <w:left w:val="single" w:sz="8" w:space="0" w:color="FFFFFF"/>
              <w:bottom w:val="single" w:sz="8" w:space="0" w:color="FFFFFF"/>
              <w:right w:val="single" w:sz="8" w:space="0" w:color="FFFFFF"/>
            </w:tcBorders>
            <w:shd w:val="clear" w:color="000000" w:fill="D9E2F3"/>
            <w:noWrap/>
            <w:vAlign w:val="center"/>
            <w:hideMark/>
          </w:tcPr>
          <w:p w14:paraId="47E0138D" w14:textId="4577C269" w:rsidR="0064743F" w:rsidRPr="0064743F" w:rsidRDefault="0064743F">
            <w:pPr>
              <w:rPr>
                <w:rFonts w:ascii="Calibri" w:hAnsi="Calibri" w:cs="Calibri"/>
                <w:b/>
                <w:bCs/>
                <w:color w:val="000000"/>
                <w:sz w:val="18"/>
                <w:szCs w:val="18"/>
              </w:rPr>
            </w:pPr>
            <w:r w:rsidRPr="0064743F">
              <w:rPr>
                <w:rFonts w:ascii="Calibri" w:hAnsi="Calibri" w:cs="Calibri"/>
                <w:b/>
                <w:bCs/>
                <w:color w:val="000000"/>
                <w:sz w:val="18"/>
                <w:szCs w:val="18"/>
              </w:rPr>
              <w:t>Participações sociais</w:t>
            </w:r>
          </w:p>
        </w:tc>
        <w:tc>
          <w:tcPr>
            <w:tcW w:w="1164" w:type="dxa"/>
            <w:tcBorders>
              <w:top w:val="nil"/>
              <w:left w:val="nil"/>
              <w:bottom w:val="single" w:sz="8" w:space="0" w:color="FFFFFF"/>
              <w:right w:val="single" w:sz="8" w:space="0" w:color="FFFFFF"/>
            </w:tcBorders>
            <w:shd w:val="clear" w:color="000000" w:fill="D9E2F3"/>
            <w:noWrap/>
            <w:vAlign w:val="center"/>
            <w:hideMark/>
          </w:tcPr>
          <w:p w14:paraId="7A5AE49B" w14:textId="77777777" w:rsidR="0064743F" w:rsidRPr="0064743F" w:rsidRDefault="0064743F">
            <w:pPr>
              <w:jc w:val="center"/>
              <w:rPr>
                <w:rFonts w:ascii="Calibri" w:hAnsi="Calibri" w:cs="Calibri"/>
                <w:b/>
                <w:bCs/>
                <w:color w:val="000000"/>
                <w:sz w:val="18"/>
                <w:szCs w:val="18"/>
              </w:rPr>
            </w:pPr>
            <w:r w:rsidRPr="0064743F">
              <w:rPr>
                <w:rFonts w:ascii="Calibri" w:hAnsi="Calibri" w:cs="Calibri"/>
                <w:b/>
                <w:bCs/>
                <w:color w:val="000000"/>
                <w:sz w:val="18"/>
                <w:szCs w:val="18"/>
              </w:rPr>
              <w:t> </w:t>
            </w:r>
          </w:p>
        </w:tc>
        <w:tc>
          <w:tcPr>
            <w:tcW w:w="1129" w:type="dxa"/>
            <w:tcBorders>
              <w:top w:val="nil"/>
              <w:left w:val="nil"/>
              <w:bottom w:val="single" w:sz="8" w:space="0" w:color="FFFFFF"/>
              <w:right w:val="single" w:sz="8" w:space="0" w:color="FFFFFF"/>
            </w:tcBorders>
            <w:shd w:val="clear" w:color="000000" w:fill="D9E2F3"/>
            <w:noWrap/>
            <w:vAlign w:val="center"/>
            <w:hideMark/>
          </w:tcPr>
          <w:p w14:paraId="0C010D17" w14:textId="77777777" w:rsidR="0064743F" w:rsidRPr="0064743F" w:rsidRDefault="0064743F">
            <w:pPr>
              <w:jc w:val="right"/>
              <w:rPr>
                <w:rFonts w:ascii="Calibri" w:hAnsi="Calibri" w:cs="Calibri"/>
                <w:b/>
                <w:bCs/>
                <w:color w:val="000000"/>
                <w:sz w:val="18"/>
                <w:szCs w:val="18"/>
              </w:rPr>
            </w:pPr>
            <w:r w:rsidRPr="0064743F">
              <w:rPr>
                <w:rFonts w:ascii="Calibri" w:hAnsi="Calibri" w:cs="Calibri"/>
                <w:b/>
                <w:bCs/>
                <w:color w:val="000000"/>
                <w:sz w:val="18"/>
                <w:szCs w:val="18"/>
              </w:rPr>
              <w:t> </w:t>
            </w:r>
          </w:p>
        </w:tc>
      </w:tr>
      <w:tr w:rsidR="0064743F" w:rsidRPr="00D13694" w14:paraId="0171A110" w14:textId="77777777" w:rsidTr="00690AB0">
        <w:trPr>
          <w:trHeight w:hRule="exact" w:val="255"/>
        </w:trPr>
        <w:tc>
          <w:tcPr>
            <w:tcW w:w="6212" w:type="dxa"/>
            <w:tcBorders>
              <w:top w:val="nil"/>
              <w:left w:val="single" w:sz="8" w:space="0" w:color="FFFFFF"/>
              <w:bottom w:val="single" w:sz="8" w:space="0" w:color="FFFFFF"/>
              <w:right w:val="single" w:sz="8" w:space="0" w:color="FFFFFF"/>
            </w:tcBorders>
            <w:shd w:val="clear" w:color="000000" w:fill="D9E2F3"/>
            <w:noWrap/>
            <w:vAlign w:val="center"/>
            <w:hideMark/>
          </w:tcPr>
          <w:p w14:paraId="3DE2CCCF" w14:textId="77777777" w:rsidR="0064743F" w:rsidRDefault="0064743F">
            <w:pPr>
              <w:ind w:firstLineChars="100" w:firstLine="180"/>
              <w:rPr>
                <w:rFonts w:ascii="Calibri" w:hAnsi="Calibri" w:cs="Calibri"/>
                <w:color w:val="000000"/>
                <w:sz w:val="18"/>
                <w:szCs w:val="18"/>
              </w:rPr>
            </w:pPr>
            <w:r>
              <w:rPr>
                <w:rFonts w:ascii="Calibri" w:hAnsi="Calibri" w:cs="Calibri"/>
                <w:color w:val="000000"/>
                <w:sz w:val="18"/>
                <w:szCs w:val="18"/>
              </w:rPr>
              <w:t>Imofundos, SGOIC, S.A.</w:t>
            </w:r>
          </w:p>
        </w:tc>
        <w:tc>
          <w:tcPr>
            <w:tcW w:w="1164" w:type="dxa"/>
            <w:tcBorders>
              <w:top w:val="nil"/>
              <w:left w:val="nil"/>
              <w:bottom w:val="single" w:sz="8" w:space="0" w:color="FFFFFF"/>
              <w:right w:val="single" w:sz="8" w:space="0" w:color="FFFFFF"/>
            </w:tcBorders>
            <w:shd w:val="clear" w:color="000000" w:fill="D9E2F3"/>
            <w:noWrap/>
            <w:vAlign w:val="center"/>
            <w:hideMark/>
          </w:tcPr>
          <w:p w14:paraId="40D7E84E" w14:textId="77777777" w:rsidR="0064743F" w:rsidRDefault="0064743F">
            <w:pPr>
              <w:jc w:val="center"/>
              <w:rPr>
                <w:rFonts w:ascii="Calibri" w:hAnsi="Calibri" w:cs="Calibri"/>
                <w:color w:val="000000"/>
                <w:sz w:val="18"/>
                <w:szCs w:val="18"/>
              </w:rPr>
            </w:pPr>
            <w:r>
              <w:rPr>
                <w:rFonts w:ascii="Calibri" w:hAnsi="Calibri" w:cs="Calibri"/>
                <w:color w:val="000000"/>
                <w:sz w:val="18"/>
                <w:szCs w:val="18"/>
              </w:rPr>
              <w:t>100,00%</w:t>
            </w:r>
          </w:p>
        </w:tc>
        <w:tc>
          <w:tcPr>
            <w:tcW w:w="1129" w:type="dxa"/>
            <w:tcBorders>
              <w:top w:val="nil"/>
              <w:left w:val="nil"/>
              <w:bottom w:val="single" w:sz="8" w:space="0" w:color="FFFFFF"/>
              <w:right w:val="single" w:sz="8" w:space="0" w:color="FFFFFF"/>
            </w:tcBorders>
            <w:shd w:val="clear" w:color="000000" w:fill="D9E2F3"/>
            <w:noWrap/>
            <w:vAlign w:val="center"/>
            <w:hideMark/>
          </w:tcPr>
          <w:p w14:paraId="35F7E0A3" w14:textId="4D1BF41F" w:rsidR="0064743F" w:rsidRPr="00D13694" w:rsidRDefault="000F50DD">
            <w:pPr>
              <w:jc w:val="right"/>
              <w:rPr>
                <w:rFonts w:ascii="Calibri" w:hAnsi="Calibri" w:cs="Calibri"/>
                <w:color w:val="000000"/>
                <w:sz w:val="18"/>
                <w:szCs w:val="18"/>
              </w:rPr>
            </w:pPr>
            <w:r w:rsidRPr="00D13694">
              <w:rPr>
                <w:rFonts w:ascii="Calibri" w:hAnsi="Calibri" w:cs="Calibri"/>
                <w:color w:val="000000"/>
                <w:sz w:val="18"/>
                <w:szCs w:val="18"/>
              </w:rPr>
              <w:t xml:space="preserve"> </w:t>
            </w:r>
            <w:r w:rsidR="00D13694" w:rsidRPr="00D13694">
              <w:rPr>
                <w:rFonts w:ascii="Calibri" w:hAnsi="Calibri" w:cs="Calibri"/>
                <w:color w:val="000000"/>
                <w:sz w:val="18"/>
                <w:szCs w:val="18"/>
              </w:rPr>
              <w:t>2</w:t>
            </w:r>
            <w:r w:rsidRPr="00D13694">
              <w:rPr>
                <w:rFonts w:ascii="Calibri" w:hAnsi="Calibri" w:cs="Calibri"/>
                <w:color w:val="000000"/>
                <w:sz w:val="18"/>
                <w:szCs w:val="18"/>
              </w:rPr>
              <w:t xml:space="preserve"> </w:t>
            </w:r>
            <w:r w:rsidR="00D13694" w:rsidRPr="00D13694">
              <w:rPr>
                <w:rFonts w:ascii="Calibri" w:hAnsi="Calibri" w:cs="Calibri"/>
                <w:color w:val="000000"/>
                <w:sz w:val="18"/>
                <w:szCs w:val="18"/>
              </w:rPr>
              <w:t>398</w:t>
            </w:r>
          </w:p>
        </w:tc>
      </w:tr>
      <w:tr w:rsidR="0064743F" w:rsidRPr="00D13694" w14:paraId="6608EE24" w14:textId="77777777" w:rsidTr="00690AB0">
        <w:trPr>
          <w:trHeight w:hRule="exact" w:val="255"/>
        </w:trPr>
        <w:tc>
          <w:tcPr>
            <w:tcW w:w="6212" w:type="dxa"/>
            <w:tcBorders>
              <w:top w:val="nil"/>
              <w:left w:val="single" w:sz="8" w:space="0" w:color="FFFFFF"/>
              <w:bottom w:val="single" w:sz="8" w:space="0" w:color="FFFFFF"/>
              <w:right w:val="single" w:sz="8" w:space="0" w:color="FFFFFF"/>
            </w:tcBorders>
            <w:shd w:val="clear" w:color="000000" w:fill="D9E2F3"/>
            <w:noWrap/>
            <w:vAlign w:val="center"/>
            <w:hideMark/>
          </w:tcPr>
          <w:p w14:paraId="52095728" w14:textId="694A2111" w:rsidR="0064743F" w:rsidRDefault="0064743F">
            <w:pPr>
              <w:ind w:firstLineChars="100" w:firstLine="180"/>
              <w:rPr>
                <w:rFonts w:ascii="Calibri" w:hAnsi="Calibri" w:cs="Calibri"/>
                <w:color w:val="000000"/>
                <w:sz w:val="18"/>
                <w:szCs w:val="18"/>
              </w:rPr>
            </w:pPr>
            <w:proofErr w:type="spellStart"/>
            <w:r>
              <w:rPr>
                <w:rFonts w:ascii="Calibri" w:hAnsi="Calibri" w:cs="Calibri"/>
                <w:color w:val="000000"/>
                <w:sz w:val="18"/>
                <w:szCs w:val="18"/>
              </w:rPr>
              <w:t>Nexponor</w:t>
            </w:r>
            <w:proofErr w:type="spellEnd"/>
            <w:r>
              <w:rPr>
                <w:rFonts w:ascii="Calibri" w:hAnsi="Calibri" w:cs="Calibri"/>
                <w:color w:val="000000"/>
                <w:sz w:val="18"/>
                <w:szCs w:val="18"/>
              </w:rPr>
              <w:t>, S.A.</w:t>
            </w:r>
            <w:r w:rsidR="00434840">
              <w:rPr>
                <w:rFonts w:ascii="Calibri" w:hAnsi="Calibri" w:cs="Calibri"/>
                <w:color w:val="000000"/>
                <w:sz w:val="18"/>
                <w:szCs w:val="18"/>
              </w:rPr>
              <w:t xml:space="preserve"> </w:t>
            </w:r>
            <w:r w:rsidR="008A2AD0">
              <w:rPr>
                <w:rFonts w:ascii="Calibri" w:hAnsi="Calibri" w:cs="Calibri"/>
                <w:color w:val="000000"/>
                <w:sz w:val="18"/>
                <w:szCs w:val="18"/>
              </w:rPr>
              <w:t>- E</w:t>
            </w:r>
            <w:r w:rsidR="00434840">
              <w:rPr>
                <w:rFonts w:ascii="Calibri" w:hAnsi="Calibri" w:cs="Calibri"/>
                <w:color w:val="000000"/>
                <w:sz w:val="18"/>
                <w:szCs w:val="18"/>
              </w:rPr>
              <w:t>m liquidação</w:t>
            </w:r>
          </w:p>
        </w:tc>
        <w:tc>
          <w:tcPr>
            <w:tcW w:w="1164" w:type="dxa"/>
            <w:tcBorders>
              <w:top w:val="nil"/>
              <w:left w:val="nil"/>
              <w:bottom w:val="single" w:sz="8" w:space="0" w:color="FFFFFF"/>
              <w:right w:val="single" w:sz="8" w:space="0" w:color="FFFFFF"/>
            </w:tcBorders>
            <w:shd w:val="clear" w:color="000000" w:fill="D9E2F3"/>
            <w:noWrap/>
            <w:vAlign w:val="center"/>
            <w:hideMark/>
          </w:tcPr>
          <w:p w14:paraId="4B6181FB" w14:textId="77777777" w:rsidR="0064743F" w:rsidRDefault="0064743F">
            <w:pPr>
              <w:jc w:val="center"/>
              <w:rPr>
                <w:rFonts w:ascii="Calibri" w:hAnsi="Calibri" w:cs="Calibri"/>
                <w:color w:val="000000"/>
                <w:sz w:val="18"/>
                <w:szCs w:val="18"/>
              </w:rPr>
            </w:pPr>
            <w:r>
              <w:rPr>
                <w:rFonts w:ascii="Calibri" w:hAnsi="Calibri" w:cs="Calibri"/>
                <w:color w:val="000000"/>
                <w:sz w:val="18"/>
                <w:szCs w:val="18"/>
              </w:rPr>
              <w:t>17,12%</w:t>
            </w:r>
          </w:p>
        </w:tc>
        <w:tc>
          <w:tcPr>
            <w:tcW w:w="1129" w:type="dxa"/>
            <w:tcBorders>
              <w:top w:val="nil"/>
              <w:left w:val="nil"/>
              <w:bottom w:val="single" w:sz="8" w:space="0" w:color="FFFFFF"/>
              <w:right w:val="single" w:sz="8" w:space="0" w:color="FFFFFF"/>
            </w:tcBorders>
            <w:shd w:val="clear" w:color="auto" w:fill="D9E2F3"/>
            <w:noWrap/>
            <w:vAlign w:val="center"/>
            <w:hideMark/>
          </w:tcPr>
          <w:p w14:paraId="76C45BF6" w14:textId="2D7A758A" w:rsidR="0064743F" w:rsidRPr="00D13694" w:rsidRDefault="00D13694">
            <w:pPr>
              <w:jc w:val="right"/>
              <w:rPr>
                <w:rFonts w:ascii="Calibri" w:hAnsi="Calibri" w:cs="Calibri"/>
                <w:color w:val="000000"/>
                <w:sz w:val="18"/>
                <w:szCs w:val="18"/>
              </w:rPr>
            </w:pPr>
            <w:r w:rsidRPr="00D13694">
              <w:rPr>
                <w:rFonts w:ascii="Calibri" w:hAnsi="Calibri" w:cs="Calibri"/>
                <w:color w:val="000000"/>
                <w:sz w:val="18"/>
                <w:szCs w:val="18"/>
              </w:rPr>
              <w:t>4</w:t>
            </w:r>
            <w:r w:rsidR="000F50DD" w:rsidRPr="00D13694">
              <w:rPr>
                <w:rFonts w:ascii="Calibri" w:hAnsi="Calibri" w:cs="Calibri"/>
                <w:color w:val="000000"/>
                <w:sz w:val="18"/>
                <w:szCs w:val="18"/>
              </w:rPr>
              <w:t xml:space="preserve"> </w:t>
            </w:r>
            <w:r w:rsidRPr="00D13694">
              <w:rPr>
                <w:rFonts w:ascii="Calibri" w:hAnsi="Calibri" w:cs="Calibri"/>
                <w:color w:val="000000"/>
                <w:sz w:val="18"/>
                <w:szCs w:val="18"/>
              </w:rPr>
              <w:t>519</w:t>
            </w:r>
          </w:p>
        </w:tc>
      </w:tr>
      <w:tr w:rsidR="00F954CA" w:rsidRPr="00D13694" w14:paraId="3F9429F8" w14:textId="77777777" w:rsidTr="00690AB0">
        <w:trPr>
          <w:trHeight w:hRule="exact" w:val="255"/>
        </w:trPr>
        <w:tc>
          <w:tcPr>
            <w:tcW w:w="6212" w:type="dxa"/>
            <w:tcBorders>
              <w:top w:val="nil"/>
              <w:left w:val="single" w:sz="8" w:space="0" w:color="FFFFFF"/>
              <w:bottom w:val="single" w:sz="8" w:space="0" w:color="FFFFFF"/>
              <w:right w:val="single" w:sz="8" w:space="0" w:color="FFFFFF"/>
            </w:tcBorders>
            <w:shd w:val="clear" w:color="000000" w:fill="D9E2F3"/>
            <w:noWrap/>
            <w:vAlign w:val="center"/>
            <w:hideMark/>
          </w:tcPr>
          <w:p w14:paraId="2E2FBF8B" w14:textId="77777777" w:rsidR="00F954CA" w:rsidRDefault="00F954CA" w:rsidP="00C54605">
            <w:pPr>
              <w:ind w:firstLineChars="100" w:firstLine="180"/>
              <w:rPr>
                <w:rFonts w:ascii="Calibri" w:hAnsi="Calibri" w:cs="Calibri"/>
                <w:color w:val="000000"/>
                <w:sz w:val="18"/>
                <w:szCs w:val="18"/>
              </w:rPr>
            </w:pPr>
            <w:proofErr w:type="spellStart"/>
            <w:r>
              <w:rPr>
                <w:rFonts w:ascii="Calibri" w:hAnsi="Calibri" w:cs="Calibri"/>
                <w:color w:val="000000"/>
                <w:sz w:val="18"/>
                <w:szCs w:val="18"/>
              </w:rPr>
              <w:t>Mindteck</w:t>
            </w:r>
            <w:proofErr w:type="spellEnd"/>
            <w:r>
              <w:rPr>
                <w:rFonts w:ascii="Calibri" w:hAnsi="Calibri" w:cs="Calibri"/>
                <w:color w:val="000000"/>
                <w:sz w:val="18"/>
                <w:szCs w:val="18"/>
              </w:rPr>
              <w:t> (India) </w:t>
            </w:r>
            <w:proofErr w:type="spellStart"/>
            <w:r>
              <w:rPr>
                <w:rFonts w:ascii="Calibri" w:hAnsi="Calibri" w:cs="Calibri"/>
                <w:color w:val="000000"/>
                <w:sz w:val="18"/>
                <w:szCs w:val="18"/>
              </w:rPr>
              <w:t>Limited</w:t>
            </w:r>
            <w:proofErr w:type="spellEnd"/>
          </w:p>
        </w:tc>
        <w:tc>
          <w:tcPr>
            <w:tcW w:w="1164" w:type="dxa"/>
            <w:tcBorders>
              <w:top w:val="nil"/>
              <w:left w:val="nil"/>
              <w:bottom w:val="single" w:sz="8" w:space="0" w:color="FFFFFF"/>
              <w:right w:val="single" w:sz="8" w:space="0" w:color="FFFFFF"/>
            </w:tcBorders>
            <w:shd w:val="clear" w:color="000000" w:fill="D9E2F3"/>
            <w:noWrap/>
            <w:vAlign w:val="center"/>
            <w:hideMark/>
          </w:tcPr>
          <w:p w14:paraId="78D3F443" w14:textId="1CB3B52C" w:rsidR="00F954CA" w:rsidRDefault="00F954CA" w:rsidP="00C54605">
            <w:pPr>
              <w:jc w:val="center"/>
              <w:rPr>
                <w:rFonts w:ascii="Calibri" w:hAnsi="Calibri" w:cs="Calibri"/>
                <w:color w:val="000000"/>
                <w:sz w:val="18"/>
                <w:szCs w:val="18"/>
              </w:rPr>
            </w:pPr>
            <w:r w:rsidRPr="0085291D">
              <w:rPr>
                <w:rFonts w:ascii="Calibri" w:hAnsi="Calibri" w:cs="Calibri"/>
                <w:color w:val="000000"/>
                <w:sz w:val="18"/>
                <w:szCs w:val="18"/>
              </w:rPr>
              <w:t>3%</w:t>
            </w:r>
          </w:p>
        </w:tc>
        <w:tc>
          <w:tcPr>
            <w:tcW w:w="1129" w:type="dxa"/>
            <w:tcBorders>
              <w:top w:val="nil"/>
              <w:left w:val="nil"/>
              <w:bottom w:val="single" w:sz="8" w:space="0" w:color="FFFFFF"/>
              <w:right w:val="single" w:sz="8" w:space="0" w:color="FFFFFF"/>
            </w:tcBorders>
            <w:shd w:val="clear" w:color="auto" w:fill="D9E2F3"/>
            <w:noWrap/>
            <w:vAlign w:val="center"/>
            <w:hideMark/>
          </w:tcPr>
          <w:p w14:paraId="764E9417" w14:textId="061E75AE" w:rsidR="00F954CA" w:rsidRPr="00D13694" w:rsidRDefault="002A7D6C" w:rsidP="00C54605">
            <w:pPr>
              <w:jc w:val="right"/>
              <w:rPr>
                <w:rFonts w:ascii="Calibri" w:hAnsi="Calibri" w:cs="Calibri"/>
                <w:color w:val="000000"/>
                <w:sz w:val="18"/>
                <w:szCs w:val="18"/>
              </w:rPr>
            </w:pPr>
            <w:r w:rsidRPr="00D13694">
              <w:rPr>
                <w:rFonts w:ascii="Calibri" w:hAnsi="Calibri" w:cs="Calibri"/>
                <w:color w:val="000000"/>
                <w:sz w:val="18"/>
                <w:szCs w:val="18"/>
              </w:rPr>
              <w:t>1</w:t>
            </w:r>
            <w:r w:rsidR="00F954CA" w:rsidRPr="00D13694">
              <w:rPr>
                <w:rFonts w:ascii="Calibri" w:hAnsi="Calibri" w:cs="Calibri"/>
                <w:color w:val="000000"/>
                <w:sz w:val="18"/>
                <w:szCs w:val="18"/>
              </w:rPr>
              <w:t xml:space="preserve"> </w:t>
            </w:r>
            <w:r w:rsidRPr="00D13694">
              <w:rPr>
                <w:rFonts w:ascii="Calibri" w:hAnsi="Calibri" w:cs="Calibri"/>
                <w:color w:val="000000"/>
                <w:sz w:val="18"/>
                <w:szCs w:val="18"/>
              </w:rPr>
              <w:t>937</w:t>
            </w:r>
          </w:p>
        </w:tc>
      </w:tr>
      <w:tr w:rsidR="00F954CA" w:rsidRPr="00D13694" w14:paraId="55675CA8" w14:textId="77777777" w:rsidTr="00690AB0">
        <w:trPr>
          <w:trHeight w:hRule="exact" w:val="255"/>
        </w:trPr>
        <w:tc>
          <w:tcPr>
            <w:tcW w:w="6212" w:type="dxa"/>
            <w:tcBorders>
              <w:top w:val="nil"/>
              <w:left w:val="single" w:sz="8" w:space="0" w:color="FFFFFF"/>
              <w:bottom w:val="single" w:sz="8" w:space="0" w:color="FFFFFF"/>
              <w:right w:val="single" w:sz="8" w:space="0" w:color="FFFFFF"/>
            </w:tcBorders>
            <w:shd w:val="clear" w:color="000000" w:fill="D9E2F3"/>
            <w:noWrap/>
            <w:vAlign w:val="center"/>
            <w:hideMark/>
          </w:tcPr>
          <w:p w14:paraId="321AF36D" w14:textId="77777777" w:rsidR="00F954CA" w:rsidRDefault="00F954CA" w:rsidP="00C54605">
            <w:pPr>
              <w:ind w:firstLineChars="100" w:firstLine="180"/>
              <w:rPr>
                <w:rFonts w:ascii="Calibri" w:hAnsi="Calibri" w:cs="Calibri"/>
                <w:color w:val="000000"/>
                <w:sz w:val="18"/>
                <w:szCs w:val="18"/>
              </w:rPr>
            </w:pPr>
            <w:proofErr w:type="spellStart"/>
            <w:r>
              <w:rPr>
                <w:rFonts w:ascii="Calibri" w:hAnsi="Calibri" w:cs="Calibri"/>
                <w:color w:val="000000"/>
                <w:sz w:val="18"/>
                <w:szCs w:val="18"/>
              </w:rPr>
              <w:t>Famigeste</w:t>
            </w:r>
            <w:proofErr w:type="spellEnd"/>
            <w:r>
              <w:rPr>
                <w:rFonts w:ascii="Calibri" w:hAnsi="Calibri" w:cs="Calibri"/>
                <w:color w:val="000000"/>
                <w:sz w:val="18"/>
                <w:szCs w:val="18"/>
              </w:rPr>
              <w:t>, SGPS, S.A.</w:t>
            </w:r>
          </w:p>
        </w:tc>
        <w:tc>
          <w:tcPr>
            <w:tcW w:w="1164" w:type="dxa"/>
            <w:tcBorders>
              <w:top w:val="nil"/>
              <w:left w:val="nil"/>
              <w:bottom w:val="single" w:sz="8" w:space="0" w:color="FFFFFF"/>
              <w:right w:val="single" w:sz="8" w:space="0" w:color="FFFFFF"/>
            </w:tcBorders>
            <w:shd w:val="clear" w:color="000000" w:fill="D9E2F3"/>
            <w:noWrap/>
            <w:vAlign w:val="center"/>
            <w:hideMark/>
          </w:tcPr>
          <w:p w14:paraId="4EF95864" w14:textId="76C9A93A" w:rsidR="00F954CA" w:rsidRDefault="00F954CA" w:rsidP="00C54605">
            <w:pPr>
              <w:jc w:val="center"/>
              <w:rPr>
                <w:rFonts w:ascii="Calibri" w:hAnsi="Calibri" w:cs="Calibri"/>
                <w:color w:val="000000"/>
                <w:sz w:val="18"/>
                <w:szCs w:val="18"/>
              </w:rPr>
            </w:pPr>
            <w:r>
              <w:rPr>
                <w:rFonts w:ascii="Calibri" w:hAnsi="Calibri" w:cs="Calibri"/>
                <w:color w:val="000000"/>
                <w:sz w:val="18"/>
                <w:szCs w:val="18"/>
              </w:rPr>
              <w:t>10%</w:t>
            </w:r>
          </w:p>
        </w:tc>
        <w:tc>
          <w:tcPr>
            <w:tcW w:w="1129" w:type="dxa"/>
            <w:tcBorders>
              <w:top w:val="nil"/>
              <w:left w:val="nil"/>
              <w:bottom w:val="single" w:sz="8" w:space="0" w:color="FFFFFF"/>
              <w:right w:val="single" w:sz="8" w:space="0" w:color="FFFFFF"/>
            </w:tcBorders>
            <w:shd w:val="clear" w:color="auto" w:fill="D9E2F3"/>
            <w:noWrap/>
            <w:vAlign w:val="center"/>
            <w:hideMark/>
          </w:tcPr>
          <w:p w14:paraId="4EC0CC38" w14:textId="0FE02324" w:rsidR="00F954CA" w:rsidRPr="00D13694" w:rsidRDefault="00F954CA" w:rsidP="00C54605">
            <w:pPr>
              <w:jc w:val="right"/>
              <w:rPr>
                <w:rFonts w:ascii="Calibri" w:hAnsi="Calibri" w:cs="Calibri"/>
                <w:color w:val="000000"/>
                <w:sz w:val="18"/>
                <w:szCs w:val="18"/>
              </w:rPr>
            </w:pPr>
            <w:r w:rsidRPr="00D13694">
              <w:rPr>
                <w:rFonts w:ascii="Calibri" w:hAnsi="Calibri" w:cs="Calibri"/>
                <w:color w:val="000000"/>
                <w:sz w:val="18"/>
                <w:szCs w:val="18"/>
              </w:rPr>
              <w:t>16</w:t>
            </w:r>
            <w:r w:rsidR="00A94122">
              <w:rPr>
                <w:rFonts w:ascii="Calibri" w:hAnsi="Calibri" w:cs="Calibri"/>
                <w:color w:val="000000"/>
                <w:sz w:val="18"/>
                <w:szCs w:val="18"/>
              </w:rPr>
              <w:t>1</w:t>
            </w:r>
          </w:p>
        </w:tc>
      </w:tr>
      <w:tr w:rsidR="00332A4B" w:rsidRPr="00D13694" w14:paraId="229620AD" w14:textId="77777777" w:rsidTr="00690AB0">
        <w:trPr>
          <w:trHeight w:hRule="exact" w:val="255"/>
        </w:trPr>
        <w:tc>
          <w:tcPr>
            <w:tcW w:w="6212" w:type="dxa"/>
            <w:tcBorders>
              <w:top w:val="nil"/>
              <w:left w:val="single" w:sz="8" w:space="0" w:color="FFFFFF"/>
              <w:bottom w:val="single" w:sz="8" w:space="0" w:color="FFFFFF"/>
              <w:right w:val="single" w:sz="8" w:space="0" w:color="FFFFFF"/>
            </w:tcBorders>
            <w:shd w:val="clear" w:color="000000" w:fill="D9E2F3"/>
            <w:noWrap/>
            <w:vAlign w:val="center"/>
            <w:hideMark/>
          </w:tcPr>
          <w:p w14:paraId="1DE53CCB" w14:textId="77777777" w:rsidR="00332A4B" w:rsidRPr="00586246" w:rsidRDefault="00332A4B" w:rsidP="00C54605">
            <w:pPr>
              <w:ind w:firstLineChars="100" w:firstLine="180"/>
              <w:rPr>
                <w:rFonts w:ascii="Calibri" w:hAnsi="Calibri" w:cs="Calibri"/>
                <w:color w:val="000000"/>
                <w:sz w:val="18"/>
                <w:szCs w:val="18"/>
                <w:lang w:val="en-GB"/>
              </w:rPr>
            </w:pPr>
            <w:r w:rsidRPr="00586246">
              <w:rPr>
                <w:rFonts w:ascii="Calibri" w:hAnsi="Calibri" w:cs="Calibri"/>
                <w:color w:val="000000"/>
                <w:sz w:val="18"/>
                <w:szCs w:val="18"/>
                <w:lang w:val="en-GB"/>
              </w:rPr>
              <w:t xml:space="preserve">Acacia Investments B.S.C. © </w:t>
            </w:r>
          </w:p>
        </w:tc>
        <w:tc>
          <w:tcPr>
            <w:tcW w:w="1164" w:type="dxa"/>
            <w:tcBorders>
              <w:top w:val="nil"/>
              <w:left w:val="nil"/>
              <w:bottom w:val="single" w:sz="8" w:space="0" w:color="FFFFFF"/>
              <w:right w:val="single" w:sz="8" w:space="0" w:color="FFFFFF"/>
            </w:tcBorders>
            <w:shd w:val="clear" w:color="000000" w:fill="D9E2F3"/>
            <w:noWrap/>
            <w:vAlign w:val="center"/>
            <w:hideMark/>
          </w:tcPr>
          <w:p w14:paraId="7E5A048B" w14:textId="77777777" w:rsidR="00332A4B" w:rsidRDefault="00332A4B" w:rsidP="00C54605">
            <w:pPr>
              <w:jc w:val="center"/>
              <w:rPr>
                <w:rFonts w:ascii="Calibri" w:hAnsi="Calibri" w:cs="Calibri"/>
                <w:color w:val="000000"/>
                <w:sz w:val="18"/>
                <w:szCs w:val="18"/>
              </w:rPr>
            </w:pPr>
            <w:r>
              <w:rPr>
                <w:rFonts w:ascii="Calibri" w:hAnsi="Calibri" w:cs="Calibri"/>
                <w:color w:val="000000"/>
                <w:sz w:val="18"/>
                <w:szCs w:val="18"/>
              </w:rPr>
              <w:t>1,65%</w:t>
            </w:r>
          </w:p>
        </w:tc>
        <w:tc>
          <w:tcPr>
            <w:tcW w:w="1129" w:type="dxa"/>
            <w:tcBorders>
              <w:top w:val="nil"/>
              <w:left w:val="nil"/>
              <w:bottom w:val="single" w:sz="8" w:space="0" w:color="FFFFFF"/>
              <w:right w:val="single" w:sz="8" w:space="0" w:color="FFFFFF"/>
            </w:tcBorders>
            <w:shd w:val="clear" w:color="000000" w:fill="D9E2F3"/>
            <w:noWrap/>
            <w:vAlign w:val="center"/>
            <w:hideMark/>
          </w:tcPr>
          <w:p w14:paraId="5E6D4FAA" w14:textId="784891E0" w:rsidR="00332A4B" w:rsidRPr="00D13694" w:rsidRDefault="00D13694" w:rsidP="00C54605">
            <w:pPr>
              <w:jc w:val="right"/>
              <w:rPr>
                <w:rFonts w:ascii="Calibri" w:hAnsi="Calibri" w:cs="Calibri"/>
                <w:color w:val="000000"/>
                <w:sz w:val="18"/>
                <w:szCs w:val="18"/>
              </w:rPr>
            </w:pPr>
            <w:r w:rsidRPr="00D13694">
              <w:rPr>
                <w:rFonts w:ascii="Calibri" w:hAnsi="Calibri" w:cs="Calibri"/>
                <w:color w:val="000000"/>
                <w:sz w:val="18"/>
                <w:szCs w:val="18"/>
              </w:rPr>
              <w:t>487</w:t>
            </w:r>
          </w:p>
        </w:tc>
      </w:tr>
      <w:tr w:rsidR="00332A4B" w:rsidRPr="00D13694" w14:paraId="33BEE4E4" w14:textId="77777777" w:rsidTr="00690AB0">
        <w:trPr>
          <w:trHeight w:hRule="exact" w:val="255"/>
        </w:trPr>
        <w:tc>
          <w:tcPr>
            <w:tcW w:w="6212" w:type="dxa"/>
            <w:tcBorders>
              <w:top w:val="nil"/>
              <w:left w:val="single" w:sz="8" w:space="0" w:color="FFFFFF"/>
              <w:bottom w:val="single" w:sz="8" w:space="0" w:color="FFFFFF"/>
              <w:right w:val="single" w:sz="8" w:space="0" w:color="FFFFFF"/>
            </w:tcBorders>
            <w:shd w:val="clear" w:color="000000" w:fill="D9E2F3"/>
            <w:noWrap/>
            <w:vAlign w:val="center"/>
            <w:hideMark/>
          </w:tcPr>
          <w:p w14:paraId="7470403F" w14:textId="1BEF144B" w:rsidR="00332A4B" w:rsidRDefault="00332A4B" w:rsidP="00C54605">
            <w:pPr>
              <w:ind w:firstLineChars="100" w:firstLine="180"/>
              <w:rPr>
                <w:rFonts w:ascii="Calibri" w:hAnsi="Calibri" w:cs="Calibri"/>
                <w:color w:val="000000"/>
                <w:sz w:val="18"/>
                <w:szCs w:val="18"/>
              </w:rPr>
            </w:pPr>
            <w:r>
              <w:rPr>
                <w:rFonts w:ascii="Calibri" w:hAnsi="Calibri" w:cs="Calibri"/>
                <w:color w:val="000000"/>
                <w:sz w:val="18"/>
                <w:szCs w:val="18"/>
              </w:rPr>
              <w:t>Moçambique Companhia de Seguros, S.A.</w:t>
            </w:r>
          </w:p>
        </w:tc>
        <w:tc>
          <w:tcPr>
            <w:tcW w:w="1164" w:type="dxa"/>
            <w:tcBorders>
              <w:top w:val="nil"/>
              <w:left w:val="nil"/>
              <w:bottom w:val="single" w:sz="8" w:space="0" w:color="FFFFFF"/>
              <w:right w:val="single" w:sz="8" w:space="0" w:color="FFFFFF"/>
            </w:tcBorders>
            <w:shd w:val="clear" w:color="000000" w:fill="D9E2F3"/>
            <w:noWrap/>
            <w:vAlign w:val="center"/>
            <w:hideMark/>
          </w:tcPr>
          <w:p w14:paraId="115DA1F5" w14:textId="77777777" w:rsidR="00332A4B" w:rsidRDefault="00332A4B" w:rsidP="00C54605">
            <w:pPr>
              <w:jc w:val="center"/>
              <w:rPr>
                <w:rFonts w:ascii="Calibri" w:hAnsi="Calibri" w:cs="Calibri"/>
                <w:color w:val="000000"/>
                <w:sz w:val="18"/>
                <w:szCs w:val="18"/>
              </w:rPr>
            </w:pPr>
            <w:r>
              <w:rPr>
                <w:rFonts w:ascii="Calibri" w:hAnsi="Calibri" w:cs="Calibri"/>
                <w:color w:val="000000"/>
                <w:sz w:val="18"/>
                <w:szCs w:val="18"/>
              </w:rPr>
              <w:t>0,89%</w:t>
            </w:r>
          </w:p>
        </w:tc>
        <w:tc>
          <w:tcPr>
            <w:tcW w:w="1129" w:type="dxa"/>
            <w:tcBorders>
              <w:top w:val="nil"/>
              <w:left w:val="nil"/>
              <w:bottom w:val="single" w:sz="8" w:space="0" w:color="FFFFFF"/>
              <w:right w:val="single" w:sz="8" w:space="0" w:color="FFFFFF"/>
            </w:tcBorders>
            <w:shd w:val="clear" w:color="auto" w:fill="D9E2F3"/>
            <w:noWrap/>
            <w:vAlign w:val="center"/>
            <w:hideMark/>
          </w:tcPr>
          <w:p w14:paraId="501AEB3A" w14:textId="24B0E7D5" w:rsidR="00332A4B" w:rsidRPr="00D13694" w:rsidRDefault="00D13694" w:rsidP="00C54605">
            <w:pPr>
              <w:jc w:val="right"/>
              <w:rPr>
                <w:rFonts w:ascii="Calibri" w:hAnsi="Calibri" w:cs="Calibri"/>
                <w:color w:val="000000"/>
                <w:sz w:val="18"/>
                <w:szCs w:val="18"/>
              </w:rPr>
            </w:pPr>
            <w:r w:rsidRPr="00D13694">
              <w:rPr>
                <w:rFonts w:ascii="Calibri" w:hAnsi="Calibri" w:cs="Calibri"/>
                <w:color w:val="000000"/>
                <w:sz w:val="18"/>
                <w:szCs w:val="18"/>
              </w:rPr>
              <w:t>2</w:t>
            </w:r>
            <w:r w:rsidR="005D42D5">
              <w:rPr>
                <w:rFonts w:ascii="Calibri" w:hAnsi="Calibri" w:cs="Calibri"/>
                <w:color w:val="000000"/>
                <w:sz w:val="18"/>
                <w:szCs w:val="18"/>
              </w:rPr>
              <w:t>8</w:t>
            </w:r>
          </w:p>
        </w:tc>
      </w:tr>
      <w:tr w:rsidR="00332A4B" w:rsidRPr="00D13694" w14:paraId="7CD5A732" w14:textId="77777777" w:rsidTr="00690AB0">
        <w:trPr>
          <w:trHeight w:hRule="exact" w:val="255"/>
        </w:trPr>
        <w:tc>
          <w:tcPr>
            <w:tcW w:w="6212" w:type="dxa"/>
            <w:tcBorders>
              <w:top w:val="nil"/>
              <w:left w:val="single" w:sz="8" w:space="0" w:color="FFFFFF"/>
              <w:bottom w:val="single" w:sz="8" w:space="0" w:color="FFFFFF"/>
              <w:right w:val="single" w:sz="8" w:space="0" w:color="FFFFFF"/>
            </w:tcBorders>
            <w:shd w:val="clear" w:color="000000" w:fill="D9E2F3"/>
            <w:noWrap/>
            <w:vAlign w:val="center"/>
            <w:hideMark/>
          </w:tcPr>
          <w:p w14:paraId="3D5FC9FB" w14:textId="77777777" w:rsidR="00332A4B" w:rsidRDefault="00332A4B" w:rsidP="00C54605">
            <w:pPr>
              <w:ind w:firstLineChars="100" w:firstLine="180"/>
              <w:rPr>
                <w:rFonts w:ascii="Calibri" w:hAnsi="Calibri" w:cs="Calibri"/>
                <w:color w:val="000000"/>
                <w:sz w:val="18"/>
                <w:szCs w:val="18"/>
              </w:rPr>
            </w:pPr>
            <w:r>
              <w:rPr>
                <w:rFonts w:ascii="Calibri" w:hAnsi="Calibri" w:cs="Calibri"/>
                <w:color w:val="000000"/>
                <w:sz w:val="18"/>
                <w:szCs w:val="18"/>
              </w:rPr>
              <w:t>INEGI - Instituto de Ciência e Inovação em Engenharia Mecânica e Engenharia Industrial</w:t>
            </w:r>
          </w:p>
        </w:tc>
        <w:tc>
          <w:tcPr>
            <w:tcW w:w="1164" w:type="dxa"/>
            <w:tcBorders>
              <w:top w:val="nil"/>
              <w:left w:val="nil"/>
              <w:bottom w:val="single" w:sz="8" w:space="0" w:color="FFFFFF"/>
              <w:right w:val="single" w:sz="8" w:space="0" w:color="FFFFFF"/>
            </w:tcBorders>
            <w:shd w:val="clear" w:color="000000" w:fill="D9E2F3"/>
            <w:noWrap/>
            <w:vAlign w:val="center"/>
            <w:hideMark/>
          </w:tcPr>
          <w:p w14:paraId="1ED48325" w14:textId="77777777" w:rsidR="00332A4B" w:rsidRDefault="00332A4B" w:rsidP="00C54605">
            <w:pPr>
              <w:jc w:val="center"/>
              <w:rPr>
                <w:rFonts w:ascii="Calibri" w:hAnsi="Calibri" w:cs="Calibri"/>
                <w:color w:val="000000"/>
                <w:sz w:val="18"/>
                <w:szCs w:val="18"/>
              </w:rPr>
            </w:pPr>
            <w:r>
              <w:rPr>
                <w:rFonts w:ascii="Calibri" w:hAnsi="Calibri" w:cs="Calibri"/>
                <w:color w:val="000000"/>
                <w:sz w:val="18"/>
                <w:szCs w:val="18"/>
              </w:rPr>
              <w:t>2,75%</w:t>
            </w:r>
          </w:p>
        </w:tc>
        <w:tc>
          <w:tcPr>
            <w:tcW w:w="1129" w:type="dxa"/>
            <w:tcBorders>
              <w:top w:val="nil"/>
              <w:left w:val="nil"/>
              <w:bottom w:val="single" w:sz="8" w:space="0" w:color="FFFFFF"/>
              <w:right w:val="single" w:sz="8" w:space="0" w:color="FFFFFF"/>
            </w:tcBorders>
            <w:shd w:val="clear" w:color="auto" w:fill="D9E2F3"/>
            <w:noWrap/>
            <w:vAlign w:val="center"/>
            <w:hideMark/>
          </w:tcPr>
          <w:p w14:paraId="59B7D790" w14:textId="31BAA25B" w:rsidR="00332A4B" w:rsidRPr="00D13694" w:rsidRDefault="00332A4B" w:rsidP="00C54605">
            <w:pPr>
              <w:jc w:val="right"/>
              <w:rPr>
                <w:rFonts w:ascii="Calibri" w:hAnsi="Calibri" w:cs="Calibri"/>
                <w:color w:val="000000"/>
                <w:sz w:val="18"/>
                <w:szCs w:val="18"/>
              </w:rPr>
            </w:pPr>
            <w:r w:rsidRPr="00D13694">
              <w:rPr>
                <w:rFonts w:ascii="Calibri" w:hAnsi="Calibri" w:cs="Calibri"/>
                <w:color w:val="000000"/>
                <w:sz w:val="18"/>
                <w:szCs w:val="18"/>
              </w:rPr>
              <w:t>2</w:t>
            </w:r>
            <w:r w:rsidR="00A94122">
              <w:rPr>
                <w:rFonts w:ascii="Calibri" w:hAnsi="Calibri" w:cs="Calibri"/>
                <w:color w:val="000000"/>
                <w:sz w:val="18"/>
                <w:szCs w:val="18"/>
              </w:rPr>
              <w:t>1</w:t>
            </w:r>
          </w:p>
        </w:tc>
      </w:tr>
      <w:tr w:rsidR="0064743F" w:rsidRPr="00D13694" w14:paraId="1B439A76" w14:textId="77777777" w:rsidTr="00690AB0">
        <w:trPr>
          <w:trHeight w:hRule="exact" w:val="255"/>
        </w:trPr>
        <w:tc>
          <w:tcPr>
            <w:tcW w:w="6212" w:type="dxa"/>
            <w:tcBorders>
              <w:top w:val="nil"/>
              <w:left w:val="single" w:sz="8" w:space="0" w:color="FFFFFF"/>
              <w:bottom w:val="single" w:sz="8" w:space="0" w:color="FFFFFF"/>
              <w:right w:val="single" w:sz="8" w:space="0" w:color="FFFFFF"/>
            </w:tcBorders>
            <w:shd w:val="clear" w:color="000000" w:fill="D9E2F3"/>
            <w:noWrap/>
            <w:vAlign w:val="center"/>
            <w:hideMark/>
          </w:tcPr>
          <w:p w14:paraId="7FA4CBFE" w14:textId="77777777" w:rsidR="0064743F" w:rsidRPr="00586246" w:rsidRDefault="0064743F">
            <w:pPr>
              <w:ind w:firstLineChars="100" w:firstLine="180"/>
              <w:rPr>
                <w:rFonts w:ascii="Calibri" w:hAnsi="Calibri" w:cs="Calibri"/>
                <w:color w:val="000000"/>
                <w:sz w:val="18"/>
                <w:szCs w:val="18"/>
                <w:lang w:val="en-GB"/>
              </w:rPr>
            </w:pPr>
            <w:r w:rsidRPr="00586246">
              <w:rPr>
                <w:rFonts w:ascii="Calibri" w:hAnsi="Calibri" w:cs="Calibri"/>
                <w:color w:val="000000"/>
                <w:sz w:val="18"/>
                <w:szCs w:val="18"/>
                <w:lang w:val="en-GB"/>
              </w:rPr>
              <w:t>Fund Box - SGOIC, S.A.</w:t>
            </w:r>
          </w:p>
        </w:tc>
        <w:tc>
          <w:tcPr>
            <w:tcW w:w="1164" w:type="dxa"/>
            <w:tcBorders>
              <w:top w:val="nil"/>
              <w:left w:val="nil"/>
              <w:bottom w:val="single" w:sz="8" w:space="0" w:color="FFFFFF"/>
              <w:right w:val="single" w:sz="8" w:space="0" w:color="FFFFFF"/>
            </w:tcBorders>
            <w:shd w:val="clear" w:color="000000" w:fill="D9E2F3"/>
            <w:noWrap/>
            <w:vAlign w:val="center"/>
            <w:hideMark/>
          </w:tcPr>
          <w:p w14:paraId="7032C535" w14:textId="69DAE0A5" w:rsidR="0064743F" w:rsidRPr="000F50DD" w:rsidRDefault="0064743F">
            <w:pPr>
              <w:jc w:val="center"/>
              <w:rPr>
                <w:rFonts w:ascii="Calibri" w:hAnsi="Calibri" w:cs="Calibri"/>
                <w:color w:val="000000"/>
                <w:sz w:val="18"/>
                <w:szCs w:val="18"/>
              </w:rPr>
            </w:pPr>
            <w:r w:rsidRPr="000F50DD">
              <w:rPr>
                <w:rFonts w:ascii="Calibri" w:hAnsi="Calibri" w:cs="Calibri"/>
                <w:color w:val="000000"/>
                <w:sz w:val="18"/>
                <w:szCs w:val="18"/>
              </w:rPr>
              <w:t>1,</w:t>
            </w:r>
            <w:r w:rsidR="0069041D">
              <w:rPr>
                <w:rFonts w:ascii="Calibri" w:hAnsi="Calibri" w:cs="Calibri"/>
                <w:color w:val="000000"/>
                <w:sz w:val="18"/>
                <w:szCs w:val="18"/>
              </w:rPr>
              <w:t>13</w:t>
            </w:r>
            <w:r w:rsidRPr="000F50DD">
              <w:rPr>
                <w:rFonts w:ascii="Calibri" w:hAnsi="Calibri" w:cs="Calibri"/>
                <w:color w:val="000000"/>
                <w:sz w:val="18"/>
                <w:szCs w:val="18"/>
              </w:rPr>
              <w:t>%</w:t>
            </w:r>
          </w:p>
        </w:tc>
        <w:tc>
          <w:tcPr>
            <w:tcW w:w="1129" w:type="dxa"/>
            <w:tcBorders>
              <w:top w:val="nil"/>
              <w:left w:val="nil"/>
              <w:bottom w:val="single" w:sz="8" w:space="0" w:color="FFFFFF"/>
              <w:right w:val="single" w:sz="8" w:space="0" w:color="FFFFFF"/>
            </w:tcBorders>
            <w:shd w:val="clear" w:color="auto" w:fill="D9E2F3"/>
            <w:noWrap/>
            <w:vAlign w:val="center"/>
            <w:hideMark/>
          </w:tcPr>
          <w:p w14:paraId="09123442" w14:textId="47368CED" w:rsidR="0064743F" w:rsidRPr="00D13694" w:rsidRDefault="00D13694">
            <w:pPr>
              <w:jc w:val="right"/>
              <w:rPr>
                <w:rFonts w:ascii="Calibri" w:hAnsi="Calibri" w:cs="Calibri"/>
                <w:color w:val="000000"/>
                <w:sz w:val="18"/>
                <w:szCs w:val="18"/>
              </w:rPr>
            </w:pPr>
            <w:r w:rsidRPr="00D13694">
              <w:rPr>
                <w:rFonts w:ascii="Calibri" w:hAnsi="Calibri" w:cs="Calibri"/>
                <w:color w:val="000000"/>
                <w:sz w:val="18"/>
                <w:szCs w:val="18"/>
              </w:rPr>
              <w:t>4</w:t>
            </w:r>
          </w:p>
          <w:p w14:paraId="66C47EDC" w14:textId="6575488F" w:rsidR="000F50DD" w:rsidRPr="00D13694" w:rsidRDefault="000F50DD">
            <w:pPr>
              <w:jc w:val="right"/>
              <w:rPr>
                <w:rFonts w:ascii="Calibri" w:hAnsi="Calibri" w:cs="Calibri"/>
                <w:color w:val="000000"/>
                <w:sz w:val="18"/>
                <w:szCs w:val="18"/>
              </w:rPr>
            </w:pPr>
          </w:p>
        </w:tc>
      </w:tr>
      <w:tr w:rsidR="0064743F" w:rsidRPr="00D13694" w14:paraId="2510F32F" w14:textId="77777777" w:rsidTr="00690AB0">
        <w:trPr>
          <w:trHeight w:hRule="exact" w:val="255"/>
        </w:trPr>
        <w:tc>
          <w:tcPr>
            <w:tcW w:w="6212" w:type="dxa"/>
            <w:tcBorders>
              <w:top w:val="nil"/>
              <w:left w:val="single" w:sz="8" w:space="0" w:color="FFFFFF"/>
              <w:bottom w:val="single" w:sz="8" w:space="0" w:color="FFFFFF"/>
              <w:right w:val="single" w:sz="8" w:space="0" w:color="FFFFFF"/>
            </w:tcBorders>
            <w:shd w:val="clear" w:color="000000" w:fill="D9E2F3"/>
            <w:noWrap/>
            <w:vAlign w:val="center"/>
            <w:hideMark/>
          </w:tcPr>
          <w:p w14:paraId="0B8960DC" w14:textId="77777777" w:rsidR="0064743F" w:rsidRDefault="0064743F">
            <w:pPr>
              <w:ind w:firstLineChars="100" w:firstLine="180"/>
              <w:rPr>
                <w:rFonts w:ascii="Calibri" w:hAnsi="Calibri" w:cs="Calibri"/>
                <w:color w:val="000000"/>
                <w:sz w:val="18"/>
                <w:szCs w:val="18"/>
              </w:rPr>
            </w:pPr>
            <w:r>
              <w:rPr>
                <w:rFonts w:ascii="Calibri" w:hAnsi="Calibri" w:cs="Calibri"/>
                <w:color w:val="000000"/>
                <w:sz w:val="18"/>
                <w:szCs w:val="18"/>
              </w:rPr>
              <w:t>Portugal Capital Ventures - SCR, S.A.</w:t>
            </w:r>
          </w:p>
        </w:tc>
        <w:tc>
          <w:tcPr>
            <w:tcW w:w="1164" w:type="dxa"/>
            <w:tcBorders>
              <w:top w:val="nil"/>
              <w:left w:val="nil"/>
              <w:bottom w:val="single" w:sz="8" w:space="0" w:color="FFFFFF"/>
              <w:right w:val="single" w:sz="8" w:space="0" w:color="FFFFFF"/>
            </w:tcBorders>
            <w:shd w:val="clear" w:color="000000" w:fill="D9E2F3"/>
            <w:noWrap/>
            <w:vAlign w:val="center"/>
            <w:hideMark/>
          </w:tcPr>
          <w:p w14:paraId="3055900B" w14:textId="77777777" w:rsidR="0064743F" w:rsidRPr="000F50DD" w:rsidRDefault="0064743F">
            <w:pPr>
              <w:jc w:val="center"/>
              <w:rPr>
                <w:rFonts w:ascii="Calibri" w:hAnsi="Calibri" w:cs="Calibri"/>
                <w:color w:val="000000"/>
                <w:sz w:val="18"/>
                <w:szCs w:val="18"/>
              </w:rPr>
            </w:pPr>
            <w:r w:rsidRPr="000F50DD">
              <w:rPr>
                <w:rFonts w:ascii="Calibri" w:hAnsi="Calibri" w:cs="Calibri"/>
                <w:color w:val="000000"/>
                <w:sz w:val="18"/>
                <w:szCs w:val="18"/>
              </w:rPr>
              <w:t>0,01%</w:t>
            </w:r>
          </w:p>
        </w:tc>
        <w:tc>
          <w:tcPr>
            <w:tcW w:w="1129" w:type="dxa"/>
            <w:tcBorders>
              <w:top w:val="nil"/>
              <w:left w:val="nil"/>
              <w:bottom w:val="single" w:sz="8" w:space="0" w:color="FFFFFF"/>
              <w:right w:val="single" w:sz="8" w:space="0" w:color="FFFFFF"/>
            </w:tcBorders>
            <w:shd w:val="clear" w:color="auto" w:fill="D9E2F3"/>
            <w:noWrap/>
            <w:vAlign w:val="center"/>
            <w:hideMark/>
          </w:tcPr>
          <w:p w14:paraId="7F3D8417" w14:textId="4EBD46F8" w:rsidR="0064743F" w:rsidRPr="00D13694" w:rsidRDefault="00D13694">
            <w:pPr>
              <w:jc w:val="right"/>
              <w:rPr>
                <w:rFonts w:ascii="Calibri" w:hAnsi="Calibri" w:cs="Calibri"/>
                <w:color w:val="000000"/>
                <w:sz w:val="18"/>
                <w:szCs w:val="18"/>
              </w:rPr>
            </w:pPr>
            <w:r w:rsidRPr="00D13694">
              <w:rPr>
                <w:rFonts w:ascii="Calibri" w:hAnsi="Calibri" w:cs="Calibri"/>
                <w:color w:val="000000"/>
                <w:sz w:val="18"/>
                <w:szCs w:val="18"/>
              </w:rPr>
              <w:t>8</w:t>
            </w:r>
          </w:p>
          <w:p w14:paraId="5D83D1B5" w14:textId="2A268EE6" w:rsidR="000F50DD" w:rsidRPr="00D13694" w:rsidRDefault="000F50DD">
            <w:pPr>
              <w:jc w:val="right"/>
              <w:rPr>
                <w:rFonts w:ascii="Calibri" w:hAnsi="Calibri" w:cs="Calibri"/>
                <w:color w:val="000000"/>
                <w:sz w:val="18"/>
                <w:szCs w:val="18"/>
              </w:rPr>
            </w:pPr>
          </w:p>
        </w:tc>
      </w:tr>
      <w:tr w:rsidR="002A7D6C" w:rsidRPr="00D13694" w14:paraId="1FA6A603" w14:textId="77777777" w:rsidTr="00690AB0">
        <w:trPr>
          <w:trHeight w:hRule="exact" w:val="255"/>
        </w:trPr>
        <w:tc>
          <w:tcPr>
            <w:tcW w:w="6212" w:type="dxa"/>
            <w:tcBorders>
              <w:top w:val="nil"/>
              <w:left w:val="single" w:sz="8" w:space="0" w:color="FFFFFF"/>
              <w:bottom w:val="single" w:sz="8" w:space="0" w:color="FFFFFF"/>
              <w:right w:val="single" w:sz="8" w:space="0" w:color="FFFFFF"/>
            </w:tcBorders>
            <w:shd w:val="clear" w:color="000000" w:fill="D9E2F3"/>
            <w:noWrap/>
            <w:vAlign w:val="center"/>
            <w:hideMark/>
          </w:tcPr>
          <w:p w14:paraId="71251C70" w14:textId="77777777" w:rsidR="002A7D6C" w:rsidRDefault="002A7D6C" w:rsidP="002A7D6C">
            <w:pPr>
              <w:ind w:firstLineChars="100" w:firstLine="180"/>
              <w:rPr>
                <w:rFonts w:ascii="Calibri" w:hAnsi="Calibri" w:cs="Calibri"/>
                <w:color w:val="000000"/>
                <w:sz w:val="18"/>
                <w:szCs w:val="18"/>
              </w:rPr>
            </w:pPr>
            <w:r>
              <w:rPr>
                <w:rFonts w:ascii="Calibri" w:hAnsi="Calibri" w:cs="Calibri"/>
                <w:color w:val="000000"/>
                <w:sz w:val="18"/>
                <w:szCs w:val="18"/>
              </w:rPr>
              <w:t>Banco de África Ocidental</w:t>
            </w:r>
          </w:p>
        </w:tc>
        <w:tc>
          <w:tcPr>
            <w:tcW w:w="1164" w:type="dxa"/>
            <w:tcBorders>
              <w:top w:val="nil"/>
              <w:left w:val="nil"/>
              <w:bottom w:val="single" w:sz="8" w:space="0" w:color="FFFFFF"/>
              <w:right w:val="single" w:sz="8" w:space="0" w:color="FFFFFF"/>
            </w:tcBorders>
            <w:shd w:val="clear" w:color="000000" w:fill="D9E2F3"/>
            <w:noWrap/>
            <w:vAlign w:val="center"/>
            <w:hideMark/>
          </w:tcPr>
          <w:p w14:paraId="37C0F617" w14:textId="77777777" w:rsidR="002A7D6C" w:rsidRDefault="002A7D6C" w:rsidP="002A7D6C">
            <w:pPr>
              <w:jc w:val="center"/>
              <w:rPr>
                <w:rFonts w:ascii="Calibri" w:hAnsi="Calibri" w:cs="Calibri"/>
                <w:color w:val="000000"/>
                <w:sz w:val="18"/>
                <w:szCs w:val="18"/>
              </w:rPr>
            </w:pPr>
            <w:r>
              <w:rPr>
                <w:rFonts w:ascii="Calibri" w:hAnsi="Calibri" w:cs="Calibri"/>
                <w:color w:val="000000"/>
                <w:sz w:val="18"/>
                <w:szCs w:val="18"/>
              </w:rPr>
              <w:t>10,76%</w:t>
            </w:r>
          </w:p>
        </w:tc>
        <w:tc>
          <w:tcPr>
            <w:tcW w:w="1129" w:type="dxa"/>
            <w:tcBorders>
              <w:top w:val="nil"/>
              <w:left w:val="nil"/>
              <w:bottom w:val="single" w:sz="8" w:space="0" w:color="FFFFFF"/>
              <w:right w:val="single" w:sz="8" w:space="0" w:color="FFFFFF"/>
            </w:tcBorders>
            <w:shd w:val="clear" w:color="000000" w:fill="D9E2F3"/>
            <w:noWrap/>
            <w:vAlign w:val="center"/>
            <w:hideMark/>
          </w:tcPr>
          <w:p w14:paraId="00AD9E83" w14:textId="34BB1F00" w:rsidR="002A7D6C" w:rsidRPr="00D13694" w:rsidRDefault="002A7D6C" w:rsidP="002A7D6C">
            <w:pPr>
              <w:jc w:val="right"/>
              <w:rPr>
                <w:rFonts w:ascii="Calibri" w:hAnsi="Calibri" w:cs="Calibri"/>
                <w:color w:val="000000"/>
                <w:sz w:val="18"/>
                <w:szCs w:val="18"/>
              </w:rPr>
            </w:pPr>
            <w:r w:rsidRPr="00D13694">
              <w:rPr>
                <w:rFonts w:ascii="Calibri" w:hAnsi="Calibri" w:cs="Calibri"/>
                <w:color w:val="000000"/>
                <w:sz w:val="18"/>
                <w:szCs w:val="18"/>
              </w:rPr>
              <w:t>- </w:t>
            </w:r>
          </w:p>
        </w:tc>
      </w:tr>
      <w:tr w:rsidR="0064743F" w:rsidRPr="00D13694" w14:paraId="6801862B" w14:textId="77777777" w:rsidTr="00690AB0">
        <w:trPr>
          <w:trHeight w:hRule="exact" w:val="255"/>
        </w:trPr>
        <w:tc>
          <w:tcPr>
            <w:tcW w:w="6212" w:type="dxa"/>
            <w:tcBorders>
              <w:top w:val="nil"/>
              <w:left w:val="single" w:sz="8" w:space="0" w:color="FFFFFF"/>
              <w:bottom w:val="single" w:sz="8" w:space="0" w:color="FFFFFF"/>
              <w:right w:val="single" w:sz="8" w:space="0" w:color="FFFFFF"/>
            </w:tcBorders>
            <w:shd w:val="clear" w:color="000000" w:fill="D9E2F3"/>
            <w:noWrap/>
            <w:vAlign w:val="center"/>
            <w:hideMark/>
          </w:tcPr>
          <w:p w14:paraId="573B9130" w14:textId="77777777" w:rsidR="0064743F" w:rsidRDefault="0064743F">
            <w:pPr>
              <w:ind w:firstLineChars="100" w:firstLine="180"/>
              <w:rPr>
                <w:rFonts w:ascii="Calibri" w:hAnsi="Calibri" w:cs="Calibri"/>
                <w:color w:val="000000"/>
                <w:sz w:val="18"/>
                <w:szCs w:val="18"/>
              </w:rPr>
            </w:pPr>
            <w:proofErr w:type="spellStart"/>
            <w:r>
              <w:rPr>
                <w:rFonts w:ascii="Calibri" w:hAnsi="Calibri" w:cs="Calibri"/>
                <w:color w:val="000000"/>
                <w:sz w:val="18"/>
                <w:szCs w:val="18"/>
              </w:rPr>
              <w:t>Locageste</w:t>
            </w:r>
            <w:proofErr w:type="spellEnd"/>
            <w:r>
              <w:rPr>
                <w:rFonts w:ascii="Calibri" w:hAnsi="Calibri" w:cs="Calibri"/>
                <w:color w:val="000000"/>
                <w:sz w:val="18"/>
                <w:szCs w:val="18"/>
              </w:rPr>
              <w:t xml:space="preserve"> - Aluguer e Participações, </w:t>
            </w:r>
            <w:proofErr w:type="spellStart"/>
            <w:r>
              <w:rPr>
                <w:rFonts w:ascii="Calibri" w:hAnsi="Calibri" w:cs="Calibri"/>
                <w:color w:val="000000"/>
                <w:sz w:val="18"/>
                <w:szCs w:val="18"/>
              </w:rPr>
              <w:t>Lda</w:t>
            </w:r>
            <w:proofErr w:type="spellEnd"/>
          </w:p>
        </w:tc>
        <w:tc>
          <w:tcPr>
            <w:tcW w:w="1164" w:type="dxa"/>
            <w:tcBorders>
              <w:top w:val="nil"/>
              <w:left w:val="nil"/>
              <w:bottom w:val="single" w:sz="8" w:space="0" w:color="FFFFFF"/>
              <w:right w:val="single" w:sz="8" w:space="0" w:color="FFFFFF"/>
            </w:tcBorders>
            <w:shd w:val="clear" w:color="000000" w:fill="D9E2F3"/>
            <w:noWrap/>
            <w:vAlign w:val="center"/>
            <w:hideMark/>
          </w:tcPr>
          <w:p w14:paraId="233DCA73" w14:textId="241995B7" w:rsidR="0064743F" w:rsidRDefault="0064743F">
            <w:pPr>
              <w:jc w:val="center"/>
              <w:rPr>
                <w:rFonts w:ascii="Calibri" w:hAnsi="Calibri" w:cs="Calibri"/>
                <w:color w:val="000000"/>
                <w:sz w:val="18"/>
                <w:szCs w:val="18"/>
              </w:rPr>
            </w:pPr>
            <w:r>
              <w:rPr>
                <w:rFonts w:ascii="Calibri" w:hAnsi="Calibri" w:cs="Calibri"/>
                <w:color w:val="000000"/>
                <w:sz w:val="18"/>
                <w:szCs w:val="18"/>
              </w:rPr>
              <w:t>20%</w:t>
            </w:r>
          </w:p>
        </w:tc>
        <w:tc>
          <w:tcPr>
            <w:tcW w:w="1129" w:type="dxa"/>
            <w:tcBorders>
              <w:top w:val="nil"/>
              <w:left w:val="nil"/>
              <w:bottom w:val="single" w:sz="8" w:space="0" w:color="FFFFFF"/>
              <w:right w:val="single" w:sz="8" w:space="0" w:color="FFFFFF"/>
            </w:tcBorders>
            <w:shd w:val="clear" w:color="000000" w:fill="D9E2F3"/>
            <w:noWrap/>
            <w:vAlign w:val="center"/>
            <w:hideMark/>
          </w:tcPr>
          <w:p w14:paraId="148C5E12" w14:textId="206A8266" w:rsidR="0064743F" w:rsidRPr="00D13694" w:rsidRDefault="002F6671">
            <w:pPr>
              <w:jc w:val="right"/>
              <w:rPr>
                <w:rFonts w:ascii="Calibri" w:hAnsi="Calibri" w:cs="Calibri"/>
                <w:color w:val="000000"/>
                <w:sz w:val="18"/>
                <w:szCs w:val="18"/>
              </w:rPr>
            </w:pPr>
            <w:r w:rsidRPr="00D13694">
              <w:rPr>
                <w:rFonts w:ascii="Calibri" w:hAnsi="Calibri" w:cs="Calibri"/>
                <w:color w:val="000000"/>
                <w:sz w:val="18"/>
                <w:szCs w:val="18"/>
              </w:rPr>
              <w:t>-</w:t>
            </w:r>
            <w:r w:rsidR="0064743F" w:rsidRPr="00D13694">
              <w:rPr>
                <w:rFonts w:ascii="Calibri" w:hAnsi="Calibri" w:cs="Calibri"/>
                <w:color w:val="000000"/>
                <w:sz w:val="18"/>
                <w:szCs w:val="18"/>
              </w:rPr>
              <w:t> </w:t>
            </w:r>
          </w:p>
        </w:tc>
      </w:tr>
      <w:tr w:rsidR="0064743F" w:rsidRPr="00D13694" w14:paraId="79934E47" w14:textId="77777777" w:rsidTr="00690AB0">
        <w:trPr>
          <w:trHeight w:hRule="exact" w:val="255"/>
        </w:trPr>
        <w:tc>
          <w:tcPr>
            <w:tcW w:w="6212" w:type="dxa"/>
            <w:tcBorders>
              <w:top w:val="nil"/>
              <w:left w:val="single" w:sz="8" w:space="0" w:color="FFFFFF"/>
              <w:bottom w:val="single" w:sz="8" w:space="0" w:color="FFFFFF"/>
              <w:right w:val="single" w:sz="8" w:space="0" w:color="FFFFFF"/>
            </w:tcBorders>
            <w:shd w:val="clear" w:color="000000" w:fill="D9E2F3"/>
            <w:noWrap/>
            <w:vAlign w:val="center"/>
            <w:hideMark/>
          </w:tcPr>
          <w:p w14:paraId="122175C9" w14:textId="27884F4D" w:rsidR="0064743F" w:rsidRDefault="0064743F">
            <w:pPr>
              <w:ind w:firstLineChars="100" w:firstLine="180"/>
              <w:rPr>
                <w:rFonts w:ascii="Calibri" w:hAnsi="Calibri" w:cs="Calibri"/>
                <w:color w:val="000000"/>
                <w:sz w:val="18"/>
                <w:szCs w:val="18"/>
              </w:rPr>
            </w:pPr>
            <w:r>
              <w:rPr>
                <w:rFonts w:ascii="Calibri" w:hAnsi="Calibri" w:cs="Calibri"/>
                <w:color w:val="000000"/>
                <w:sz w:val="18"/>
                <w:szCs w:val="18"/>
              </w:rPr>
              <w:t xml:space="preserve">ADRAVE </w:t>
            </w:r>
            <w:r w:rsidR="006F1F77">
              <w:rPr>
                <w:rFonts w:ascii="Calibri" w:hAnsi="Calibri" w:cs="Calibri"/>
                <w:color w:val="000000"/>
                <w:sz w:val="18"/>
                <w:szCs w:val="18"/>
              </w:rPr>
              <w:t>-</w:t>
            </w:r>
            <w:r>
              <w:rPr>
                <w:rFonts w:ascii="Calibri" w:hAnsi="Calibri" w:cs="Calibri"/>
                <w:color w:val="000000"/>
                <w:sz w:val="18"/>
                <w:szCs w:val="18"/>
              </w:rPr>
              <w:t xml:space="preserve"> Ag</w:t>
            </w:r>
            <w:r w:rsidR="009732C0">
              <w:rPr>
                <w:rFonts w:ascii="Calibri" w:hAnsi="Calibri" w:cs="Calibri"/>
                <w:color w:val="000000"/>
                <w:sz w:val="18"/>
                <w:szCs w:val="18"/>
              </w:rPr>
              <w:t>ência</w:t>
            </w:r>
            <w:r>
              <w:rPr>
                <w:rFonts w:ascii="Calibri" w:hAnsi="Calibri" w:cs="Calibri"/>
                <w:color w:val="000000"/>
                <w:sz w:val="18"/>
                <w:szCs w:val="18"/>
              </w:rPr>
              <w:t xml:space="preserve"> de Des. Regional do Vale do Ave S.A. - Em liquidação</w:t>
            </w:r>
          </w:p>
        </w:tc>
        <w:tc>
          <w:tcPr>
            <w:tcW w:w="1164" w:type="dxa"/>
            <w:tcBorders>
              <w:top w:val="nil"/>
              <w:left w:val="nil"/>
              <w:bottom w:val="single" w:sz="8" w:space="0" w:color="FFFFFF"/>
              <w:right w:val="single" w:sz="8" w:space="0" w:color="FFFFFF"/>
            </w:tcBorders>
            <w:shd w:val="clear" w:color="000000" w:fill="D9E2F3"/>
            <w:noWrap/>
            <w:vAlign w:val="center"/>
            <w:hideMark/>
          </w:tcPr>
          <w:p w14:paraId="28B05931" w14:textId="77777777" w:rsidR="0064743F" w:rsidRDefault="0064743F">
            <w:pPr>
              <w:jc w:val="center"/>
              <w:rPr>
                <w:rFonts w:ascii="Calibri" w:hAnsi="Calibri" w:cs="Calibri"/>
                <w:color w:val="000000"/>
                <w:sz w:val="18"/>
                <w:szCs w:val="18"/>
              </w:rPr>
            </w:pPr>
            <w:r>
              <w:rPr>
                <w:rFonts w:ascii="Calibri" w:hAnsi="Calibri" w:cs="Calibri"/>
                <w:color w:val="000000"/>
                <w:sz w:val="18"/>
                <w:szCs w:val="18"/>
              </w:rPr>
              <w:t>3,21%</w:t>
            </w:r>
          </w:p>
        </w:tc>
        <w:tc>
          <w:tcPr>
            <w:tcW w:w="1129" w:type="dxa"/>
            <w:tcBorders>
              <w:top w:val="nil"/>
              <w:left w:val="nil"/>
              <w:bottom w:val="single" w:sz="8" w:space="0" w:color="FFFFFF"/>
              <w:right w:val="single" w:sz="8" w:space="0" w:color="FFFFFF"/>
            </w:tcBorders>
            <w:shd w:val="clear" w:color="000000" w:fill="D9E2F3"/>
            <w:noWrap/>
            <w:vAlign w:val="center"/>
            <w:hideMark/>
          </w:tcPr>
          <w:p w14:paraId="105A76FC" w14:textId="5493DAF3" w:rsidR="0064743F" w:rsidRPr="00D13694" w:rsidRDefault="002F6671">
            <w:pPr>
              <w:jc w:val="right"/>
              <w:rPr>
                <w:rFonts w:ascii="Calibri" w:hAnsi="Calibri" w:cs="Calibri"/>
                <w:color w:val="000000"/>
                <w:sz w:val="18"/>
                <w:szCs w:val="18"/>
              </w:rPr>
            </w:pPr>
            <w:r w:rsidRPr="00D13694">
              <w:rPr>
                <w:rFonts w:ascii="Calibri" w:hAnsi="Calibri" w:cs="Calibri"/>
                <w:color w:val="000000"/>
                <w:sz w:val="18"/>
                <w:szCs w:val="18"/>
              </w:rPr>
              <w:t>-</w:t>
            </w:r>
            <w:r w:rsidR="0064743F" w:rsidRPr="00D13694">
              <w:rPr>
                <w:rFonts w:ascii="Calibri" w:hAnsi="Calibri" w:cs="Calibri"/>
                <w:color w:val="000000"/>
                <w:sz w:val="18"/>
                <w:szCs w:val="18"/>
              </w:rPr>
              <w:t> </w:t>
            </w:r>
          </w:p>
        </w:tc>
      </w:tr>
      <w:tr w:rsidR="00970E04" w:rsidRPr="00D13694" w14:paraId="1CD01F50" w14:textId="77777777" w:rsidTr="00690AB0">
        <w:trPr>
          <w:trHeight w:hRule="exact" w:val="255"/>
        </w:trPr>
        <w:tc>
          <w:tcPr>
            <w:tcW w:w="6212" w:type="dxa"/>
            <w:tcBorders>
              <w:top w:val="nil"/>
              <w:left w:val="single" w:sz="8" w:space="0" w:color="FFFFFF"/>
              <w:bottom w:val="single" w:sz="8" w:space="0" w:color="FFFFFF"/>
              <w:right w:val="single" w:sz="8" w:space="0" w:color="FFFFFF"/>
            </w:tcBorders>
            <w:shd w:val="clear" w:color="000000" w:fill="D9E2F3"/>
            <w:noWrap/>
            <w:vAlign w:val="center"/>
            <w:hideMark/>
          </w:tcPr>
          <w:p w14:paraId="186674DC" w14:textId="77777777" w:rsidR="00970E04" w:rsidRDefault="00970E04" w:rsidP="00C255F3">
            <w:pPr>
              <w:ind w:firstLineChars="100" w:firstLine="180"/>
              <w:rPr>
                <w:rFonts w:ascii="Calibri" w:hAnsi="Calibri" w:cs="Calibri"/>
                <w:color w:val="000000"/>
                <w:sz w:val="18"/>
                <w:szCs w:val="18"/>
              </w:rPr>
            </w:pPr>
            <w:proofErr w:type="spellStart"/>
            <w:r>
              <w:rPr>
                <w:rFonts w:ascii="Calibri" w:hAnsi="Calibri" w:cs="Calibri"/>
                <w:color w:val="000000"/>
                <w:sz w:val="18"/>
                <w:szCs w:val="18"/>
              </w:rPr>
              <w:t>Tecneira</w:t>
            </w:r>
            <w:proofErr w:type="spellEnd"/>
            <w:r>
              <w:rPr>
                <w:rFonts w:ascii="Calibri" w:hAnsi="Calibri" w:cs="Calibri"/>
                <w:color w:val="000000"/>
                <w:sz w:val="18"/>
                <w:szCs w:val="18"/>
              </w:rPr>
              <w:t xml:space="preserve"> Moçambique, S.A. (em liquidação) </w:t>
            </w:r>
            <w:r>
              <w:rPr>
                <w:rFonts w:ascii="Calibri" w:hAnsi="Calibri" w:cs="Calibri"/>
                <w:color w:val="000000"/>
                <w:sz w:val="18"/>
                <w:szCs w:val="18"/>
                <w:vertAlign w:val="superscript"/>
              </w:rPr>
              <w:t>(*)</w:t>
            </w:r>
          </w:p>
        </w:tc>
        <w:tc>
          <w:tcPr>
            <w:tcW w:w="1164" w:type="dxa"/>
            <w:tcBorders>
              <w:top w:val="nil"/>
              <w:left w:val="nil"/>
              <w:bottom w:val="single" w:sz="8" w:space="0" w:color="FFFFFF"/>
              <w:right w:val="single" w:sz="8" w:space="0" w:color="FFFFFF"/>
            </w:tcBorders>
            <w:shd w:val="clear" w:color="000000" w:fill="D9E2F3"/>
            <w:noWrap/>
            <w:vAlign w:val="center"/>
            <w:hideMark/>
          </w:tcPr>
          <w:p w14:paraId="2D9DD971" w14:textId="77777777" w:rsidR="00970E04" w:rsidRDefault="00970E04" w:rsidP="00C255F3">
            <w:pPr>
              <w:jc w:val="center"/>
              <w:rPr>
                <w:rFonts w:ascii="Calibri" w:hAnsi="Calibri" w:cs="Calibri"/>
                <w:color w:val="000000"/>
                <w:sz w:val="18"/>
                <w:szCs w:val="18"/>
              </w:rPr>
            </w:pPr>
            <w:r>
              <w:rPr>
                <w:rFonts w:ascii="Calibri" w:hAnsi="Calibri" w:cs="Calibri"/>
                <w:color w:val="000000"/>
                <w:sz w:val="18"/>
                <w:szCs w:val="18"/>
              </w:rPr>
              <w:t>60%</w:t>
            </w:r>
          </w:p>
        </w:tc>
        <w:tc>
          <w:tcPr>
            <w:tcW w:w="1129" w:type="dxa"/>
            <w:tcBorders>
              <w:top w:val="nil"/>
              <w:left w:val="nil"/>
              <w:bottom w:val="single" w:sz="8" w:space="0" w:color="FFFFFF"/>
              <w:right w:val="single" w:sz="8" w:space="0" w:color="FFFFFF"/>
            </w:tcBorders>
            <w:shd w:val="clear" w:color="000000" w:fill="D9E2F3"/>
            <w:noWrap/>
            <w:vAlign w:val="center"/>
            <w:hideMark/>
          </w:tcPr>
          <w:p w14:paraId="1BAB7C66" w14:textId="77777777" w:rsidR="00970E04" w:rsidRPr="00D13694" w:rsidRDefault="00970E04" w:rsidP="00C255F3">
            <w:pPr>
              <w:jc w:val="right"/>
              <w:rPr>
                <w:rFonts w:ascii="Calibri" w:hAnsi="Calibri" w:cs="Calibri"/>
                <w:color w:val="000000"/>
                <w:sz w:val="18"/>
                <w:szCs w:val="18"/>
              </w:rPr>
            </w:pPr>
            <w:r w:rsidRPr="00D13694">
              <w:rPr>
                <w:rFonts w:ascii="Calibri" w:hAnsi="Calibri" w:cs="Calibri"/>
                <w:color w:val="000000"/>
                <w:sz w:val="18"/>
                <w:szCs w:val="18"/>
              </w:rPr>
              <w:t>- </w:t>
            </w:r>
          </w:p>
        </w:tc>
      </w:tr>
      <w:tr w:rsidR="0064743F" w:rsidRPr="00D13694" w14:paraId="08066B64" w14:textId="77777777" w:rsidTr="00690AB0">
        <w:trPr>
          <w:trHeight w:hRule="exact" w:val="255"/>
        </w:trPr>
        <w:tc>
          <w:tcPr>
            <w:tcW w:w="6212" w:type="dxa"/>
            <w:tcBorders>
              <w:top w:val="nil"/>
              <w:left w:val="single" w:sz="8" w:space="0" w:color="FFFFFF"/>
              <w:bottom w:val="single" w:sz="8" w:space="0" w:color="FFFFFF"/>
              <w:right w:val="single" w:sz="8" w:space="0" w:color="FFFFFF"/>
            </w:tcBorders>
            <w:shd w:val="clear" w:color="000000" w:fill="D9E2F3"/>
            <w:noWrap/>
            <w:vAlign w:val="center"/>
            <w:hideMark/>
          </w:tcPr>
          <w:p w14:paraId="232EE47E" w14:textId="77777777" w:rsidR="0064743F" w:rsidRDefault="0064743F">
            <w:pPr>
              <w:ind w:firstLineChars="100" w:firstLine="180"/>
              <w:rPr>
                <w:rFonts w:ascii="Calibri" w:hAnsi="Calibri" w:cs="Calibri"/>
                <w:color w:val="000000"/>
                <w:sz w:val="18"/>
                <w:szCs w:val="18"/>
              </w:rPr>
            </w:pPr>
            <w:r>
              <w:rPr>
                <w:rFonts w:ascii="Calibri" w:hAnsi="Calibri" w:cs="Calibri"/>
                <w:color w:val="000000"/>
                <w:sz w:val="18"/>
                <w:szCs w:val="18"/>
              </w:rPr>
              <w:t>Galilei, SGPS, S.A. (em insolvência)</w:t>
            </w:r>
          </w:p>
        </w:tc>
        <w:tc>
          <w:tcPr>
            <w:tcW w:w="1164" w:type="dxa"/>
            <w:tcBorders>
              <w:top w:val="nil"/>
              <w:left w:val="nil"/>
              <w:bottom w:val="single" w:sz="8" w:space="0" w:color="FFFFFF"/>
              <w:right w:val="single" w:sz="8" w:space="0" w:color="FFFFFF"/>
            </w:tcBorders>
            <w:shd w:val="clear" w:color="000000" w:fill="D9E2F3"/>
            <w:noWrap/>
            <w:vAlign w:val="center"/>
            <w:hideMark/>
          </w:tcPr>
          <w:p w14:paraId="5900826D" w14:textId="77777777" w:rsidR="0064743F" w:rsidRDefault="0064743F">
            <w:pPr>
              <w:jc w:val="center"/>
              <w:rPr>
                <w:rFonts w:ascii="Calibri" w:hAnsi="Calibri" w:cs="Calibri"/>
                <w:color w:val="000000"/>
                <w:sz w:val="18"/>
                <w:szCs w:val="18"/>
              </w:rPr>
            </w:pPr>
            <w:r>
              <w:rPr>
                <w:rFonts w:ascii="Calibri" w:hAnsi="Calibri" w:cs="Calibri"/>
                <w:color w:val="000000"/>
                <w:sz w:val="18"/>
                <w:szCs w:val="18"/>
              </w:rPr>
              <w:t>3,15%</w:t>
            </w:r>
          </w:p>
        </w:tc>
        <w:tc>
          <w:tcPr>
            <w:tcW w:w="1129" w:type="dxa"/>
            <w:tcBorders>
              <w:top w:val="nil"/>
              <w:left w:val="nil"/>
              <w:bottom w:val="single" w:sz="8" w:space="0" w:color="FFFFFF"/>
              <w:right w:val="single" w:sz="8" w:space="0" w:color="FFFFFF"/>
            </w:tcBorders>
            <w:shd w:val="clear" w:color="000000" w:fill="D9E2F3"/>
            <w:noWrap/>
            <w:vAlign w:val="center"/>
            <w:hideMark/>
          </w:tcPr>
          <w:p w14:paraId="03986279" w14:textId="47436D0D" w:rsidR="0064743F" w:rsidRPr="00D13694" w:rsidRDefault="002F6671">
            <w:pPr>
              <w:jc w:val="right"/>
              <w:rPr>
                <w:rFonts w:ascii="Calibri" w:hAnsi="Calibri" w:cs="Calibri"/>
                <w:color w:val="000000"/>
                <w:sz w:val="18"/>
                <w:szCs w:val="18"/>
              </w:rPr>
            </w:pPr>
            <w:r w:rsidRPr="00D13694">
              <w:rPr>
                <w:rFonts w:ascii="Calibri" w:hAnsi="Calibri" w:cs="Calibri"/>
                <w:color w:val="000000"/>
                <w:sz w:val="18"/>
                <w:szCs w:val="18"/>
              </w:rPr>
              <w:t>-</w:t>
            </w:r>
            <w:r w:rsidR="0064743F" w:rsidRPr="00D13694">
              <w:rPr>
                <w:rFonts w:ascii="Calibri" w:hAnsi="Calibri" w:cs="Calibri"/>
                <w:color w:val="000000"/>
                <w:sz w:val="18"/>
                <w:szCs w:val="18"/>
              </w:rPr>
              <w:t> </w:t>
            </w:r>
          </w:p>
        </w:tc>
      </w:tr>
      <w:tr w:rsidR="0064743F" w:rsidRPr="00D13694" w14:paraId="6BE06356" w14:textId="77777777" w:rsidTr="00690AB0">
        <w:trPr>
          <w:trHeight w:hRule="exact" w:val="255"/>
        </w:trPr>
        <w:tc>
          <w:tcPr>
            <w:tcW w:w="6212" w:type="dxa"/>
            <w:tcBorders>
              <w:top w:val="nil"/>
              <w:left w:val="single" w:sz="8" w:space="0" w:color="FFFFFF"/>
              <w:bottom w:val="single" w:sz="8" w:space="0" w:color="FFFFFF"/>
              <w:right w:val="single" w:sz="8" w:space="0" w:color="FFFFFF"/>
            </w:tcBorders>
            <w:shd w:val="clear" w:color="000000" w:fill="D9E2F3"/>
            <w:noWrap/>
            <w:vAlign w:val="center"/>
            <w:hideMark/>
          </w:tcPr>
          <w:p w14:paraId="79528DFA" w14:textId="77777777" w:rsidR="0064743F" w:rsidRDefault="0064743F">
            <w:pPr>
              <w:ind w:firstLineChars="100" w:firstLine="180"/>
              <w:rPr>
                <w:rFonts w:ascii="Calibri" w:hAnsi="Calibri" w:cs="Calibri"/>
                <w:color w:val="000000"/>
                <w:sz w:val="18"/>
                <w:szCs w:val="18"/>
              </w:rPr>
            </w:pPr>
            <w:r>
              <w:rPr>
                <w:rFonts w:ascii="Calibri" w:hAnsi="Calibri" w:cs="Calibri"/>
                <w:color w:val="000000"/>
                <w:sz w:val="18"/>
                <w:szCs w:val="18"/>
              </w:rPr>
              <w:t>TAIB BANK (em liquidação)</w:t>
            </w:r>
          </w:p>
        </w:tc>
        <w:tc>
          <w:tcPr>
            <w:tcW w:w="1164" w:type="dxa"/>
            <w:tcBorders>
              <w:top w:val="nil"/>
              <w:left w:val="nil"/>
              <w:bottom w:val="single" w:sz="8" w:space="0" w:color="FFFFFF"/>
              <w:right w:val="single" w:sz="8" w:space="0" w:color="FFFFFF"/>
            </w:tcBorders>
            <w:shd w:val="clear" w:color="000000" w:fill="D9E2F3"/>
            <w:noWrap/>
            <w:vAlign w:val="center"/>
            <w:hideMark/>
          </w:tcPr>
          <w:p w14:paraId="6F1DA7EE" w14:textId="77777777" w:rsidR="0064743F" w:rsidRDefault="0064743F">
            <w:pPr>
              <w:jc w:val="center"/>
              <w:rPr>
                <w:rFonts w:ascii="Calibri" w:hAnsi="Calibri" w:cs="Calibri"/>
                <w:color w:val="000000"/>
                <w:sz w:val="18"/>
                <w:szCs w:val="18"/>
              </w:rPr>
            </w:pPr>
            <w:r>
              <w:rPr>
                <w:rFonts w:ascii="Calibri" w:hAnsi="Calibri" w:cs="Calibri"/>
                <w:color w:val="000000"/>
                <w:sz w:val="18"/>
                <w:szCs w:val="18"/>
              </w:rPr>
              <w:t>0,48%</w:t>
            </w:r>
          </w:p>
        </w:tc>
        <w:tc>
          <w:tcPr>
            <w:tcW w:w="1129" w:type="dxa"/>
            <w:tcBorders>
              <w:top w:val="nil"/>
              <w:left w:val="nil"/>
              <w:bottom w:val="single" w:sz="8" w:space="0" w:color="FFFFFF"/>
              <w:right w:val="single" w:sz="8" w:space="0" w:color="FFFFFF"/>
            </w:tcBorders>
            <w:shd w:val="clear" w:color="000000" w:fill="D9E2F3"/>
            <w:noWrap/>
            <w:vAlign w:val="center"/>
            <w:hideMark/>
          </w:tcPr>
          <w:p w14:paraId="5FC035E4" w14:textId="00BB753A" w:rsidR="0064743F" w:rsidRPr="00D13694" w:rsidRDefault="002F6671">
            <w:pPr>
              <w:jc w:val="right"/>
              <w:rPr>
                <w:rFonts w:ascii="Calibri" w:hAnsi="Calibri" w:cs="Calibri"/>
                <w:color w:val="000000"/>
                <w:sz w:val="18"/>
                <w:szCs w:val="18"/>
              </w:rPr>
            </w:pPr>
            <w:r w:rsidRPr="00D13694">
              <w:rPr>
                <w:rFonts w:ascii="Calibri" w:hAnsi="Calibri" w:cs="Calibri"/>
                <w:color w:val="000000"/>
                <w:sz w:val="18"/>
                <w:szCs w:val="18"/>
              </w:rPr>
              <w:t>-</w:t>
            </w:r>
            <w:r w:rsidR="0064743F" w:rsidRPr="00D13694">
              <w:rPr>
                <w:rFonts w:ascii="Calibri" w:hAnsi="Calibri" w:cs="Calibri"/>
                <w:color w:val="000000"/>
                <w:sz w:val="18"/>
                <w:szCs w:val="18"/>
              </w:rPr>
              <w:t> </w:t>
            </w:r>
          </w:p>
        </w:tc>
      </w:tr>
      <w:tr w:rsidR="0064743F" w:rsidRPr="00D13694" w14:paraId="08B30378" w14:textId="77777777" w:rsidTr="00690AB0">
        <w:trPr>
          <w:trHeight w:hRule="exact" w:val="255"/>
        </w:trPr>
        <w:tc>
          <w:tcPr>
            <w:tcW w:w="6212" w:type="dxa"/>
            <w:tcBorders>
              <w:top w:val="nil"/>
              <w:left w:val="single" w:sz="8" w:space="0" w:color="FFFFFF"/>
              <w:bottom w:val="single" w:sz="8" w:space="0" w:color="FFFFFF"/>
              <w:right w:val="single" w:sz="8" w:space="0" w:color="FFFFFF"/>
            </w:tcBorders>
            <w:shd w:val="clear" w:color="000000" w:fill="D9E2F3"/>
            <w:noWrap/>
            <w:vAlign w:val="center"/>
            <w:hideMark/>
          </w:tcPr>
          <w:p w14:paraId="39283EAC" w14:textId="77777777" w:rsidR="0064743F" w:rsidRDefault="0064743F">
            <w:pPr>
              <w:ind w:firstLineChars="100" w:firstLine="180"/>
              <w:rPr>
                <w:rFonts w:ascii="Calibri" w:hAnsi="Calibri" w:cs="Calibri"/>
                <w:color w:val="000000"/>
                <w:sz w:val="18"/>
                <w:szCs w:val="18"/>
              </w:rPr>
            </w:pPr>
            <w:r>
              <w:rPr>
                <w:rFonts w:ascii="Calibri" w:hAnsi="Calibri" w:cs="Calibri"/>
                <w:color w:val="000000"/>
                <w:sz w:val="18"/>
                <w:szCs w:val="18"/>
              </w:rPr>
              <w:t xml:space="preserve">ALC - </w:t>
            </w:r>
            <w:proofErr w:type="spellStart"/>
            <w:r>
              <w:rPr>
                <w:rFonts w:ascii="Calibri" w:hAnsi="Calibri" w:cs="Calibri"/>
                <w:color w:val="000000"/>
                <w:sz w:val="18"/>
                <w:szCs w:val="18"/>
              </w:rPr>
              <w:t>African</w:t>
            </w:r>
            <w:proofErr w:type="spellEnd"/>
            <w:r>
              <w:rPr>
                <w:rFonts w:ascii="Calibri" w:hAnsi="Calibri" w:cs="Calibri"/>
                <w:color w:val="000000"/>
                <w:sz w:val="18"/>
                <w:szCs w:val="18"/>
              </w:rPr>
              <w:t xml:space="preserve"> Leasing </w:t>
            </w:r>
            <w:proofErr w:type="spellStart"/>
            <w:r>
              <w:rPr>
                <w:rFonts w:ascii="Calibri" w:hAnsi="Calibri" w:cs="Calibri"/>
                <w:color w:val="000000"/>
                <w:sz w:val="18"/>
                <w:szCs w:val="18"/>
              </w:rPr>
              <w:t>Company</w:t>
            </w:r>
            <w:proofErr w:type="spellEnd"/>
            <w:r>
              <w:rPr>
                <w:rFonts w:ascii="Calibri" w:hAnsi="Calibri" w:cs="Calibri"/>
                <w:color w:val="000000"/>
                <w:sz w:val="18"/>
                <w:szCs w:val="18"/>
              </w:rPr>
              <w:t xml:space="preserve"> (Moçambique), S.A. (em liquidação)</w:t>
            </w:r>
          </w:p>
        </w:tc>
        <w:tc>
          <w:tcPr>
            <w:tcW w:w="1164" w:type="dxa"/>
            <w:tcBorders>
              <w:top w:val="nil"/>
              <w:left w:val="nil"/>
              <w:bottom w:val="single" w:sz="8" w:space="0" w:color="FFFFFF"/>
              <w:right w:val="single" w:sz="8" w:space="0" w:color="FFFFFF"/>
            </w:tcBorders>
            <w:shd w:val="clear" w:color="000000" w:fill="D9E2F3"/>
            <w:noWrap/>
            <w:vAlign w:val="center"/>
            <w:hideMark/>
          </w:tcPr>
          <w:p w14:paraId="57F92A25" w14:textId="77777777" w:rsidR="0064743F" w:rsidRDefault="0064743F">
            <w:pPr>
              <w:jc w:val="center"/>
              <w:rPr>
                <w:rFonts w:ascii="Calibri" w:hAnsi="Calibri" w:cs="Calibri"/>
                <w:color w:val="000000"/>
                <w:sz w:val="18"/>
                <w:szCs w:val="18"/>
              </w:rPr>
            </w:pPr>
            <w:r>
              <w:rPr>
                <w:rFonts w:ascii="Calibri" w:hAnsi="Calibri" w:cs="Calibri"/>
                <w:color w:val="000000"/>
                <w:sz w:val="18"/>
                <w:szCs w:val="18"/>
              </w:rPr>
              <w:t>36,00%</w:t>
            </w:r>
          </w:p>
        </w:tc>
        <w:tc>
          <w:tcPr>
            <w:tcW w:w="1129" w:type="dxa"/>
            <w:tcBorders>
              <w:top w:val="nil"/>
              <w:left w:val="nil"/>
              <w:bottom w:val="single" w:sz="8" w:space="0" w:color="FFFFFF"/>
              <w:right w:val="single" w:sz="8" w:space="0" w:color="FFFFFF"/>
            </w:tcBorders>
            <w:shd w:val="clear" w:color="000000" w:fill="D9E2F3"/>
            <w:noWrap/>
            <w:vAlign w:val="center"/>
            <w:hideMark/>
          </w:tcPr>
          <w:p w14:paraId="0CD2A93B" w14:textId="60DF0E16" w:rsidR="0064743F" w:rsidRPr="00D13694" w:rsidRDefault="002F6671">
            <w:pPr>
              <w:jc w:val="right"/>
              <w:rPr>
                <w:rFonts w:ascii="Calibri" w:hAnsi="Calibri" w:cs="Calibri"/>
                <w:color w:val="000000"/>
                <w:sz w:val="18"/>
                <w:szCs w:val="18"/>
              </w:rPr>
            </w:pPr>
            <w:r w:rsidRPr="00D13694">
              <w:rPr>
                <w:rFonts w:ascii="Calibri" w:hAnsi="Calibri" w:cs="Calibri"/>
                <w:color w:val="000000"/>
                <w:sz w:val="18"/>
                <w:szCs w:val="18"/>
              </w:rPr>
              <w:t>-</w:t>
            </w:r>
            <w:r w:rsidR="0064743F" w:rsidRPr="00D13694">
              <w:rPr>
                <w:rFonts w:ascii="Calibri" w:hAnsi="Calibri" w:cs="Calibri"/>
                <w:color w:val="000000"/>
                <w:sz w:val="18"/>
                <w:szCs w:val="18"/>
              </w:rPr>
              <w:t> </w:t>
            </w:r>
          </w:p>
        </w:tc>
      </w:tr>
      <w:tr w:rsidR="0064743F" w:rsidRPr="00D13694" w14:paraId="448C7E3A" w14:textId="77777777" w:rsidTr="00690AB0">
        <w:trPr>
          <w:trHeight w:hRule="exact" w:val="255"/>
        </w:trPr>
        <w:tc>
          <w:tcPr>
            <w:tcW w:w="6212" w:type="dxa"/>
            <w:tcBorders>
              <w:top w:val="nil"/>
              <w:left w:val="single" w:sz="8" w:space="0" w:color="FFFFFF"/>
              <w:bottom w:val="single" w:sz="8" w:space="0" w:color="FFFFFF"/>
              <w:right w:val="single" w:sz="8" w:space="0" w:color="FFFFFF"/>
            </w:tcBorders>
            <w:shd w:val="clear" w:color="000000" w:fill="D9E2F3"/>
            <w:noWrap/>
            <w:vAlign w:val="center"/>
            <w:hideMark/>
          </w:tcPr>
          <w:p w14:paraId="5698CD90" w14:textId="77777777" w:rsidR="0064743F" w:rsidRDefault="0064743F">
            <w:pPr>
              <w:ind w:firstLineChars="100" w:firstLine="180"/>
              <w:rPr>
                <w:rFonts w:ascii="Calibri" w:hAnsi="Calibri" w:cs="Calibri"/>
                <w:color w:val="000000"/>
                <w:sz w:val="18"/>
                <w:szCs w:val="18"/>
              </w:rPr>
            </w:pPr>
            <w:r>
              <w:rPr>
                <w:rFonts w:ascii="Calibri" w:hAnsi="Calibri" w:cs="Calibri"/>
                <w:color w:val="000000"/>
                <w:sz w:val="18"/>
                <w:szCs w:val="18"/>
              </w:rPr>
              <w:t>CGM - Compras em Grupo de Moçambique, S.A.R.L. (em liquidação)</w:t>
            </w:r>
          </w:p>
        </w:tc>
        <w:tc>
          <w:tcPr>
            <w:tcW w:w="1164" w:type="dxa"/>
            <w:tcBorders>
              <w:top w:val="nil"/>
              <w:left w:val="nil"/>
              <w:bottom w:val="single" w:sz="8" w:space="0" w:color="FFFFFF"/>
              <w:right w:val="single" w:sz="8" w:space="0" w:color="FFFFFF"/>
            </w:tcBorders>
            <w:shd w:val="clear" w:color="000000" w:fill="D9E2F3"/>
            <w:noWrap/>
            <w:vAlign w:val="center"/>
            <w:hideMark/>
          </w:tcPr>
          <w:p w14:paraId="3F12E547" w14:textId="77777777" w:rsidR="0064743F" w:rsidRDefault="0064743F">
            <w:pPr>
              <w:jc w:val="center"/>
              <w:rPr>
                <w:rFonts w:ascii="Calibri" w:hAnsi="Calibri" w:cs="Calibri"/>
                <w:color w:val="000000"/>
                <w:sz w:val="18"/>
                <w:szCs w:val="18"/>
              </w:rPr>
            </w:pPr>
            <w:r>
              <w:rPr>
                <w:rFonts w:ascii="Calibri" w:hAnsi="Calibri" w:cs="Calibri"/>
                <w:color w:val="000000"/>
                <w:sz w:val="18"/>
                <w:szCs w:val="18"/>
              </w:rPr>
              <w:t>19,23%</w:t>
            </w:r>
          </w:p>
        </w:tc>
        <w:tc>
          <w:tcPr>
            <w:tcW w:w="1129" w:type="dxa"/>
            <w:tcBorders>
              <w:top w:val="nil"/>
              <w:left w:val="nil"/>
              <w:bottom w:val="single" w:sz="8" w:space="0" w:color="FFFFFF"/>
              <w:right w:val="single" w:sz="8" w:space="0" w:color="FFFFFF"/>
            </w:tcBorders>
            <w:shd w:val="clear" w:color="000000" w:fill="D9E2F3"/>
            <w:noWrap/>
            <w:vAlign w:val="center"/>
            <w:hideMark/>
          </w:tcPr>
          <w:p w14:paraId="52F2B812" w14:textId="682C3D4A" w:rsidR="0064743F" w:rsidRPr="00D13694" w:rsidRDefault="002F6671">
            <w:pPr>
              <w:jc w:val="right"/>
              <w:rPr>
                <w:rFonts w:ascii="Calibri" w:hAnsi="Calibri" w:cs="Calibri"/>
                <w:color w:val="000000"/>
                <w:sz w:val="18"/>
                <w:szCs w:val="18"/>
              </w:rPr>
            </w:pPr>
            <w:r w:rsidRPr="00D13694">
              <w:rPr>
                <w:rFonts w:ascii="Calibri" w:hAnsi="Calibri" w:cs="Calibri"/>
                <w:color w:val="000000"/>
                <w:sz w:val="18"/>
                <w:szCs w:val="18"/>
              </w:rPr>
              <w:t>-</w:t>
            </w:r>
            <w:r w:rsidR="0064743F" w:rsidRPr="00D13694">
              <w:rPr>
                <w:rFonts w:ascii="Calibri" w:hAnsi="Calibri" w:cs="Calibri"/>
                <w:color w:val="000000"/>
                <w:sz w:val="18"/>
                <w:szCs w:val="18"/>
              </w:rPr>
              <w:t> </w:t>
            </w:r>
          </w:p>
        </w:tc>
      </w:tr>
      <w:tr w:rsidR="0064743F" w:rsidRPr="00D13694" w14:paraId="56B78731" w14:textId="77777777" w:rsidTr="00690AB0">
        <w:trPr>
          <w:trHeight w:hRule="exact" w:val="255"/>
        </w:trPr>
        <w:tc>
          <w:tcPr>
            <w:tcW w:w="6212" w:type="dxa"/>
            <w:tcBorders>
              <w:top w:val="nil"/>
              <w:left w:val="single" w:sz="8" w:space="0" w:color="FFFFFF"/>
              <w:bottom w:val="single" w:sz="8" w:space="0" w:color="FFFFFF"/>
              <w:right w:val="single" w:sz="8" w:space="0" w:color="FFFFFF"/>
            </w:tcBorders>
            <w:shd w:val="clear" w:color="000000" w:fill="D9E2F3"/>
            <w:noWrap/>
            <w:vAlign w:val="center"/>
            <w:hideMark/>
          </w:tcPr>
          <w:p w14:paraId="5CD3624B" w14:textId="77777777" w:rsidR="0064743F" w:rsidRDefault="0064743F">
            <w:pPr>
              <w:ind w:firstLineChars="100" w:firstLine="180"/>
              <w:rPr>
                <w:rFonts w:ascii="Calibri" w:hAnsi="Calibri" w:cs="Calibri"/>
                <w:color w:val="000000"/>
                <w:sz w:val="18"/>
                <w:szCs w:val="18"/>
              </w:rPr>
            </w:pPr>
            <w:proofErr w:type="spellStart"/>
            <w:r>
              <w:rPr>
                <w:rFonts w:ascii="Calibri" w:hAnsi="Calibri" w:cs="Calibri"/>
                <w:color w:val="000000"/>
                <w:sz w:val="18"/>
                <w:szCs w:val="18"/>
              </w:rPr>
              <w:t>Ergorent</w:t>
            </w:r>
            <w:proofErr w:type="spellEnd"/>
            <w:r>
              <w:rPr>
                <w:rFonts w:ascii="Calibri" w:hAnsi="Calibri" w:cs="Calibri"/>
                <w:color w:val="000000"/>
                <w:sz w:val="18"/>
                <w:szCs w:val="18"/>
              </w:rPr>
              <w:t xml:space="preserve"> - Aluguer e Comércio de Equipamentos e Serviços S.A. (em liquidação)</w:t>
            </w:r>
          </w:p>
        </w:tc>
        <w:tc>
          <w:tcPr>
            <w:tcW w:w="1164" w:type="dxa"/>
            <w:tcBorders>
              <w:top w:val="nil"/>
              <w:left w:val="nil"/>
              <w:bottom w:val="single" w:sz="8" w:space="0" w:color="FFFFFF"/>
              <w:right w:val="single" w:sz="8" w:space="0" w:color="FFFFFF"/>
            </w:tcBorders>
            <w:shd w:val="clear" w:color="000000" w:fill="D9E2F3"/>
            <w:noWrap/>
            <w:vAlign w:val="center"/>
            <w:hideMark/>
          </w:tcPr>
          <w:p w14:paraId="346EAE50" w14:textId="77777777" w:rsidR="0064743F" w:rsidRDefault="0064743F">
            <w:pPr>
              <w:jc w:val="center"/>
              <w:rPr>
                <w:rFonts w:ascii="Calibri" w:hAnsi="Calibri" w:cs="Calibri"/>
                <w:color w:val="000000"/>
                <w:sz w:val="18"/>
                <w:szCs w:val="18"/>
              </w:rPr>
            </w:pPr>
            <w:r>
              <w:rPr>
                <w:rFonts w:ascii="Calibri" w:hAnsi="Calibri" w:cs="Calibri"/>
                <w:color w:val="000000"/>
                <w:sz w:val="18"/>
                <w:szCs w:val="18"/>
              </w:rPr>
              <w:t>20,00%</w:t>
            </w:r>
          </w:p>
        </w:tc>
        <w:tc>
          <w:tcPr>
            <w:tcW w:w="1129" w:type="dxa"/>
            <w:tcBorders>
              <w:top w:val="nil"/>
              <w:left w:val="nil"/>
              <w:bottom w:val="single" w:sz="8" w:space="0" w:color="FFFFFF"/>
              <w:right w:val="single" w:sz="8" w:space="0" w:color="FFFFFF"/>
            </w:tcBorders>
            <w:shd w:val="clear" w:color="000000" w:fill="D9E2F3"/>
            <w:noWrap/>
            <w:vAlign w:val="center"/>
            <w:hideMark/>
          </w:tcPr>
          <w:p w14:paraId="15220F74" w14:textId="04383992" w:rsidR="0064743F" w:rsidRPr="00D13694" w:rsidRDefault="002F6671">
            <w:pPr>
              <w:jc w:val="right"/>
              <w:rPr>
                <w:rFonts w:ascii="Calibri" w:hAnsi="Calibri" w:cs="Calibri"/>
                <w:color w:val="000000"/>
                <w:sz w:val="18"/>
                <w:szCs w:val="18"/>
              </w:rPr>
            </w:pPr>
            <w:r w:rsidRPr="00D13694">
              <w:rPr>
                <w:rFonts w:ascii="Calibri" w:hAnsi="Calibri" w:cs="Calibri"/>
                <w:color w:val="000000"/>
                <w:sz w:val="18"/>
                <w:szCs w:val="18"/>
              </w:rPr>
              <w:t>-</w:t>
            </w:r>
            <w:r w:rsidR="0064743F" w:rsidRPr="00D13694">
              <w:rPr>
                <w:rFonts w:ascii="Calibri" w:hAnsi="Calibri" w:cs="Calibri"/>
                <w:color w:val="000000"/>
                <w:sz w:val="18"/>
                <w:szCs w:val="18"/>
              </w:rPr>
              <w:t> </w:t>
            </w:r>
          </w:p>
        </w:tc>
      </w:tr>
      <w:tr w:rsidR="0064743F" w:rsidRPr="00D13694" w14:paraId="78F26DAD" w14:textId="77777777" w:rsidTr="00690AB0">
        <w:trPr>
          <w:trHeight w:hRule="exact" w:val="255"/>
        </w:trPr>
        <w:tc>
          <w:tcPr>
            <w:tcW w:w="6212" w:type="dxa"/>
            <w:tcBorders>
              <w:top w:val="nil"/>
              <w:left w:val="single" w:sz="8" w:space="0" w:color="FFFFFF"/>
              <w:bottom w:val="single" w:sz="8" w:space="0" w:color="FFFFFF"/>
              <w:right w:val="single" w:sz="8" w:space="0" w:color="FFFFFF"/>
            </w:tcBorders>
            <w:shd w:val="clear" w:color="000000" w:fill="D9E2F3"/>
            <w:noWrap/>
            <w:vAlign w:val="center"/>
            <w:hideMark/>
          </w:tcPr>
          <w:p w14:paraId="59CA4987" w14:textId="77777777" w:rsidR="0064743F" w:rsidRDefault="0064743F">
            <w:pPr>
              <w:ind w:firstLineChars="100" w:firstLine="180"/>
              <w:rPr>
                <w:rFonts w:ascii="Calibri" w:hAnsi="Calibri" w:cs="Calibri"/>
                <w:color w:val="000000"/>
                <w:sz w:val="18"/>
                <w:szCs w:val="18"/>
              </w:rPr>
            </w:pPr>
            <w:proofErr w:type="spellStart"/>
            <w:r>
              <w:rPr>
                <w:rFonts w:ascii="Calibri" w:hAnsi="Calibri" w:cs="Calibri"/>
                <w:color w:val="000000"/>
                <w:sz w:val="18"/>
                <w:szCs w:val="18"/>
              </w:rPr>
              <w:t>Sensorent</w:t>
            </w:r>
            <w:proofErr w:type="spellEnd"/>
            <w:r>
              <w:rPr>
                <w:rFonts w:ascii="Calibri" w:hAnsi="Calibri" w:cs="Calibri"/>
                <w:color w:val="000000"/>
                <w:sz w:val="18"/>
                <w:szCs w:val="18"/>
              </w:rPr>
              <w:t xml:space="preserve"> - Aluguer, Comércio de Equipamentos e Serviços S.A. (em liquidação)</w:t>
            </w:r>
          </w:p>
        </w:tc>
        <w:tc>
          <w:tcPr>
            <w:tcW w:w="1164" w:type="dxa"/>
            <w:tcBorders>
              <w:top w:val="nil"/>
              <w:left w:val="nil"/>
              <w:bottom w:val="single" w:sz="8" w:space="0" w:color="FFFFFF"/>
              <w:right w:val="single" w:sz="8" w:space="0" w:color="FFFFFF"/>
            </w:tcBorders>
            <w:shd w:val="clear" w:color="000000" w:fill="D9E2F3"/>
            <w:noWrap/>
            <w:vAlign w:val="center"/>
            <w:hideMark/>
          </w:tcPr>
          <w:p w14:paraId="40739B02" w14:textId="77777777" w:rsidR="0064743F" w:rsidRDefault="0064743F">
            <w:pPr>
              <w:jc w:val="center"/>
              <w:rPr>
                <w:rFonts w:ascii="Calibri" w:hAnsi="Calibri" w:cs="Calibri"/>
                <w:color w:val="000000"/>
                <w:sz w:val="18"/>
                <w:szCs w:val="18"/>
              </w:rPr>
            </w:pPr>
            <w:r>
              <w:rPr>
                <w:rFonts w:ascii="Calibri" w:hAnsi="Calibri" w:cs="Calibri"/>
                <w:color w:val="000000"/>
                <w:sz w:val="18"/>
                <w:szCs w:val="18"/>
              </w:rPr>
              <w:t>19,00%</w:t>
            </w:r>
          </w:p>
        </w:tc>
        <w:tc>
          <w:tcPr>
            <w:tcW w:w="1129" w:type="dxa"/>
            <w:tcBorders>
              <w:top w:val="nil"/>
              <w:left w:val="nil"/>
              <w:bottom w:val="single" w:sz="8" w:space="0" w:color="FFFFFF"/>
              <w:right w:val="single" w:sz="8" w:space="0" w:color="FFFFFF"/>
            </w:tcBorders>
            <w:shd w:val="clear" w:color="000000" w:fill="D9E2F3"/>
            <w:noWrap/>
            <w:vAlign w:val="center"/>
            <w:hideMark/>
          </w:tcPr>
          <w:p w14:paraId="2E0E62D6" w14:textId="7C0548E9" w:rsidR="0064743F" w:rsidRPr="00D13694" w:rsidRDefault="002F6671">
            <w:pPr>
              <w:jc w:val="right"/>
              <w:rPr>
                <w:rFonts w:ascii="Calibri" w:hAnsi="Calibri" w:cs="Calibri"/>
                <w:color w:val="000000"/>
                <w:sz w:val="18"/>
                <w:szCs w:val="18"/>
              </w:rPr>
            </w:pPr>
            <w:r w:rsidRPr="00D13694">
              <w:rPr>
                <w:rFonts w:ascii="Calibri" w:hAnsi="Calibri" w:cs="Calibri"/>
                <w:color w:val="000000"/>
                <w:sz w:val="18"/>
                <w:szCs w:val="18"/>
              </w:rPr>
              <w:t>-</w:t>
            </w:r>
            <w:r w:rsidR="0064743F" w:rsidRPr="00D13694">
              <w:rPr>
                <w:rFonts w:ascii="Calibri" w:hAnsi="Calibri" w:cs="Calibri"/>
                <w:color w:val="000000"/>
                <w:sz w:val="18"/>
                <w:szCs w:val="18"/>
              </w:rPr>
              <w:t> </w:t>
            </w:r>
          </w:p>
        </w:tc>
      </w:tr>
      <w:tr w:rsidR="0064743F" w:rsidRPr="00D13694" w14:paraId="130C5B87" w14:textId="77777777" w:rsidTr="00690AB0">
        <w:trPr>
          <w:trHeight w:hRule="exact" w:val="255"/>
        </w:trPr>
        <w:tc>
          <w:tcPr>
            <w:tcW w:w="6212" w:type="dxa"/>
            <w:tcBorders>
              <w:top w:val="nil"/>
              <w:left w:val="single" w:sz="8" w:space="0" w:color="FFFFFF"/>
              <w:bottom w:val="single" w:sz="8" w:space="0" w:color="FFFFFF"/>
              <w:right w:val="single" w:sz="8" w:space="0" w:color="FFFFFF"/>
            </w:tcBorders>
            <w:shd w:val="clear" w:color="000000" w:fill="D9E2F3"/>
            <w:noWrap/>
            <w:vAlign w:val="center"/>
            <w:hideMark/>
          </w:tcPr>
          <w:p w14:paraId="0766800F" w14:textId="7C76F0DE" w:rsidR="0064743F" w:rsidRPr="007430A8" w:rsidRDefault="0064743F" w:rsidP="007430A8">
            <w:pPr>
              <w:jc w:val="right"/>
              <w:rPr>
                <w:rFonts w:ascii="Calibri" w:hAnsi="Calibri" w:cs="Calibri"/>
                <w:b/>
                <w:bCs/>
                <w:color w:val="000000"/>
                <w:sz w:val="18"/>
                <w:szCs w:val="18"/>
              </w:rPr>
            </w:pPr>
            <w:r>
              <w:rPr>
                <w:rFonts w:ascii="Calibri" w:hAnsi="Calibri" w:cs="Calibri"/>
                <w:color w:val="000000"/>
                <w:sz w:val="18"/>
                <w:szCs w:val="18"/>
              </w:rPr>
              <w:t> </w:t>
            </w:r>
            <w:proofErr w:type="spellStart"/>
            <w:r w:rsidR="00A64C7C" w:rsidRPr="007430A8">
              <w:rPr>
                <w:rFonts w:ascii="Calibri" w:hAnsi="Calibri" w:cs="Calibri"/>
                <w:b/>
                <w:bCs/>
                <w:color w:val="000000"/>
                <w:sz w:val="18"/>
                <w:szCs w:val="18"/>
              </w:rPr>
              <w:t>Sub-Total</w:t>
            </w:r>
            <w:proofErr w:type="spellEnd"/>
          </w:p>
        </w:tc>
        <w:tc>
          <w:tcPr>
            <w:tcW w:w="1164" w:type="dxa"/>
            <w:tcBorders>
              <w:top w:val="nil"/>
              <w:left w:val="nil"/>
              <w:bottom w:val="single" w:sz="8" w:space="0" w:color="FFFFFF"/>
              <w:right w:val="single" w:sz="8" w:space="0" w:color="FFFFFF"/>
            </w:tcBorders>
            <w:shd w:val="clear" w:color="000000" w:fill="D9E2F3"/>
            <w:noWrap/>
            <w:vAlign w:val="center"/>
            <w:hideMark/>
          </w:tcPr>
          <w:p w14:paraId="024B7CD2" w14:textId="77777777" w:rsidR="0064743F" w:rsidRDefault="0064743F">
            <w:pPr>
              <w:jc w:val="center"/>
              <w:rPr>
                <w:rFonts w:ascii="Calibri" w:hAnsi="Calibri" w:cs="Calibri"/>
                <w:color w:val="000000"/>
                <w:sz w:val="18"/>
                <w:szCs w:val="18"/>
              </w:rPr>
            </w:pPr>
            <w:r>
              <w:rPr>
                <w:rFonts w:ascii="Calibri" w:hAnsi="Calibri" w:cs="Calibri"/>
                <w:color w:val="000000"/>
                <w:sz w:val="18"/>
                <w:szCs w:val="18"/>
              </w:rPr>
              <w:t> </w:t>
            </w:r>
          </w:p>
        </w:tc>
        <w:tc>
          <w:tcPr>
            <w:tcW w:w="1129" w:type="dxa"/>
            <w:tcBorders>
              <w:top w:val="nil"/>
              <w:left w:val="nil"/>
              <w:bottom w:val="single" w:sz="8" w:space="0" w:color="FFFFFF"/>
              <w:right w:val="single" w:sz="8" w:space="0" w:color="FFFFFF"/>
            </w:tcBorders>
            <w:shd w:val="clear" w:color="000000" w:fill="D9E2F3"/>
            <w:noWrap/>
            <w:vAlign w:val="center"/>
            <w:hideMark/>
          </w:tcPr>
          <w:p w14:paraId="25002EB3" w14:textId="5FF35DF0" w:rsidR="0064743F" w:rsidRPr="00D13694" w:rsidRDefault="00A32503">
            <w:pPr>
              <w:jc w:val="right"/>
              <w:rPr>
                <w:rFonts w:ascii="Calibri" w:hAnsi="Calibri" w:cs="Calibri"/>
                <w:b/>
                <w:bCs/>
                <w:color w:val="000000"/>
                <w:sz w:val="18"/>
                <w:szCs w:val="18"/>
              </w:rPr>
            </w:pPr>
            <w:r>
              <w:rPr>
                <w:rFonts w:ascii="Calibri" w:hAnsi="Calibri" w:cs="Calibri"/>
                <w:b/>
                <w:bCs/>
                <w:color w:val="000000"/>
                <w:sz w:val="18"/>
                <w:szCs w:val="18"/>
              </w:rPr>
              <w:t>9</w:t>
            </w:r>
            <w:r w:rsidR="0064743F" w:rsidRPr="00D13694">
              <w:rPr>
                <w:rFonts w:ascii="Calibri" w:hAnsi="Calibri" w:cs="Calibri"/>
                <w:b/>
                <w:bCs/>
                <w:color w:val="000000"/>
                <w:sz w:val="18"/>
                <w:szCs w:val="18"/>
              </w:rPr>
              <w:t xml:space="preserve"> </w:t>
            </w:r>
            <w:r>
              <w:rPr>
                <w:rFonts w:ascii="Calibri" w:hAnsi="Calibri" w:cs="Calibri"/>
                <w:b/>
                <w:bCs/>
                <w:color w:val="000000"/>
                <w:sz w:val="18"/>
                <w:szCs w:val="18"/>
              </w:rPr>
              <w:t>56</w:t>
            </w:r>
            <w:r w:rsidR="005D42D5">
              <w:rPr>
                <w:rFonts w:ascii="Calibri" w:hAnsi="Calibri" w:cs="Calibri"/>
                <w:b/>
                <w:bCs/>
                <w:color w:val="000000"/>
                <w:sz w:val="18"/>
                <w:szCs w:val="18"/>
              </w:rPr>
              <w:t>3</w:t>
            </w:r>
          </w:p>
        </w:tc>
      </w:tr>
      <w:tr w:rsidR="0064743F" w14:paraId="2EEA1407" w14:textId="77777777" w:rsidTr="00690AB0">
        <w:trPr>
          <w:trHeight w:hRule="exact" w:val="255"/>
        </w:trPr>
        <w:tc>
          <w:tcPr>
            <w:tcW w:w="6212" w:type="dxa"/>
            <w:tcBorders>
              <w:top w:val="nil"/>
              <w:left w:val="single" w:sz="8" w:space="0" w:color="FFFFFF"/>
              <w:bottom w:val="single" w:sz="8" w:space="0" w:color="FFFFFF"/>
              <w:right w:val="single" w:sz="8" w:space="0" w:color="FFFFFF"/>
            </w:tcBorders>
            <w:shd w:val="clear" w:color="000000" w:fill="D9E2F3"/>
            <w:noWrap/>
            <w:vAlign w:val="center"/>
            <w:hideMark/>
          </w:tcPr>
          <w:p w14:paraId="5C2013FF" w14:textId="77777777" w:rsidR="0064743F" w:rsidRDefault="0064743F">
            <w:pPr>
              <w:rPr>
                <w:rFonts w:ascii="Calibri" w:hAnsi="Calibri" w:cs="Calibri"/>
                <w:color w:val="000000"/>
                <w:sz w:val="18"/>
                <w:szCs w:val="18"/>
              </w:rPr>
            </w:pPr>
            <w:r>
              <w:rPr>
                <w:rFonts w:ascii="Calibri" w:hAnsi="Calibri" w:cs="Calibri"/>
                <w:color w:val="000000"/>
                <w:sz w:val="18"/>
                <w:szCs w:val="18"/>
              </w:rPr>
              <w:t> </w:t>
            </w:r>
          </w:p>
        </w:tc>
        <w:tc>
          <w:tcPr>
            <w:tcW w:w="1164" w:type="dxa"/>
            <w:tcBorders>
              <w:top w:val="nil"/>
              <w:left w:val="nil"/>
              <w:bottom w:val="single" w:sz="8" w:space="0" w:color="FFFFFF"/>
              <w:right w:val="single" w:sz="8" w:space="0" w:color="FFFFFF"/>
            </w:tcBorders>
            <w:shd w:val="clear" w:color="000000" w:fill="D9E2F3"/>
            <w:noWrap/>
            <w:vAlign w:val="center"/>
            <w:hideMark/>
          </w:tcPr>
          <w:p w14:paraId="55AC0231" w14:textId="77777777" w:rsidR="0064743F" w:rsidRDefault="0064743F">
            <w:pPr>
              <w:jc w:val="center"/>
              <w:rPr>
                <w:rFonts w:ascii="Calibri" w:hAnsi="Calibri" w:cs="Calibri"/>
                <w:color w:val="000000"/>
                <w:sz w:val="18"/>
                <w:szCs w:val="18"/>
              </w:rPr>
            </w:pPr>
            <w:r>
              <w:rPr>
                <w:rFonts w:ascii="Calibri" w:hAnsi="Calibri" w:cs="Calibri"/>
                <w:color w:val="000000"/>
                <w:sz w:val="18"/>
                <w:szCs w:val="18"/>
              </w:rPr>
              <w:t> </w:t>
            </w:r>
          </w:p>
        </w:tc>
        <w:tc>
          <w:tcPr>
            <w:tcW w:w="1129" w:type="dxa"/>
            <w:tcBorders>
              <w:top w:val="nil"/>
              <w:left w:val="nil"/>
              <w:bottom w:val="single" w:sz="8" w:space="0" w:color="FFFFFF"/>
              <w:right w:val="single" w:sz="8" w:space="0" w:color="FFFFFF"/>
            </w:tcBorders>
            <w:shd w:val="clear" w:color="000000" w:fill="D9E2F3"/>
            <w:noWrap/>
            <w:vAlign w:val="center"/>
            <w:hideMark/>
          </w:tcPr>
          <w:p w14:paraId="42DCE280" w14:textId="77777777" w:rsidR="0064743F" w:rsidRPr="00455F9C" w:rsidRDefault="0064743F">
            <w:pPr>
              <w:jc w:val="right"/>
              <w:rPr>
                <w:rFonts w:ascii="Calibri" w:hAnsi="Calibri" w:cs="Calibri"/>
                <w:b/>
                <w:bCs/>
                <w:color w:val="000000"/>
                <w:sz w:val="18"/>
                <w:szCs w:val="18"/>
              </w:rPr>
            </w:pPr>
            <w:r w:rsidRPr="00455F9C">
              <w:rPr>
                <w:rFonts w:ascii="Calibri" w:hAnsi="Calibri" w:cs="Calibri"/>
                <w:b/>
                <w:bCs/>
                <w:color w:val="000000"/>
                <w:sz w:val="18"/>
                <w:szCs w:val="18"/>
              </w:rPr>
              <w:t> </w:t>
            </w:r>
          </w:p>
        </w:tc>
      </w:tr>
      <w:tr w:rsidR="0064743F" w:rsidRPr="0064743F" w14:paraId="4DAAA93F" w14:textId="77777777" w:rsidTr="00690AB0">
        <w:trPr>
          <w:trHeight w:hRule="exact" w:val="255"/>
        </w:trPr>
        <w:tc>
          <w:tcPr>
            <w:tcW w:w="6212" w:type="dxa"/>
            <w:tcBorders>
              <w:top w:val="nil"/>
              <w:left w:val="single" w:sz="8" w:space="0" w:color="FFFFFF"/>
              <w:bottom w:val="single" w:sz="8" w:space="0" w:color="FFFFFF"/>
              <w:right w:val="single" w:sz="8" w:space="0" w:color="FFFFFF"/>
            </w:tcBorders>
            <w:shd w:val="clear" w:color="000000" w:fill="D9E2F3"/>
            <w:noWrap/>
            <w:vAlign w:val="center"/>
            <w:hideMark/>
          </w:tcPr>
          <w:p w14:paraId="650F2DFA" w14:textId="62D94D4F" w:rsidR="0064743F" w:rsidRPr="0064743F" w:rsidRDefault="0064743F">
            <w:pPr>
              <w:rPr>
                <w:rFonts w:ascii="Calibri" w:hAnsi="Calibri" w:cs="Calibri"/>
                <w:b/>
                <w:bCs/>
                <w:color w:val="000000"/>
                <w:sz w:val="18"/>
                <w:szCs w:val="18"/>
              </w:rPr>
            </w:pPr>
            <w:r w:rsidRPr="0064743F">
              <w:rPr>
                <w:rFonts w:ascii="Calibri" w:hAnsi="Calibri" w:cs="Calibri"/>
                <w:b/>
                <w:bCs/>
                <w:color w:val="000000"/>
                <w:sz w:val="18"/>
                <w:szCs w:val="18"/>
              </w:rPr>
              <w:t>Unidades de participação</w:t>
            </w:r>
          </w:p>
        </w:tc>
        <w:tc>
          <w:tcPr>
            <w:tcW w:w="1164" w:type="dxa"/>
            <w:tcBorders>
              <w:top w:val="nil"/>
              <w:left w:val="nil"/>
              <w:bottom w:val="single" w:sz="8" w:space="0" w:color="FFFFFF"/>
              <w:right w:val="single" w:sz="8" w:space="0" w:color="FFFFFF"/>
            </w:tcBorders>
            <w:shd w:val="clear" w:color="000000" w:fill="D9E2F3"/>
            <w:noWrap/>
            <w:vAlign w:val="center"/>
            <w:hideMark/>
          </w:tcPr>
          <w:p w14:paraId="1263BD12" w14:textId="77777777" w:rsidR="0064743F" w:rsidRPr="0064743F" w:rsidRDefault="0064743F">
            <w:pPr>
              <w:jc w:val="center"/>
              <w:rPr>
                <w:rFonts w:ascii="Calibri" w:hAnsi="Calibri" w:cs="Calibri"/>
                <w:b/>
                <w:bCs/>
                <w:color w:val="000000"/>
                <w:sz w:val="18"/>
                <w:szCs w:val="18"/>
              </w:rPr>
            </w:pPr>
            <w:r w:rsidRPr="0064743F">
              <w:rPr>
                <w:rFonts w:ascii="Calibri" w:hAnsi="Calibri" w:cs="Calibri"/>
                <w:b/>
                <w:bCs/>
                <w:color w:val="000000"/>
                <w:sz w:val="18"/>
                <w:szCs w:val="18"/>
              </w:rPr>
              <w:t> </w:t>
            </w:r>
          </w:p>
        </w:tc>
        <w:tc>
          <w:tcPr>
            <w:tcW w:w="1129" w:type="dxa"/>
            <w:tcBorders>
              <w:top w:val="nil"/>
              <w:left w:val="nil"/>
              <w:bottom w:val="single" w:sz="8" w:space="0" w:color="FFFFFF"/>
              <w:right w:val="single" w:sz="8" w:space="0" w:color="FFFFFF"/>
            </w:tcBorders>
            <w:shd w:val="clear" w:color="000000" w:fill="D9E2F3"/>
            <w:noWrap/>
            <w:vAlign w:val="center"/>
            <w:hideMark/>
          </w:tcPr>
          <w:p w14:paraId="17590893" w14:textId="77777777" w:rsidR="0064743F" w:rsidRPr="00455F9C" w:rsidRDefault="0064743F">
            <w:pPr>
              <w:jc w:val="right"/>
              <w:rPr>
                <w:rFonts w:ascii="Calibri" w:hAnsi="Calibri" w:cs="Calibri"/>
                <w:b/>
                <w:bCs/>
                <w:color w:val="000000"/>
                <w:sz w:val="18"/>
                <w:szCs w:val="18"/>
              </w:rPr>
            </w:pPr>
            <w:r w:rsidRPr="00455F9C">
              <w:rPr>
                <w:rFonts w:ascii="Calibri" w:hAnsi="Calibri" w:cs="Calibri"/>
                <w:b/>
                <w:bCs/>
                <w:color w:val="000000"/>
                <w:sz w:val="18"/>
                <w:szCs w:val="18"/>
              </w:rPr>
              <w:t> </w:t>
            </w:r>
          </w:p>
        </w:tc>
      </w:tr>
      <w:tr w:rsidR="0064743F" w14:paraId="483351C1" w14:textId="77777777" w:rsidTr="00690AB0">
        <w:trPr>
          <w:trHeight w:hRule="exact" w:val="255"/>
        </w:trPr>
        <w:tc>
          <w:tcPr>
            <w:tcW w:w="6212" w:type="dxa"/>
            <w:tcBorders>
              <w:top w:val="nil"/>
              <w:left w:val="single" w:sz="8" w:space="0" w:color="FFFFFF"/>
              <w:bottom w:val="single" w:sz="8" w:space="0" w:color="FFFFFF"/>
              <w:right w:val="single" w:sz="8" w:space="0" w:color="FFFFFF"/>
            </w:tcBorders>
            <w:shd w:val="clear" w:color="000000" w:fill="D9E2F3"/>
            <w:noWrap/>
            <w:vAlign w:val="center"/>
            <w:hideMark/>
          </w:tcPr>
          <w:p w14:paraId="272BB86B" w14:textId="77777777" w:rsidR="0064743F" w:rsidRDefault="0064743F">
            <w:pPr>
              <w:ind w:firstLineChars="100" w:firstLine="180"/>
              <w:rPr>
                <w:rFonts w:ascii="Calibri" w:hAnsi="Calibri" w:cs="Calibri"/>
                <w:color w:val="000000"/>
                <w:sz w:val="18"/>
                <w:szCs w:val="18"/>
              </w:rPr>
            </w:pPr>
            <w:r>
              <w:rPr>
                <w:rFonts w:ascii="Calibri" w:hAnsi="Calibri" w:cs="Calibri"/>
                <w:color w:val="000000"/>
                <w:sz w:val="18"/>
                <w:szCs w:val="18"/>
              </w:rPr>
              <w:t xml:space="preserve">F. I. I. A. </w:t>
            </w:r>
            <w:proofErr w:type="spellStart"/>
            <w:r>
              <w:rPr>
                <w:rFonts w:ascii="Calibri" w:hAnsi="Calibri" w:cs="Calibri"/>
                <w:color w:val="000000"/>
                <w:sz w:val="18"/>
                <w:szCs w:val="18"/>
              </w:rPr>
              <w:t>Imonegócios</w:t>
            </w:r>
            <w:proofErr w:type="spellEnd"/>
          </w:p>
        </w:tc>
        <w:tc>
          <w:tcPr>
            <w:tcW w:w="1164" w:type="dxa"/>
            <w:tcBorders>
              <w:top w:val="nil"/>
              <w:left w:val="nil"/>
              <w:bottom w:val="single" w:sz="8" w:space="0" w:color="FFFFFF"/>
              <w:right w:val="single" w:sz="8" w:space="0" w:color="FFFFFF"/>
            </w:tcBorders>
            <w:shd w:val="clear" w:color="000000" w:fill="D9E2F3"/>
            <w:noWrap/>
            <w:vAlign w:val="center"/>
            <w:hideMark/>
          </w:tcPr>
          <w:p w14:paraId="534EB53D" w14:textId="73DAE62E" w:rsidR="0064743F" w:rsidRDefault="0064743F">
            <w:pPr>
              <w:jc w:val="center"/>
              <w:rPr>
                <w:rFonts w:ascii="Calibri" w:hAnsi="Calibri" w:cs="Calibri"/>
                <w:color w:val="000000"/>
                <w:sz w:val="18"/>
                <w:szCs w:val="18"/>
              </w:rPr>
            </w:pPr>
            <w:r>
              <w:rPr>
                <w:rFonts w:ascii="Calibri" w:hAnsi="Calibri" w:cs="Calibri"/>
                <w:color w:val="000000"/>
                <w:sz w:val="18"/>
                <w:szCs w:val="18"/>
              </w:rPr>
              <w:t>9</w:t>
            </w:r>
            <w:r w:rsidR="0085291D">
              <w:rPr>
                <w:rFonts w:ascii="Calibri" w:hAnsi="Calibri" w:cs="Calibri"/>
                <w:color w:val="000000"/>
                <w:sz w:val="18"/>
                <w:szCs w:val="18"/>
              </w:rPr>
              <w:t>9</w:t>
            </w:r>
            <w:r>
              <w:rPr>
                <w:rFonts w:ascii="Calibri" w:hAnsi="Calibri" w:cs="Calibri"/>
                <w:color w:val="000000"/>
                <w:sz w:val="18"/>
                <w:szCs w:val="18"/>
              </w:rPr>
              <w:t>,</w:t>
            </w:r>
            <w:r w:rsidR="00AB2F99">
              <w:rPr>
                <w:rFonts w:ascii="Calibri" w:hAnsi="Calibri" w:cs="Calibri"/>
                <w:color w:val="000000"/>
                <w:sz w:val="18"/>
                <w:szCs w:val="18"/>
              </w:rPr>
              <w:t>9</w:t>
            </w:r>
            <w:r w:rsidR="0085291D">
              <w:rPr>
                <w:rFonts w:ascii="Calibri" w:hAnsi="Calibri" w:cs="Calibri"/>
                <w:color w:val="000000"/>
                <w:sz w:val="18"/>
                <w:szCs w:val="18"/>
              </w:rPr>
              <w:t>9</w:t>
            </w:r>
            <w:r>
              <w:rPr>
                <w:rFonts w:ascii="Calibri" w:hAnsi="Calibri" w:cs="Calibri"/>
                <w:color w:val="000000"/>
                <w:sz w:val="18"/>
                <w:szCs w:val="18"/>
              </w:rPr>
              <w:t>%</w:t>
            </w:r>
          </w:p>
        </w:tc>
        <w:tc>
          <w:tcPr>
            <w:tcW w:w="1129" w:type="dxa"/>
            <w:tcBorders>
              <w:top w:val="nil"/>
              <w:left w:val="nil"/>
              <w:bottom w:val="single" w:sz="8" w:space="0" w:color="FFFFFF"/>
              <w:right w:val="single" w:sz="8" w:space="0" w:color="FFFFFF"/>
            </w:tcBorders>
            <w:shd w:val="clear" w:color="000000" w:fill="D9E2F3"/>
            <w:noWrap/>
            <w:vAlign w:val="center"/>
            <w:hideMark/>
          </w:tcPr>
          <w:p w14:paraId="0D8BD33C" w14:textId="0624BE21" w:rsidR="0064743F" w:rsidRPr="00455F9C" w:rsidRDefault="0064743F">
            <w:pPr>
              <w:jc w:val="right"/>
              <w:rPr>
                <w:rFonts w:ascii="Calibri" w:hAnsi="Calibri" w:cs="Calibri"/>
                <w:color w:val="000000"/>
                <w:sz w:val="18"/>
                <w:szCs w:val="18"/>
              </w:rPr>
            </w:pPr>
            <w:r w:rsidRPr="00455F9C">
              <w:rPr>
                <w:rFonts w:ascii="Calibri" w:hAnsi="Calibri" w:cs="Calibri"/>
                <w:color w:val="000000"/>
                <w:sz w:val="18"/>
                <w:szCs w:val="18"/>
              </w:rPr>
              <w:t>2</w:t>
            </w:r>
            <w:r w:rsidR="002A7D6C">
              <w:rPr>
                <w:rFonts w:ascii="Calibri" w:hAnsi="Calibri" w:cs="Calibri"/>
                <w:color w:val="000000"/>
                <w:sz w:val="18"/>
                <w:szCs w:val="18"/>
              </w:rPr>
              <w:t>26</w:t>
            </w:r>
            <w:r w:rsidRPr="00455F9C">
              <w:rPr>
                <w:rFonts w:ascii="Calibri" w:hAnsi="Calibri" w:cs="Calibri"/>
                <w:color w:val="000000"/>
                <w:sz w:val="18"/>
                <w:szCs w:val="18"/>
              </w:rPr>
              <w:t xml:space="preserve"> </w:t>
            </w:r>
            <w:r w:rsidR="002A7D6C">
              <w:rPr>
                <w:rFonts w:ascii="Calibri" w:hAnsi="Calibri" w:cs="Calibri"/>
                <w:color w:val="000000"/>
                <w:sz w:val="18"/>
                <w:szCs w:val="18"/>
              </w:rPr>
              <w:t>600</w:t>
            </w:r>
          </w:p>
        </w:tc>
      </w:tr>
      <w:tr w:rsidR="0064743F" w14:paraId="35E0187C" w14:textId="77777777" w:rsidTr="00690AB0">
        <w:trPr>
          <w:trHeight w:hRule="exact" w:val="255"/>
        </w:trPr>
        <w:tc>
          <w:tcPr>
            <w:tcW w:w="6212" w:type="dxa"/>
            <w:tcBorders>
              <w:top w:val="nil"/>
              <w:left w:val="single" w:sz="8" w:space="0" w:color="FFFFFF"/>
              <w:bottom w:val="single" w:sz="8" w:space="0" w:color="FFFFFF"/>
              <w:right w:val="single" w:sz="8" w:space="0" w:color="FFFFFF"/>
            </w:tcBorders>
            <w:shd w:val="clear" w:color="000000" w:fill="D9E2F3"/>
            <w:noWrap/>
            <w:vAlign w:val="center"/>
            <w:hideMark/>
          </w:tcPr>
          <w:p w14:paraId="73D4325A" w14:textId="77777777" w:rsidR="0064743F" w:rsidRDefault="0064743F">
            <w:pPr>
              <w:ind w:firstLineChars="100" w:firstLine="180"/>
              <w:rPr>
                <w:rFonts w:ascii="Calibri" w:hAnsi="Calibri" w:cs="Calibri"/>
                <w:color w:val="000000"/>
                <w:sz w:val="18"/>
                <w:szCs w:val="18"/>
              </w:rPr>
            </w:pPr>
            <w:r>
              <w:rPr>
                <w:rFonts w:ascii="Calibri" w:hAnsi="Calibri" w:cs="Calibri"/>
                <w:color w:val="000000"/>
                <w:sz w:val="18"/>
                <w:szCs w:val="18"/>
              </w:rPr>
              <w:t xml:space="preserve">Fundo </w:t>
            </w:r>
            <w:proofErr w:type="spellStart"/>
            <w:r>
              <w:rPr>
                <w:rFonts w:ascii="Calibri" w:hAnsi="Calibri" w:cs="Calibri"/>
                <w:color w:val="000000"/>
                <w:sz w:val="18"/>
                <w:szCs w:val="18"/>
              </w:rPr>
              <w:t>Aquarius</w:t>
            </w:r>
            <w:proofErr w:type="spellEnd"/>
            <w:r>
              <w:rPr>
                <w:rFonts w:ascii="Calibri" w:hAnsi="Calibri" w:cs="Calibri"/>
                <w:color w:val="000000"/>
                <w:sz w:val="18"/>
                <w:szCs w:val="18"/>
              </w:rPr>
              <w:t>, FCR</w:t>
            </w:r>
          </w:p>
        </w:tc>
        <w:tc>
          <w:tcPr>
            <w:tcW w:w="1164" w:type="dxa"/>
            <w:tcBorders>
              <w:top w:val="nil"/>
              <w:left w:val="nil"/>
              <w:bottom w:val="single" w:sz="8" w:space="0" w:color="FFFFFF"/>
              <w:right w:val="single" w:sz="8" w:space="0" w:color="FFFFFF"/>
            </w:tcBorders>
            <w:shd w:val="clear" w:color="000000" w:fill="D9E2F3"/>
            <w:noWrap/>
            <w:vAlign w:val="center"/>
            <w:hideMark/>
          </w:tcPr>
          <w:p w14:paraId="2E9C8D59" w14:textId="77777777" w:rsidR="0064743F" w:rsidRDefault="0064743F">
            <w:pPr>
              <w:jc w:val="center"/>
              <w:rPr>
                <w:rFonts w:ascii="Calibri" w:hAnsi="Calibri" w:cs="Calibri"/>
                <w:color w:val="000000"/>
                <w:sz w:val="18"/>
                <w:szCs w:val="18"/>
              </w:rPr>
            </w:pPr>
            <w:r>
              <w:rPr>
                <w:rFonts w:ascii="Calibri" w:hAnsi="Calibri" w:cs="Calibri"/>
                <w:color w:val="000000"/>
                <w:sz w:val="18"/>
                <w:szCs w:val="18"/>
              </w:rPr>
              <w:t>0,77%</w:t>
            </w:r>
          </w:p>
        </w:tc>
        <w:tc>
          <w:tcPr>
            <w:tcW w:w="1129" w:type="dxa"/>
            <w:tcBorders>
              <w:top w:val="nil"/>
              <w:left w:val="nil"/>
              <w:bottom w:val="single" w:sz="8" w:space="0" w:color="FFFFFF"/>
              <w:right w:val="single" w:sz="8" w:space="0" w:color="FFFFFF"/>
            </w:tcBorders>
            <w:shd w:val="clear" w:color="000000" w:fill="D9E2F3"/>
            <w:noWrap/>
            <w:vAlign w:val="center"/>
            <w:hideMark/>
          </w:tcPr>
          <w:p w14:paraId="46E7637A" w14:textId="5F20C373" w:rsidR="0064743F" w:rsidRPr="00455F9C" w:rsidRDefault="002F6671">
            <w:pPr>
              <w:jc w:val="right"/>
              <w:rPr>
                <w:rFonts w:ascii="Calibri" w:hAnsi="Calibri" w:cs="Calibri"/>
                <w:color w:val="000000"/>
                <w:sz w:val="18"/>
                <w:szCs w:val="18"/>
              </w:rPr>
            </w:pPr>
            <w:r w:rsidRPr="00455F9C">
              <w:rPr>
                <w:rFonts w:ascii="Calibri" w:hAnsi="Calibri" w:cs="Calibri"/>
                <w:color w:val="000000"/>
                <w:sz w:val="18"/>
                <w:szCs w:val="18"/>
              </w:rPr>
              <w:t>2</w:t>
            </w:r>
            <w:r w:rsidR="0064743F" w:rsidRPr="00455F9C">
              <w:rPr>
                <w:rFonts w:ascii="Calibri" w:hAnsi="Calibri" w:cs="Calibri"/>
                <w:color w:val="000000"/>
                <w:sz w:val="18"/>
                <w:szCs w:val="18"/>
              </w:rPr>
              <w:t xml:space="preserve"> </w:t>
            </w:r>
            <w:r w:rsidR="00D13694">
              <w:rPr>
                <w:rFonts w:ascii="Calibri" w:hAnsi="Calibri" w:cs="Calibri"/>
                <w:color w:val="000000"/>
                <w:sz w:val="18"/>
                <w:szCs w:val="18"/>
              </w:rPr>
              <w:t>050</w:t>
            </w:r>
          </w:p>
        </w:tc>
      </w:tr>
      <w:tr w:rsidR="0064743F" w14:paraId="1C60C5DA" w14:textId="77777777" w:rsidTr="00690AB0">
        <w:trPr>
          <w:trHeight w:hRule="exact" w:val="255"/>
        </w:trPr>
        <w:tc>
          <w:tcPr>
            <w:tcW w:w="6212" w:type="dxa"/>
            <w:tcBorders>
              <w:top w:val="nil"/>
              <w:left w:val="single" w:sz="8" w:space="0" w:color="FFFFFF"/>
              <w:bottom w:val="single" w:sz="8" w:space="0" w:color="FFFFFF"/>
              <w:right w:val="single" w:sz="8" w:space="0" w:color="FFFFFF"/>
            </w:tcBorders>
            <w:shd w:val="clear" w:color="000000" w:fill="D9E2F3"/>
            <w:noWrap/>
            <w:vAlign w:val="center"/>
            <w:hideMark/>
          </w:tcPr>
          <w:p w14:paraId="71182CBA" w14:textId="77777777" w:rsidR="0064743F" w:rsidRDefault="0064743F">
            <w:pPr>
              <w:ind w:firstLineChars="100" w:firstLine="180"/>
              <w:rPr>
                <w:rFonts w:ascii="Calibri" w:hAnsi="Calibri" w:cs="Calibri"/>
                <w:color w:val="000000"/>
                <w:sz w:val="18"/>
                <w:szCs w:val="18"/>
              </w:rPr>
            </w:pPr>
            <w:r>
              <w:rPr>
                <w:rFonts w:ascii="Calibri" w:hAnsi="Calibri" w:cs="Calibri"/>
                <w:color w:val="000000"/>
                <w:sz w:val="18"/>
                <w:szCs w:val="18"/>
              </w:rPr>
              <w:t>Fundo VEGA</w:t>
            </w:r>
          </w:p>
        </w:tc>
        <w:tc>
          <w:tcPr>
            <w:tcW w:w="1164" w:type="dxa"/>
            <w:tcBorders>
              <w:top w:val="nil"/>
              <w:left w:val="nil"/>
              <w:bottom w:val="single" w:sz="8" w:space="0" w:color="FFFFFF"/>
              <w:right w:val="single" w:sz="8" w:space="0" w:color="FFFFFF"/>
            </w:tcBorders>
            <w:shd w:val="clear" w:color="000000" w:fill="D9E2F3"/>
            <w:noWrap/>
            <w:vAlign w:val="center"/>
            <w:hideMark/>
          </w:tcPr>
          <w:p w14:paraId="4778DA0D" w14:textId="77777777" w:rsidR="0064743F" w:rsidRDefault="0064743F">
            <w:pPr>
              <w:jc w:val="center"/>
              <w:rPr>
                <w:rFonts w:ascii="Calibri" w:hAnsi="Calibri" w:cs="Calibri"/>
                <w:color w:val="000000"/>
                <w:sz w:val="18"/>
                <w:szCs w:val="18"/>
              </w:rPr>
            </w:pPr>
            <w:r>
              <w:rPr>
                <w:rFonts w:ascii="Calibri" w:hAnsi="Calibri" w:cs="Calibri"/>
                <w:color w:val="000000"/>
                <w:sz w:val="18"/>
                <w:szCs w:val="18"/>
              </w:rPr>
              <w:t>0,98%</w:t>
            </w:r>
          </w:p>
        </w:tc>
        <w:tc>
          <w:tcPr>
            <w:tcW w:w="1129" w:type="dxa"/>
            <w:tcBorders>
              <w:top w:val="nil"/>
              <w:left w:val="nil"/>
              <w:bottom w:val="single" w:sz="8" w:space="0" w:color="FFFFFF"/>
              <w:right w:val="single" w:sz="8" w:space="0" w:color="FFFFFF"/>
            </w:tcBorders>
            <w:shd w:val="clear" w:color="000000" w:fill="D9E2F3"/>
            <w:noWrap/>
            <w:vAlign w:val="center"/>
            <w:hideMark/>
          </w:tcPr>
          <w:p w14:paraId="0251EF95" w14:textId="53CE4D4B" w:rsidR="0064743F" w:rsidRPr="00455F9C" w:rsidRDefault="00D13694">
            <w:pPr>
              <w:jc w:val="right"/>
              <w:rPr>
                <w:rFonts w:ascii="Calibri" w:hAnsi="Calibri" w:cs="Calibri"/>
                <w:color w:val="000000"/>
                <w:sz w:val="18"/>
                <w:szCs w:val="18"/>
              </w:rPr>
            </w:pPr>
            <w:r>
              <w:rPr>
                <w:rFonts w:ascii="Calibri" w:hAnsi="Calibri" w:cs="Calibri"/>
                <w:color w:val="000000"/>
                <w:sz w:val="18"/>
                <w:szCs w:val="18"/>
              </w:rPr>
              <w:t>776</w:t>
            </w:r>
          </w:p>
        </w:tc>
      </w:tr>
      <w:tr w:rsidR="004E7556" w14:paraId="02BB9BC4" w14:textId="77777777" w:rsidTr="00690AB0">
        <w:trPr>
          <w:trHeight w:hRule="exact" w:val="255"/>
        </w:trPr>
        <w:tc>
          <w:tcPr>
            <w:tcW w:w="6212" w:type="dxa"/>
            <w:tcBorders>
              <w:top w:val="nil"/>
              <w:left w:val="single" w:sz="8" w:space="0" w:color="FFFFFF"/>
              <w:bottom w:val="single" w:sz="8" w:space="0" w:color="FFFFFF"/>
              <w:right w:val="single" w:sz="8" w:space="0" w:color="FFFFFF"/>
            </w:tcBorders>
            <w:shd w:val="clear" w:color="000000" w:fill="D9E2F3"/>
            <w:noWrap/>
            <w:vAlign w:val="center"/>
            <w:hideMark/>
          </w:tcPr>
          <w:p w14:paraId="38CFE773" w14:textId="77777777" w:rsidR="004E7556" w:rsidRPr="00586246" w:rsidRDefault="004E7556" w:rsidP="004E7556">
            <w:pPr>
              <w:ind w:firstLineChars="100" w:firstLine="180"/>
              <w:rPr>
                <w:rFonts w:ascii="Calibri" w:hAnsi="Calibri" w:cs="Calibri"/>
                <w:color w:val="000000"/>
                <w:sz w:val="18"/>
                <w:szCs w:val="18"/>
                <w:lang w:val="en-GB"/>
              </w:rPr>
            </w:pPr>
            <w:r w:rsidRPr="00586246">
              <w:rPr>
                <w:rFonts w:ascii="Calibri" w:hAnsi="Calibri" w:cs="Calibri"/>
                <w:color w:val="000000"/>
                <w:sz w:val="18"/>
                <w:szCs w:val="18"/>
                <w:lang w:val="en-GB"/>
              </w:rPr>
              <w:t xml:space="preserve">Eden Rock Finance Master Limited </w:t>
            </w:r>
          </w:p>
        </w:tc>
        <w:tc>
          <w:tcPr>
            <w:tcW w:w="1164" w:type="dxa"/>
            <w:tcBorders>
              <w:top w:val="nil"/>
              <w:left w:val="nil"/>
              <w:bottom w:val="single" w:sz="8" w:space="0" w:color="FFFFFF"/>
              <w:right w:val="single" w:sz="8" w:space="0" w:color="FFFFFF"/>
            </w:tcBorders>
            <w:shd w:val="clear" w:color="000000" w:fill="D9E2F3"/>
            <w:noWrap/>
            <w:vAlign w:val="center"/>
            <w:hideMark/>
          </w:tcPr>
          <w:p w14:paraId="1AEEF53B" w14:textId="77777777" w:rsidR="004E7556" w:rsidRPr="00586246" w:rsidRDefault="004E7556" w:rsidP="004E7556">
            <w:pPr>
              <w:jc w:val="center"/>
              <w:rPr>
                <w:rFonts w:ascii="Calibri" w:hAnsi="Calibri" w:cs="Calibri"/>
                <w:color w:val="000000"/>
                <w:sz w:val="18"/>
                <w:szCs w:val="18"/>
                <w:lang w:val="en-GB"/>
              </w:rPr>
            </w:pPr>
            <w:r w:rsidRPr="00586246">
              <w:rPr>
                <w:rFonts w:ascii="Calibri" w:hAnsi="Calibri" w:cs="Calibri"/>
                <w:color w:val="000000"/>
                <w:sz w:val="18"/>
                <w:szCs w:val="18"/>
                <w:lang w:val="en-GB"/>
              </w:rPr>
              <w:t> </w:t>
            </w:r>
          </w:p>
        </w:tc>
        <w:tc>
          <w:tcPr>
            <w:tcW w:w="1129" w:type="dxa"/>
            <w:tcBorders>
              <w:top w:val="nil"/>
              <w:left w:val="nil"/>
              <w:bottom w:val="single" w:sz="8" w:space="0" w:color="FFFFFF"/>
              <w:right w:val="single" w:sz="8" w:space="0" w:color="FFFFFF"/>
            </w:tcBorders>
            <w:shd w:val="clear" w:color="000000" w:fill="D9E2F3"/>
            <w:noWrap/>
            <w:vAlign w:val="center"/>
            <w:hideMark/>
          </w:tcPr>
          <w:p w14:paraId="5C429E31" w14:textId="2C009B3C" w:rsidR="004E7556" w:rsidRPr="00455F9C" w:rsidRDefault="004E7556" w:rsidP="004E7556">
            <w:pPr>
              <w:jc w:val="right"/>
              <w:rPr>
                <w:rFonts w:ascii="Calibri" w:hAnsi="Calibri" w:cs="Calibri"/>
                <w:color w:val="000000"/>
                <w:sz w:val="18"/>
                <w:szCs w:val="18"/>
              </w:rPr>
            </w:pPr>
            <w:r>
              <w:rPr>
                <w:rFonts w:ascii="Calibri" w:hAnsi="Calibri" w:cs="Calibri"/>
                <w:color w:val="000000"/>
                <w:sz w:val="18"/>
                <w:szCs w:val="18"/>
              </w:rPr>
              <w:t>1</w:t>
            </w:r>
            <w:r w:rsidRPr="00455F9C">
              <w:rPr>
                <w:rFonts w:ascii="Calibri" w:hAnsi="Calibri" w:cs="Calibri"/>
                <w:color w:val="000000"/>
                <w:sz w:val="18"/>
                <w:szCs w:val="18"/>
              </w:rPr>
              <w:t> </w:t>
            </w:r>
          </w:p>
        </w:tc>
      </w:tr>
      <w:tr w:rsidR="002A7D6C" w14:paraId="4A5263FE" w14:textId="77777777" w:rsidTr="00690AB0">
        <w:trPr>
          <w:trHeight w:hRule="exact" w:val="255"/>
        </w:trPr>
        <w:tc>
          <w:tcPr>
            <w:tcW w:w="6212" w:type="dxa"/>
            <w:tcBorders>
              <w:top w:val="nil"/>
              <w:left w:val="single" w:sz="8" w:space="0" w:color="FFFFFF"/>
              <w:bottom w:val="single" w:sz="8" w:space="0" w:color="FFFFFF"/>
              <w:right w:val="single" w:sz="8" w:space="0" w:color="FFFFFF"/>
            </w:tcBorders>
            <w:shd w:val="clear" w:color="000000" w:fill="D9E2F3"/>
            <w:noWrap/>
            <w:vAlign w:val="center"/>
            <w:hideMark/>
          </w:tcPr>
          <w:p w14:paraId="277BB4DC" w14:textId="77777777" w:rsidR="002A7D6C" w:rsidRPr="00586246" w:rsidRDefault="002A7D6C" w:rsidP="002A7D6C">
            <w:pPr>
              <w:ind w:firstLineChars="100" w:firstLine="180"/>
              <w:rPr>
                <w:rFonts w:ascii="Calibri" w:hAnsi="Calibri" w:cs="Calibri"/>
                <w:color w:val="000000"/>
                <w:sz w:val="18"/>
                <w:szCs w:val="18"/>
                <w:lang w:val="en-GB"/>
              </w:rPr>
            </w:pPr>
            <w:r w:rsidRPr="00586246">
              <w:rPr>
                <w:rFonts w:ascii="Calibri" w:hAnsi="Calibri" w:cs="Calibri"/>
                <w:color w:val="000000"/>
                <w:sz w:val="18"/>
                <w:szCs w:val="18"/>
                <w:lang w:val="en-GB"/>
              </w:rPr>
              <w:t>The Infrastructure and Growth Capital Fund, L.P. (</w:t>
            </w:r>
            <w:proofErr w:type="spellStart"/>
            <w:r w:rsidRPr="00586246">
              <w:rPr>
                <w:rFonts w:ascii="Calibri" w:hAnsi="Calibri" w:cs="Calibri"/>
                <w:color w:val="000000"/>
                <w:sz w:val="18"/>
                <w:szCs w:val="18"/>
                <w:lang w:val="en-GB"/>
              </w:rPr>
              <w:t>em</w:t>
            </w:r>
            <w:proofErr w:type="spellEnd"/>
            <w:r w:rsidRPr="00586246">
              <w:rPr>
                <w:rFonts w:ascii="Calibri" w:hAnsi="Calibri" w:cs="Calibri"/>
                <w:color w:val="000000"/>
                <w:sz w:val="18"/>
                <w:szCs w:val="18"/>
                <w:lang w:val="en-GB"/>
              </w:rPr>
              <w:t xml:space="preserve"> </w:t>
            </w:r>
            <w:proofErr w:type="spellStart"/>
            <w:r w:rsidRPr="00586246">
              <w:rPr>
                <w:rFonts w:ascii="Calibri" w:hAnsi="Calibri" w:cs="Calibri"/>
                <w:color w:val="000000"/>
                <w:sz w:val="18"/>
                <w:szCs w:val="18"/>
                <w:lang w:val="en-GB"/>
              </w:rPr>
              <w:t>liquidação</w:t>
            </w:r>
            <w:proofErr w:type="spellEnd"/>
            <w:r w:rsidRPr="00586246">
              <w:rPr>
                <w:rFonts w:ascii="Calibri" w:hAnsi="Calibri" w:cs="Calibri"/>
                <w:color w:val="000000"/>
                <w:sz w:val="18"/>
                <w:szCs w:val="18"/>
                <w:lang w:val="en-GB"/>
              </w:rPr>
              <w:t>)</w:t>
            </w:r>
          </w:p>
        </w:tc>
        <w:tc>
          <w:tcPr>
            <w:tcW w:w="1164" w:type="dxa"/>
            <w:tcBorders>
              <w:top w:val="nil"/>
              <w:left w:val="nil"/>
              <w:bottom w:val="single" w:sz="8" w:space="0" w:color="FFFFFF"/>
              <w:right w:val="single" w:sz="8" w:space="0" w:color="FFFFFF"/>
            </w:tcBorders>
            <w:shd w:val="clear" w:color="000000" w:fill="D9E2F3"/>
            <w:noWrap/>
            <w:vAlign w:val="center"/>
            <w:hideMark/>
          </w:tcPr>
          <w:p w14:paraId="4FD610BF" w14:textId="77777777" w:rsidR="002A7D6C" w:rsidRDefault="002A7D6C" w:rsidP="002A7D6C">
            <w:pPr>
              <w:jc w:val="center"/>
              <w:rPr>
                <w:rFonts w:ascii="Calibri" w:hAnsi="Calibri" w:cs="Calibri"/>
                <w:color w:val="000000"/>
                <w:sz w:val="18"/>
                <w:szCs w:val="18"/>
              </w:rPr>
            </w:pPr>
            <w:r>
              <w:rPr>
                <w:rFonts w:ascii="Calibri" w:hAnsi="Calibri" w:cs="Calibri"/>
                <w:color w:val="000000"/>
                <w:sz w:val="18"/>
                <w:szCs w:val="18"/>
              </w:rPr>
              <w:t>0,30%</w:t>
            </w:r>
          </w:p>
        </w:tc>
        <w:tc>
          <w:tcPr>
            <w:tcW w:w="1129" w:type="dxa"/>
            <w:tcBorders>
              <w:top w:val="nil"/>
              <w:left w:val="nil"/>
              <w:bottom w:val="single" w:sz="8" w:space="0" w:color="FFFFFF"/>
              <w:right w:val="single" w:sz="8" w:space="0" w:color="FFFFFF"/>
            </w:tcBorders>
            <w:shd w:val="clear" w:color="000000" w:fill="D9E2F3"/>
            <w:noWrap/>
            <w:vAlign w:val="center"/>
            <w:hideMark/>
          </w:tcPr>
          <w:p w14:paraId="624D4B66" w14:textId="753C0A17" w:rsidR="002A7D6C" w:rsidRPr="00455F9C" w:rsidRDefault="002A7D6C" w:rsidP="002A7D6C">
            <w:pPr>
              <w:jc w:val="right"/>
              <w:rPr>
                <w:rFonts w:ascii="Calibri" w:hAnsi="Calibri" w:cs="Calibri"/>
                <w:color w:val="000000"/>
                <w:sz w:val="18"/>
                <w:szCs w:val="18"/>
              </w:rPr>
            </w:pPr>
            <w:r w:rsidRPr="00455F9C">
              <w:rPr>
                <w:rFonts w:ascii="Calibri" w:hAnsi="Calibri" w:cs="Calibri"/>
                <w:color w:val="000000"/>
                <w:sz w:val="18"/>
                <w:szCs w:val="18"/>
              </w:rPr>
              <w:t>- </w:t>
            </w:r>
          </w:p>
        </w:tc>
      </w:tr>
      <w:tr w:rsidR="0064743F" w14:paraId="6C01B50D" w14:textId="77777777" w:rsidTr="00690AB0">
        <w:trPr>
          <w:trHeight w:hRule="exact" w:val="255"/>
        </w:trPr>
        <w:tc>
          <w:tcPr>
            <w:tcW w:w="6212" w:type="dxa"/>
            <w:tcBorders>
              <w:top w:val="nil"/>
              <w:left w:val="single" w:sz="8" w:space="0" w:color="FFFFFF"/>
              <w:bottom w:val="single" w:sz="8" w:space="0" w:color="FFFFFF"/>
              <w:right w:val="single" w:sz="8" w:space="0" w:color="FFFFFF"/>
            </w:tcBorders>
            <w:shd w:val="clear" w:color="000000" w:fill="D9E2F3"/>
            <w:noWrap/>
            <w:vAlign w:val="center"/>
            <w:hideMark/>
          </w:tcPr>
          <w:p w14:paraId="72535922" w14:textId="77777777" w:rsidR="0064743F" w:rsidRDefault="0064743F">
            <w:pPr>
              <w:ind w:firstLineChars="100" w:firstLine="180"/>
              <w:rPr>
                <w:rFonts w:ascii="Calibri" w:hAnsi="Calibri" w:cs="Calibri"/>
                <w:color w:val="000000"/>
                <w:sz w:val="18"/>
                <w:szCs w:val="18"/>
              </w:rPr>
            </w:pPr>
            <w:r>
              <w:rPr>
                <w:rFonts w:ascii="Calibri" w:hAnsi="Calibri" w:cs="Calibri"/>
                <w:color w:val="000000"/>
                <w:sz w:val="18"/>
                <w:szCs w:val="18"/>
              </w:rPr>
              <w:t xml:space="preserve">Fairfield Sigma </w:t>
            </w:r>
            <w:proofErr w:type="spellStart"/>
            <w:r>
              <w:rPr>
                <w:rFonts w:ascii="Calibri" w:hAnsi="Calibri" w:cs="Calibri"/>
                <w:color w:val="000000"/>
                <w:sz w:val="18"/>
                <w:szCs w:val="18"/>
              </w:rPr>
              <w:t>Ltd</w:t>
            </w:r>
            <w:proofErr w:type="spellEnd"/>
            <w:r>
              <w:rPr>
                <w:rFonts w:ascii="Calibri" w:hAnsi="Calibri" w:cs="Calibri"/>
                <w:color w:val="000000"/>
                <w:sz w:val="18"/>
                <w:szCs w:val="18"/>
              </w:rPr>
              <w:t xml:space="preserve"> (em liquidação)</w:t>
            </w:r>
          </w:p>
        </w:tc>
        <w:tc>
          <w:tcPr>
            <w:tcW w:w="1164" w:type="dxa"/>
            <w:tcBorders>
              <w:top w:val="nil"/>
              <w:left w:val="nil"/>
              <w:bottom w:val="single" w:sz="8" w:space="0" w:color="FFFFFF"/>
              <w:right w:val="single" w:sz="8" w:space="0" w:color="FFFFFF"/>
            </w:tcBorders>
            <w:shd w:val="clear" w:color="000000" w:fill="D9E2F3"/>
            <w:noWrap/>
            <w:vAlign w:val="center"/>
            <w:hideMark/>
          </w:tcPr>
          <w:p w14:paraId="028F70A2" w14:textId="77777777" w:rsidR="0064743F" w:rsidRDefault="0064743F">
            <w:pPr>
              <w:jc w:val="center"/>
              <w:rPr>
                <w:rFonts w:ascii="Calibri" w:hAnsi="Calibri" w:cs="Calibri"/>
                <w:color w:val="000000"/>
                <w:sz w:val="18"/>
                <w:szCs w:val="18"/>
              </w:rPr>
            </w:pPr>
            <w:r>
              <w:rPr>
                <w:rFonts w:ascii="Calibri" w:hAnsi="Calibri" w:cs="Calibri"/>
                <w:color w:val="000000"/>
                <w:sz w:val="18"/>
                <w:szCs w:val="18"/>
              </w:rPr>
              <w:t> </w:t>
            </w:r>
          </w:p>
        </w:tc>
        <w:tc>
          <w:tcPr>
            <w:tcW w:w="1129" w:type="dxa"/>
            <w:tcBorders>
              <w:top w:val="nil"/>
              <w:left w:val="nil"/>
              <w:bottom w:val="single" w:sz="8" w:space="0" w:color="FFFFFF"/>
              <w:right w:val="single" w:sz="8" w:space="0" w:color="FFFFFF"/>
            </w:tcBorders>
            <w:shd w:val="clear" w:color="000000" w:fill="D9E2F3"/>
            <w:noWrap/>
            <w:vAlign w:val="center"/>
            <w:hideMark/>
          </w:tcPr>
          <w:p w14:paraId="53E0A408" w14:textId="71CB1FA8" w:rsidR="0064743F" w:rsidRPr="00455F9C" w:rsidRDefault="002F6671">
            <w:pPr>
              <w:jc w:val="right"/>
              <w:rPr>
                <w:rFonts w:ascii="Calibri" w:hAnsi="Calibri" w:cs="Calibri"/>
                <w:color w:val="000000"/>
                <w:sz w:val="18"/>
                <w:szCs w:val="18"/>
              </w:rPr>
            </w:pPr>
            <w:r w:rsidRPr="00455F9C">
              <w:rPr>
                <w:rFonts w:ascii="Calibri" w:hAnsi="Calibri" w:cs="Calibri"/>
                <w:color w:val="000000"/>
                <w:sz w:val="18"/>
                <w:szCs w:val="18"/>
              </w:rPr>
              <w:t>-</w:t>
            </w:r>
            <w:r w:rsidR="0064743F" w:rsidRPr="00455F9C">
              <w:rPr>
                <w:rFonts w:ascii="Calibri" w:hAnsi="Calibri" w:cs="Calibri"/>
                <w:color w:val="000000"/>
                <w:sz w:val="18"/>
                <w:szCs w:val="18"/>
              </w:rPr>
              <w:t> </w:t>
            </w:r>
          </w:p>
        </w:tc>
      </w:tr>
      <w:tr w:rsidR="0064743F" w14:paraId="4D7D8EE1" w14:textId="77777777" w:rsidTr="00690AB0">
        <w:trPr>
          <w:trHeight w:hRule="exact" w:val="255"/>
        </w:trPr>
        <w:tc>
          <w:tcPr>
            <w:tcW w:w="6212" w:type="dxa"/>
            <w:tcBorders>
              <w:top w:val="nil"/>
              <w:left w:val="single" w:sz="8" w:space="0" w:color="FFFFFF"/>
              <w:bottom w:val="single" w:sz="8" w:space="0" w:color="FFFFFF"/>
              <w:right w:val="single" w:sz="8" w:space="0" w:color="FFFFFF"/>
            </w:tcBorders>
            <w:shd w:val="clear" w:color="000000" w:fill="D9E2F3"/>
            <w:noWrap/>
            <w:vAlign w:val="center"/>
            <w:hideMark/>
          </w:tcPr>
          <w:p w14:paraId="188BA504" w14:textId="77777777" w:rsidR="0064743F" w:rsidRDefault="0064743F">
            <w:pPr>
              <w:ind w:firstLineChars="100" w:firstLine="180"/>
              <w:rPr>
                <w:rFonts w:ascii="Calibri" w:hAnsi="Calibri" w:cs="Calibri"/>
                <w:color w:val="000000"/>
                <w:sz w:val="18"/>
                <w:szCs w:val="18"/>
              </w:rPr>
            </w:pPr>
            <w:r>
              <w:rPr>
                <w:rFonts w:ascii="Calibri" w:hAnsi="Calibri" w:cs="Calibri"/>
                <w:color w:val="000000"/>
                <w:sz w:val="18"/>
                <w:szCs w:val="18"/>
              </w:rPr>
              <w:t xml:space="preserve">Fairfield </w:t>
            </w:r>
            <w:proofErr w:type="spellStart"/>
            <w:r>
              <w:rPr>
                <w:rFonts w:ascii="Calibri" w:hAnsi="Calibri" w:cs="Calibri"/>
                <w:color w:val="000000"/>
                <w:sz w:val="18"/>
                <w:szCs w:val="18"/>
              </w:rPr>
              <w:t>Sentry</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Ltd</w:t>
            </w:r>
            <w:proofErr w:type="spellEnd"/>
            <w:r>
              <w:rPr>
                <w:rFonts w:ascii="Calibri" w:hAnsi="Calibri" w:cs="Calibri"/>
                <w:color w:val="000000"/>
                <w:sz w:val="18"/>
                <w:szCs w:val="18"/>
              </w:rPr>
              <w:t xml:space="preserve"> (em liquidação)</w:t>
            </w:r>
          </w:p>
        </w:tc>
        <w:tc>
          <w:tcPr>
            <w:tcW w:w="1164" w:type="dxa"/>
            <w:tcBorders>
              <w:top w:val="nil"/>
              <w:left w:val="nil"/>
              <w:bottom w:val="single" w:sz="8" w:space="0" w:color="FFFFFF"/>
              <w:right w:val="single" w:sz="8" w:space="0" w:color="FFFFFF"/>
            </w:tcBorders>
            <w:shd w:val="clear" w:color="000000" w:fill="D9E2F3"/>
            <w:noWrap/>
            <w:vAlign w:val="center"/>
            <w:hideMark/>
          </w:tcPr>
          <w:p w14:paraId="40465681" w14:textId="77777777" w:rsidR="0064743F" w:rsidRDefault="0064743F">
            <w:pPr>
              <w:jc w:val="center"/>
              <w:rPr>
                <w:rFonts w:ascii="Calibri" w:hAnsi="Calibri" w:cs="Calibri"/>
                <w:color w:val="000000"/>
                <w:sz w:val="18"/>
                <w:szCs w:val="18"/>
              </w:rPr>
            </w:pPr>
            <w:r>
              <w:rPr>
                <w:rFonts w:ascii="Calibri" w:hAnsi="Calibri" w:cs="Calibri"/>
                <w:color w:val="000000"/>
                <w:sz w:val="18"/>
                <w:szCs w:val="18"/>
              </w:rPr>
              <w:t> </w:t>
            </w:r>
          </w:p>
        </w:tc>
        <w:tc>
          <w:tcPr>
            <w:tcW w:w="1129" w:type="dxa"/>
            <w:tcBorders>
              <w:top w:val="nil"/>
              <w:left w:val="nil"/>
              <w:bottom w:val="single" w:sz="8" w:space="0" w:color="FFFFFF"/>
              <w:right w:val="single" w:sz="8" w:space="0" w:color="FFFFFF"/>
            </w:tcBorders>
            <w:shd w:val="clear" w:color="000000" w:fill="D9E2F3"/>
            <w:noWrap/>
            <w:vAlign w:val="center"/>
            <w:hideMark/>
          </w:tcPr>
          <w:p w14:paraId="65717AB6" w14:textId="188A6A8B" w:rsidR="0064743F" w:rsidRPr="00455F9C" w:rsidRDefault="002F6671">
            <w:pPr>
              <w:jc w:val="right"/>
              <w:rPr>
                <w:rFonts w:ascii="Calibri" w:hAnsi="Calibri" w:cs="Calibri"/>
                <w:color w:val="000000"/>
                <w:sz w:val="18"/>
                <w:szCs w:val="18"/>
              </w:rPr>
            </w:pPr>
            <w:r w:rsidRPr="00455F9C">
              <w:rPr>
                <w:rFonts w:ascii="Calibri" w:hAnsi="Calibri" w:cs="Calibri"/>
                <w:color w:val="000000"/>
                <w:sz w:val="18"/>
                <w:szCs w:val="18"/>
              </w:rPr>
              <w:t>-</w:t>
            </w:r>
            <w:r w:rsidR="0064743F" w:rsidRPr="00455F9C">
              <w:rPr>
                <w:rFonts w:ascii="Calibri" w:hAnsi="Calibri" w:cs="Calibri"/>
                <w:color w:val="000000"/>
                <w:sz w:val="18"/>
                <w:szCs w:val="18"/>
              </w:rPr>
              <w:t> </w:t>
            </w:r>
          </w:p>
        </w:tc>
      </w:tr>
      <w:tr w:rsidR="0064743F" w14:paraId="0C3CA727" w14:textId="77777777" w:rsidTr="00690AB0">
        <w:trPr>
          <w:trHeight w:hRule="exact" w:val="255"/>
        </w:trPr>
        <w:tc>
          <w:tcPr>
            <w:tcW w:w="6212" w:type="dxa"/>
            <w:tcBorders>
              <w:top w:val="nil"/>
              <w:left w:val="nil"/>
              <w:bottom w:val="nil"/>
              <w:right w:val="nil"/>
            </w:tcBorders>
            <w:shd w:val="clear" w:color="000000" w:fill="D9E2F3"/>
            <w:noWrap/>
            <w:vAlign w:val="center"/>
            <w:hideMark/>
          </w:tcPr>
          <w:p w14:paraId="64DF23C1" w14:textId="36B13587" w:rsidR="0064743F" w:rsidRDefault="0064743F" w:rsidP="007430A8">
            <w:pPr>
              <w:ind w:firstLineChars="100" w:firstLine="180"/>
              <w:jc w:val="right"/>
              <w:rPr>
                <w:rFonts w:ascii="Calibri" w:hAnsi="Calibri" w:cs="Calibri"/>
                <w:color w:val="000000"/>
                <w:sz w:val="18"/>
                <w:szCs w:val="18"/>
              </w:rPr>
            </w:pPr>
            <w:r>
              <w:rPr>
                <w:rFonts w:ascii="Calibri" w:hAnsi="Calibri" w:cs="Calibri"/>
                <w:color w:val="000000"/>
                <w:sz w:val="18"/>
                <w:szCs w:val="18"/>
              </w:rPr>
              <w:t> </w:t>
            </w:r>
            <w:proofErr w:type="spellStart"/>
            <w:r w:rsidR="00A64C7C" w:rsidRPr="002C3301">
              <w:rPr>
                <w:rFonts w:ascii="Calibri" w:hAnsi="Calibri" w:cs="Calibri"/>
                <w:b/>
                <w:bCs/>
                <w:color w:val="000000"/>
                <w:sz w:val="18"/>
                <w:szCs w:val="18"/>
              </w:rPr>
              <w:t>Sub-Total</w:t>
            </w:r>
            <w:proofErr w:type="spellEnd"/>
          </w:p>
        </w:tc>
        <w:tc>
          <w:tcPr>
            <w:tcW w:w="1164" w:type="dxa"/>
            <w:tcBorders>
              <w:top w:val="nil"/>
              <w:left w:val="nil"/>
              <w:bottom w:val="nil"/>
              <w:right w:val="nil"/>
            </w:tcBorders>
            <w:shd w:val="clear" w:color="000000" w:fill="D9E2F3"/>
            <w:noWrap/>
            <w:vAlign w:val="center"/>
            <w:hideMark/>
          </w:tcPr>
          <w:p w14:paraId="5F6B9108" w14:textId="77777777" w:rsidR="0064743F" w:rsidRDefault="0064743F">
            <w:pPr>
              <w:jc w:val="center"/>
              <w:rPr>
                <w:rFonts w:ascii="Calibri" w:hAnsi="Calibri" w:cs="Calibri"/>
                <w:color w:val="000000"/>
                <w:sz w:val="18"/>
                <w:szCs w:val="18"/>
              </w:rPr>
            </w:pPr>
            <w:r>
              <w:rPr>
                <w:rFonts w:ascii="Calibri" w:hAnsi="Calibri" w:cs="Calibri"/>
                <w:color w:val="000000"/>
                <w:sz w:val="18"/>
                <w:szCs w:val="18"/>
              </w:rPr>
              <w:t> </w:t>
            </w:r>
          </w:p>
        </w:tc>
        <w:tc>
          <w:tcPr>
            <w:tcW w:w="1129" w:type="dxa"/>
            <w:tcBorders>
              <w:top w:val="nil"/>
              <w:left w:val="nil"/>
              <w:bottom w:val="single" w:sz="8" w:space="0" w:color="FFFFFF"/>
              <w:right w:val="single" w:sz="8" w:space="0" w:color="FFFFFF"/>
            </w:tcBorders>
            <w:shd w:val="clear" w:color="000000" w:fill="D9E2F3"/>
            <w:noWrap/>
            <w:vAlign w:val="center"/>
            <w:hideMark/>
          </w:tcPr>
          <w:p w14:paraId="3CA7CBA7" w14:textId="55110853" w:rsidR="0064743F" w:rsidRPr="00455F9C" w:rsidRDefault="0064743F">
            <w:pPr>
              <w:jc w:val="right"/>
              <w:rPr>
                <w:rFonts w:ascii="Calibri" w:hAnsi="Calibri" w:cs="Calibri"/>
                <w:b/>
                <w:bCs/>
                <w:color w:val="000000"/>
                <w:sz w:val="18"/>
                <w:szCs w:val="18"/>
              </w:rPr>
            </w:pPr>
            <w:r w:rsidRPr="00455F9C">
              <w:rPr>
                <w:rFonts w:ascii="Calibri" w:hAnsi="Calibri" w:cs="Calibri"/>
                <w:b/>
                <w:bCs/>
                <w:color w:val="000000"/>
                <w:sz w:val="18"/>
                <w:szCs w:val="18"/>
              </w:rPr>
              <w:t>2</w:t>
            </w:r>
            <w:r w:rsidR="00CE6807">
              <w:rPr>
                <w:rFonts w:ascii="Calibri" w:hAnsi="Calibri" w:cs="Calibri"/>
                <w:b/>
                <w:bCs/>
                <w:color w:val="000000"/>
                <w:sz w:val="18"/>
                <w:szCs w:val="18"/>
              </w:rPr>
              <w:t>29</w:t>
            </w:r>
            <w:r w:rsidRPr="00455F9C">
              <w:rPr>
                <w:rFonts w:ascii="Calibri" w:hAnsi="Calibri" w:cs="Calibri"/>
                <w:b/>
                <w:bCs/>
                <w:color w:val="000000"/>
                <w:sz w:val="18"/>
                <w:szCs w:val="18"/>
              </w:rPr>
              <w:t xml:space="preserve"> </w:t>
            </w:r>
            <w:r w:rsidR="00A32503">
              <w:rPr>
                <w:rFonts w:ascii="Calibri" w:hAnsi="Calibri" w:cs="Calibri"/>
                <w:b/>
                <w:bCs/>
                <w:color w:val="000000"/>
                <w:sz w:val="18"/>
                <w:szCs w:val="18"/>
              </w:rPr>
              <w:t>42</w:t>
            </w:r>
            <w:r w:rsidR="00A719D7">
              <w:rPr>
                <w:rFonts w:ascii="Calibri" w:hAnsi="Calibri" w:cs="Calibri"/>
                <w:b/>
                <w:bCs/>
                <w:color w:val="000000"/>
                <w:sz w:val="18"/>
                <w:szCs w:val="18"/>
              </w:rPr>
              <w:t>7</w:t>
            </w:r>
          </w:p>
        </w:tc>
      </w:tr>
      <w:tr w:rsidR="0064743F" w14:paraId="0755A579" w14:textId="77777777" w:rsidTr="00690AB0">
        <w:trPr>
          <w:trHeight w:hRule="exact" w:val="255"/>
        </w:trPr>
        <w:tc>
          <w:tcPr>
            <w:tcW w:w="6212" w:type="dxa"/>
            <w:tcBorders>
              <w:top w:val="nil"/>
              <w:left w:val="nil"/>
              <w:bottom w:val="nil"/>
              <w:right w:val="nil"/>
            </w:tcBorders>
            <w:noWrap/>
            <w:vAlign w:val="center"/>
            <w:hideMark/>
          </w:tcPr>
          <w:p w14:paraId="0DE542B6" w14:textId="77777777" w:rsidR="0064743F" w:rsidRDefault="0064743F">
            <w:pPr>
              <w:rPr>
                <w:rFonts w:ascii="Calibri" w:hAnsi="Calibri" w:cs="Calibri"/>
                <w:color w:val="000000"/>
                <w:sz w:val="16"/>
                <w:szCs w:val="16"/>
              </w:rPr>
            </w:pPr>
            <w:r>
              <w:rPr>
                <w:rFonts w:ascii="Calibri" w:hAnsi="Calibri" w:cs="Calibri"/>
                <w:color w:val="000000"/>
                <w:sz w:val="16"/>
                <w:szCs w:val="16"/>
                <w:vertAlign w:val="superscript"/>
              </w:rPr>
              <w:t xml:space="preserve">(*) </w:t>
            </w:r>
            <w:r>
              <w:rPr>
                <w:rFonts w:ascii="Calibri" w:hAnsi="Calibri" w:cs="Calibri"/>
                <w:color w:val="000000"/>
                <w:sz w:val="16"/>
                <w:szCs w:val="16"/>
              </w:rPr>
              <w:t>inclui suprimentos</w:t>
            </w:r>
          </w:p>
        </w:tc>
        <w:tc>
          <w:tcPr>
            <w:tcW w:w="1164" w:type="dxa"/>
            <w:tcBorders>
              <w:top w:val="nil"/>
              <w:left w:val="nil"/>
              <w:bottom w:val="nil"/>
              <w:right w:val="nil"/>
            </w:tcBorders>
            <w:noWrap/>
            <w:vAlign w:val="center"/>
            <w:hideMark/>
          </w:tcPr>
          <w:p w14:paraId="2F3CF4CB" w14:textId="7355A1EE" w:rsidR="0064743F" w:rsidRDefault="00A64C7C" w:rsidP="007430A8">
            <w:pPr>
              <w:jc w:val="right"/>
              <w:rPr>
                <w:rFonts w:ascii="Calibri" w:hAnsi="Calibri" w:cs="Calibri"/>
                <w:color w:val="000000"/>
                <w:sz w:val="16"/>
                <w:szCs w:val="16"/>
              </w:rPr>
            </w:pPr>
            <w:r w:rsidRPr="002C3301">
              <w:rPr>
                <w:rFonts w:ascii="Calibri" w:hAnsi="Calibri" w:cs="Calibri"/>
                <w:b/>
                <w:bCs/>
                <w:color w:val="000000"/>
                <w:sz w:val="18"/>
                <w:szCs w:val="18"/>
              </w:rPr>
              <w:t>Total</w:t>
            </w:r>
          </w:p>
        </w:tc>
        <w:tc>
          <w:tcPr>
            <w:tcW w:w="1129" w:type="dxa"/>
            <w:tcBorders>
              <w:top w:val="nil"/>
              <w:left w:val="nil"/>
              <w:bottom w:val="single" w:sz="8" w:space="0" w:color="FFFFFF"/>
              <w:right w:val="single" w:sz="8" w:space="0" w:color="FFFFFF"/>
            </w:tcBorders>
            <w:shd w:val="clear" w:color="000000" w:fill="D9E2F3"/>
            <w:noWrap/>
            <w:vAlign w:val="center"/>
            <w:hideMark/>
          </w:tcPr>
          <w:p w14:paraId="5087DDD2" w14:textId="1667BB13" w:rsidR="0064743F" w:rsidRPr="00455F9C" w:rsidRDefault="0064743F">
            <w:pPr>
              <w:jc w:val="right"/>
              <w:rPr>
                <w:rFonts w:ascii="Calibri" w:hAnsi="Calibri" w:cs="Calibri"/>
                <w:b/>
                <w:bCs/>
                <w:color w:val="000000"/>
                <w:sz w:val="18"/>
                <w:szCs w:val="18"/>
              </w:rPr>
            </w:pPr>
            <w:r w:rsidRPr="00455F9C">
              <w:rPr>
                <w:rFonts w:ascii="Calibri" w:hAnsi="Calibri" w:cs="Calibri"/>
                <w:b/>
                <w:bCs/>
                <w:color w:val="000000"/>
                <w:sz w:val="18"/>
                <w:szCs w:val="18"/>
              </w:rPr>
              <w:t>2</w:t>
            </w:r>
            <w:r w:rsidR="00A32503">
              <w:rPr>
                <w:rFonts w:ascii="Calibri" w:hAnsi="Calibri" w:cs="Calibri"/>
                <w:b/>
                <w:bCs/>
                <w:color w:val="000000"/>
                <w:sz w:val="18"/>
                <w:szCs w:val="18"/>
              </w:rPr>
              <w:t>38</w:t>
            </w:r>
            <w:r w:rsidRPr="00455F9C">
              <w:rPr>
                <w:rFonts w:ascii="Calibri" w:hAnsi="Calibri" w:cs="Calibri"/>
                <w:b/>
                <w:bCs/>
                <w:color w:val="000000"/>
                <w:sz w:val="18"/>
                <w:szCs w:val="18"/>
              </w:rPr>
              <w:t xml:space="preserve"> </w:t>
            </w:r>
            <w:r w:rsidR="00A32503">
              <w:rPr>
                <w:rFonts w:ascii="Calibri" w:hAnsi="Calibri" w:cs="Calibri"/>
                <w:b/>
                <w:bCs/>
                <w:color w:val="000000"/>
                <w:sz w:val="18"/>
                <w:szCs w:val="18"/>
              </w:rPr>
              <w:t>9</w:t>
            </w:r>
            <w:r w:rsidR="00D803F7">
              <w:rPr>
                <w:rFonts w:ascii="Calibri" w:hAnsi="Calibri" w:cs="Calibri"/>
                <w:b/>
                <w:bCs/>
                <w:color w:val="000000"/>
                <w:sz w:val="18"/>
                <w:szCs w:val="18"/>
              </w:rPr>
              <w:t>9</w:t>
            </w:r>
            <w:r w:rsidR="005D42D5">
              <w:rPr>
                <w:rFonts w:ascii="Calibri" w:hAnsi="Calibri" w:cs="Calibri"/>
                <w:b/>
                <w:bCs/>
                <w:color w:val="000000"/>
                <w:sz w:val="18"/>
                <w:szCs w:val="18"/>
              </w:rPr>
              <w:t>0</w:t>
            </w:r>
          </w:p>
        </w:tc>
      </w:tr>
    </w:tbl>
    <w:p w14:paraId="6347D2C4" w14:textId="77777777" w:rsidR="00BF06AA" w:rsidRDefault="00BF06AA" w:rsidP="00060E5B">
      <w:pPr>
        <w:jc w:val="both"/>
        <w:rPr>
          <w:rFonts w:asciiTheme="minorHAnsi" w:hAnsiTheme="minorHAnsi" w:cstheme="minorHAnsi"/>
          <w:bCs/>
          <w:color w:val="EE0000"/>
          <w:sz w:val="22"/>
          <w:szCs w:val="22"/>
        </w:rPr>
      </w:pPr>
    </w:p>
    <w:p w14:paraId="51F85A2C" w14:textId="4CF80E42" w:rsidR="00060E5B" w:rsidRPr="002A7D6C" w:rsidRDefault="00060E5B" w:rsidP="00060E5B">
      <w:pPr>
        <w:jc w:val="both"/>
        <w:rPr>
          <w:rFonts w:asciiTheme="minorHAnsi" w:hAnsiTheme="minorHAnsi" w:cstheme="minorHAnsi"/>
          <w:bCs/>
          <w:sz w:val="22"/>
          <w:szCs w:val="22"/>
        </w:rPr>
      </w:pPr>
      <w:r w:rsidRPr="002A7D6C">
        <w:rPr>
          <w:rFonts w:asciiTheme="minorHAnsi" w:hAnsiTheme="minorHAnsi" w:cstheme="minorHAnsi"/>
          <w:bCs/>
          <w:sz w:val="22"/>
          <w:szCs w:val="22"/>
        </w:rPr>
        <w:t>A PARVALOREM continua a promover a valorização das sociedades por si controladas a fim de promover a alienação destas, bem como continua a acompanhar processos de liquidação em curso ou a diligenciar pela alienação de participações minoritárias em Países Estrangeiros.</w:t>
      </w:r>
    </w:p>
    <w:p w14:paraId="05412D11" w14:textId="77777777" w:rsidR="00060E5B" w:rsidRDefault="00060E5B" w:rsidP="00C93B74">
      <w:pPr>
        <w:jc w:val="both"/>
        <w:rPr>
          <w:rFonts w:asciiTheme="minorHAnsi" w:hAnsiTheme="minorHAnsi" w:cstheme="minorHAnsi"/>
          <w:bCs/>
          <w:sz w:val="22"/>
          <w:szCs w:val="22"/>
          <w:u w:val="single"/>
        </w:rPr>
      </w:pPr>
    </w:p>
    <w:p w14:paraId="04DF2B4D" w14:textId="77777777" w:rsidR="00060E5B" w:rsidRDefault="00060E5B" w:rsidP="00C93B74">
      <w:pPr>
        <w:jc w:val="both"/>
        <w:rPr>
          <w:rFonts w:asciiTheme="minorHAnsi" w:hAnsiTheme="minorHAnsi" w:cstheme="minorHAnsi"/>
          <w:bCs/>
          <w:sz w:val="22"/>
          <w:szCs w:val="22"/>
          <w:u w:val="single"/>
        </w:rPr>
      </w:pPr>
    </w:p>
    <w:p w14:paraId="35C9E6C5" w14:textId="77777777" w:rsidR="00060E5B" w:rsidRDefault="00060E5B" w:rsidP="00C93B74">
      <w:pPr>
        <w:jc w:val="both"/>
        <w:rPr>
          <w:rFonts w:asciiTheme="minorHAnsi" w:hAnsiTheme="minorHAnsi" w:cstheme="minorHAnsi"/>
          <w:bCs/>
          <w:sz w:val="22"/>
          <w:szCs w:val="22"/>
          <w:u w:val="single"/>
        </w:rPr>
      </w:pPr>
    </w:p>
    <w:p w14:paraId="4EB42895" w14:textId="312FDF3C" w:rsidR="007379A1" w:rsidRPr="007379A1" w:rsidRDefault="007379A1" w:rsidP="00C93B74">
      <w:pPr>
        <w:jc w:val="both"/>
        <w:rPr>
          <w:rFonts w:asciiTheme="minorHAnsi" w:hAnsiTheme="minorHAnsi" w:cstheme="minorHAnsi"/>
          <w:bCs/>
          <w:sz w:val="22"/>
          <w:szCs w:val="22"/>
          <w:u w:val="single"/>
        </w:rPr>
      </w:pPr>
      <w:r w:rsidRPr="007379A1">
        <w:rPr>
          <w:rFonts w:asciiTheme="minorHAnsi" w:hAnsiTheme="minorHAnsi" w:cstheme="minorHAnsi"/>
          <w:bCs/>
          <w:sz w:val="22"/>
          <w:szCs w:val="22"/>
          <w:u w:val="single"/>
        </w:rPr>
        <w:t>IMOFUNDOS</w:t>
      </w:r>
    </w:p>
    <w:p w14:paraId="54B11C1E" w14:textId="77777777" w:rsidR="007379A1" w:rsidRDefault="007379A1" w:rsidP="00C93B74">
      <w:pPr>
        <w:jc w:val="both"/>
        <w:rPr>
          <w:rFonts w:asciiTheme="minorHAnsi" w:hAnsiTheme="minorHAnsi" w:cstheme="minorHAnsi"/>
          <w:bCs/>
          <w:sz w:val="22"/>
          <w:szCs w:val="22"/>
        </w:rPr>
      </w:pPr>
    </w:p>
    <w:p w14:paraId="06E9C6FC" w14:textId="5A7EF21F" w:rsidR="007379A1" w:rsidRPr="007379A1" w:rsidRDefault="007379A1" w:rsidP="007379A1">
      <w:pPr>
        <w:jc w:val="both"/>
        <w:rPr>
          <w:rFonts w:asciiTheme="minorHAnsi" w:hAnsiTheme="minorHAnsi" w:cstheme="minorHAnsi"/>
          <w:bCs/>
          <w:sz w:val="22"/>
          <w:szCs w:val="22"/>
        </w:rPr>
      </w:pPr>
      <w:r w:rsidRPr="007379A1">
        <w:rPr>
          <w:rFonts w:asciiTheme="minorHAnsi" w:hAnsiTheme="minorHAnsi" w:cstheme="minorHAnsi"/>
          <w:bCs/>
          <w:sz w:val="22"/>
          <w:szCs w:val="22"/>
        </w:rPr>
        <w:t xml:space="preserve">A IMOFUNDOS manteve a sua normal atividade, na perspetiva de alienação dos ativos do fundo gerido e subsequente distribuição dos resultados aos seus participantes. Com base numa gestão criteriosa, a sociedade </w:t>
      </w:r>
      <w:r w:rsidRPr="00D17AF1">
        <w:rPr>
          <w:rFonts w:asciiTheme="minorHAnsi" w:hAnsiTheme="minorHAnsi" w:cstheme="minorHAnsi"/>
          <w:bCs/>
          <w:sz w:val="22"/>
          <w:szCs w:val="22"/>
        </w:rPr>
        <w:t xml:space="preserve">gestora tem apresentado bons resultados, distribuindo dividendos consistentemente </w:t>
      </w:r>
      <w:r w:rsidR="00CE6807" w:rsidRPr="00D17AF1">
        <w:rPr>
          <w:rFonts w:asciiTheme="minorHAnsi" w:hAnsiTheme="minorHAnsi" w:cstheme="minorHAnsi"/>
          <w:bCs/>
          <w:sz w:val="22"/>
          <w:szCs w:val="22"/>
        </w:rPr>
        <w:t xml:space="preserve">ao seu </w:t>
      </w:r>
      <w:r w:rsidRPr="00D17AF1">
        <w:rPr>
          <w:rFonts w:asciiTheme="minorHAnsi" w:hAnsiTheme="minorHAnsi" w:cstheme="minorHAnsi"/>
          <w:bCs/>
          <w:sz w:val="22"/>
          <w:szCs w:val="22"/>
        </w:rPr>
        <w:t>acionista. Contudo, é de assinalar a tendência para uma diminuição gradual da capacidade de distribuição de dividendos,</w:t>
      </w:r>
      <w:r w:rsidRPr="007379A1">
        <w:rPr>
          <w:rFonts w:asciiTheme="minorHAnsi" w:hAnsiTheme="minorHAnsi" w:cstheme="minorHAnsi"/>
          <w:bCs/>
          <w:sz w:val="22"/>
          <w:szCs w:val="22"/>
        </w:rPr>
        <w:t xml:space="preserve"> acompanhando a evolução natural dos ativos imobiliários sob gestão, à medida que vai sendo alienado o seu património. A IMOFUNDOS terminou o ano de 202</w:t>
      </w:r>
      <w:r w:rsidR="00CE6807">
        <w:rPr>
          <w:rFonts w:asciiTheme="minorHAnsi" w:hAnsiTheme="minorHAnsi" w:cstheme="minorHAnsi"/>
          <w:bCs/>
          <w:sz w:val="22"/>
          <w:szCs w:val="22"/>
        </w:rPr>
        <w:t>5</w:t>
      </w:r>
      <w:r w:rsidRPr="007379A1">
        <w:rPr>
          <w:rFonts w:asciiTheme="minorHAnsi" w:hAnsiTheme="minorHAnsi" w:cstheme="minorHAnsi"/>
          <w:bCs/>
          <w:sz w:val="22"/>
          <w:szCs w:val="22"/>
        </w:rPr>
        <w:t xml:space="preserve"> com um organismo de investimento imobiliário sob gestão, cuja carteira (Valor Líquido Global do Fundo) totalizava € </w:t>
      </w:r>
      <w:r w:rsidR="00BF4F66" w:rsidRPr="00BA1440">
        <w:rPr>
          <w:rFonts w:asciiTheme="minorHAnsi" w:hAnsiTheme="minorHAnsi" w:cstheme="minorHAnsi"/>
          <w:bCs/>
          <w:sz w:val="22"/>
          <w:szCs w:val="22"/>
        </w:rPr>
        <w:t>226</w:t>
      </w:r>
      <w:r w:rsidRPr="00BA1440">
        <w:rPr>
          <w:rFonts w:asciiTheme="minorHAnsi" w:hAnsiTheme="minorHAnsi" w:cstheme="minorHAnsi"/>
          <w:bCs/>
          <w:sz w:val="22"/>
          <w:szCs w:val="22"/>
        </w:rPr>
        <w:t>,</w:t>
      </w:r>
      <w:r w:rsidR="00BF4F66" w:rsidRPr="00BA1440">
        <w:rPr>
          <w:rFonts w:asciiTheme="minorHAnsi" w:hAnsiTheme="minorHAnsi" w:cstheme="minorHAnsi"/>
          <w:bCs/>
          <w:sz w:val="22"/>
          <w:szCs w:val="22"/>
        </w:rPr>
        <w:t>6</w:t>
      </w:r>
      <w:r w:rsidRPr="007379A1">
        <w:rPr>
          <w:rFonts w:asciiTheme="minorHAnsi" w:hAnsiTheme="minorHAnsi" w:cstheme="minorHAnsi"/>
          <w:bCs/>
          <w:sz w:val="22"/>
          <w:szCs w:val="22"/>
        </w:rPr>
        <w:t xml:space="preserve"> milhões.</w:t>
      </w:r>
    </w:p>
    <w:p w14:paraId="518354B0" w14:textId="77777777" w:rsidR="007379A1" w:rsidRPr="007379A1" w:rsidRDefault="007379A1" w:rsidP="007379A1">
      <w:pPr>
        <w:jc w:val="both"/>
        <w:rPr>
          <w:rFonts w:asciiTheme="minorHAnsi" w:hAnsiTheme="minorHAnsi" w:cstheme="minorHAnsi"/>
          <w:bCs/>
          <w:sz w:val="22"/>
          <w:szCs w:val="22"/>
        </w:rPr>
      </w:pPr>
    </w:p>
    <w:p w14:paraId="6D18206B" w14:textId="7E74ADDA" w:rsidR="007379A1" w:rsidRDefault="008006D5" w:rsidP="008340BA">
      <w:pPr>
        <w:jc w:val="both"/>
        <w:rPr>
          <w:rFonts w:asciiTheme="minorHAnsi" w:hAnsiTheme="minorHAnsi" w:cstheme="minorHAnsi"/>
          <w:bCs/>
          <w:sz w:val="22"/>
          <w:szCs w:val="22"/>
        </w:rPr>
      </w:pPr>
      <w:r w:rsidRPr="008C75A8">
        <w:rPr>
          <w:rFonts w:asciiTheme="minorHAnsi" w:hAnsiTheme="minorHAnsi" w:cstheme="minorHAnsi"/>
          <w:bCs/>
          <w:sz w:val="22"/>
          <w:szCs w:val="22"/>
          <w:shd w:val="clear" w:color="auto" w:fill="FFFFFF" w:themeFill="background1"/>
        </w:rPr>
        <w:t xml:space="preserve">Equaciona-se </w:t>
      </w:r>
      <w:r w:rsidR="008C6D9D" w:rsidRPr="008C75A8">
        <w:rPr>
          <w:rFonts w:asciiTheme="minorHAnsi" w:hAnsiTheme="minorHAnsi" w:cstheme="minorHAnsi"/>
          <w:bCs/>
          <w:sz w:val="22"/>
          <w:szCs w:val="22"/>
          <w:shd w:val="clear" w:color="auto" w:fill="FFFFFF" w:themeFill="background1"/>
        </w:rPr>
        <w:t xml:space="preserve">no contexto do Plano de Liquidação da </w:t>
      </w:r>
      <w:r w:rsidR="00542712" w:rsidRPr="008C75A8">
        <w:rPr>
          <w:rFonts w:asciiTheme="minorHAnsi" w:hAnsiTheme="minorHAnsi" w:cstheme="minorHAnsi"/>
          <w:bCs/>
          <w:sz w:val="22"/>
          <w:szCs w:val="22"/>
          <w:shd w:val="clear" w:color="auto" w:fill="FFFFFF" w:themeFill="background1"/>
        </w:rPr>
        <w:t>PARVALOREM</w:t>
      </w:r>
      <w:r w:rsidR="008C6D9D" w:rsidRPr="008C75A8">
        <w:rPr>
          <w:rFonts w:asciiTheme="minorHAnsi" w:hAnsiTheme="minorHAnsi" w:cstheme="minorHAnsi"/>
          <w:bCs/>
          <w:sz w:val="22"/>
          <w:szCs w:val="22"/>
          <w:shd w:val="clear" w:color="auto" w:fill="FFFFFF" w:themeFill="background1"/>
        </w:rPr>
        <w:t xml:space="preserve">, </w:t>
      </w:r>
      <w:r w:rsidR="008340BA">
        <w:rPr>
          <w:rFonts w:asciiTheme="minorHAnsi" w:hAnsiTheme="minorHAnsi" w:cstheme="minorHAnsi"/>
          <w:bCs/>
          <w:sz w:val="22"/>
          <w:szCs w:val="22"/>
          <w:shd w:val="clear" w:color="auto" w:fill="FFFFFF" w:themeFill="background1"/>
        </w:rPr>
        <w:t xml:space="preserve">a </w:t>
      </w:r>
      <w:r w:rsidR="008340BA" w:rsidRPr="008340BA">
        <w:rPr>
          <w:rFonts w:asciiTheme="minorHAnsi" w:hAnsiTheme="minorHAnsi" w:cstheme="minorHAnsi"/>
          <w:bCs/>
          <w:sz w:val="22"/>
          <w:szCs w:val="22"/>
          <w:shd w:val="clear" w:color="auto" w:fill="FFFFFF" w:themeFill="background1"/>
        </w:rPr>
        <w:t>vend</w:t>
      </w:r>
      <w:r w:rsidR="008340BA">
        <w:rPr>
          <w:rFonts w:asciiTheme="minorHAnsi" w:hAnsiTheme="minorHAnsi" w:cstheme="minorHAnsi"/>
          <w:bCs/>
          <w:sz w:val="22"/>
          <w:szCs w:val="22"/>
          <w:shd w:val="clear" w:color="auto" w:fill="FFFFFF" w:themeFill="background1"/>
        </w:rPr>
        <w:t>a</w:t>
      </w:r>
      <w:r w:rsidR="008340BA" w:rsidRPr="008340BA">
        <w:rPr>
          <w:rFonts w:asciiTheme="minorHAnsi" w:hAnsiTheme="minorHAnsi" w:cstheme="minorHAnsi"/>
          <w:bCs/>
          <w:sz w:val="22"/>
          <w:szCs w:val="22"/>
          <w:shd w:val="clear" w:color="auto" w:fill="FFFFFF" w:themeFill="background1"/>
        </w:rPr>
        <w:t xml:space="preserve"> </w:t>
      </w:r>
      <w:r w:rsidR="008340BA">
        <w:rPr>
          <w:rFonts w:asciiTheme="minorHAnsi" w:hAnsiTheme="minorHAnsi" w:cstheme="minorHAnsi"/>
          <w:bCs/>
          <w:sz w:val="22"/>
          <w:szCs w:val="22"/>
          <w:shd w:val="clear" w:color="auto" w:fill="FFFFFF" w:themeFill="background1"/>
        </w:rPr>
        <w:t>d</w:t>
      </w:r>
      <w:r w:rsidR="008340BA" w:rsidRPr="008340BA">
        <w:rPr>
          <w:rFonts w:asciiTheme="minorHAnsi" w:hAnsiTheme="minorHAnsi" w:cstheme="minorHAnsi"/>
          <w:bCs/>
          <w:sz w:val="22"/>
          <w:szCs w:val="22"/>
          <w:shd w:val="clear" w:color="auto" w:fill="FFFFFF" w:themeFill="background1"/>
        </w:rPr>
        <w:t xml:space="preserve">as unidades de participação que detém no fundo </w:t>
      </w:r>
      <w:r w:rsidR="008340BA">
        <w:rPr>
          <w:rFonts w:asciiTheme="minorHAnsi" w:hAnsiTheme="minorHAnsi" w:cstheme="minorHAnsi"/>
          <w:bCs/>
          <w:sz w:val="22"/>
          <w:szCs w:val="22"/>
          <w:shd w:val="clear" w:color="auto" w:fill="FFFFFF" w:themeFill="background1"/>
        </w:rPr>
        <w:t xml:space="preserve">IMONEGÓCIOS </w:t>
      </w:r>
      <w:r w:rsidR="008340BA" w:rsidRPr="008340BA">
        <w:rPr>
          <w:rFonts w:asciiTheme="minorHAnsi" w:hAnsiTheme="minorHAnsi" w:cstheme="minorHAnsi"/>
          <w:bCs/>
          <w:sz w:val="22"/>
          <w:szCs w:val="22"/>
          <w:shd w:val="clear" w:color="auto" w:fill="FFFFFF" w:themeFill="background1"/>
        </w:rPr>
        <w:t xml:space="preserve">a um investidor nacional ou internacional, </w:t>
      </w:r>
      <w:r w:rsidR="008340BA">
        <w:rPr>
          <w:rFonts w:asciiTheme="minorHAnsi" w:hAnsiTheme="minorHAnsi" w:cstheme="minorHAnsi"/>
          <w:bCs/>
          <w:sz w:val="22"/>
          <w:szCs w:val="22"/>
          <w:shd w:val="clear" w:color="auto" w:fill="FFFFFF" w:themeFill="background1"/>
        </w:rPr>
        <w:t xml:space="preserve">ou </w:t>
      </w:r>
      <w:r w:rsidR="008340BA" w:rsidRPr="008C75A8">
        <w:rPr>
          <w:rFonts w:asciiTheme="minorHAnsi" w:hAnsiTheme="minorHAnsi" w:cstheme="minorHAnsi"/>
          <w:bCs/>
          <w:sz w:val="22"/>
          <w:szCs w:val="22"/>
          <w:shd w:val="clear" w:color="auto" w:fill="FFFFFF" w:themeFill="background1"/>
        </w:rPr>
        <w:t xml:space="preserve">a dação das </w:t>
      </w:r>
      <w:r w:rsidR="008340BA">
        <w:rPr>
          <w:rFonts w:asciiTheme="minorHAnsi" w:hAnsiTheme="minorHAnsi" w:cstheme="minorHAnsi"/>
          <w:bCs/>
          <w:sz w:val="22"/>
          <w:szCs w:val="22"/>
          <w:shd w:val="clear" w:color="auto" w:fill="FFFFFF" w:themeFill="background1"/>
        </w:rPr>
        <w:t>mesmas</w:t>
      </w:r>
      <w:r w:rsidR="008340BA" w:rsidRPr="007B325F">
        <w:rPr>
          <w:rFonts w:asciiTheme="minorHAnsi" w:hAnsiTheme="minorHAnsi" w:cstheme="minorHAnsi"/>
          <w:bCs/>
          <w:sz w:val="22"/>
          <w:szCs w:val="22"/>
        </w:rPr>
        <w:t xml:space="preserve"> a uma entidade do Estado, mediante redução da dívida da PARVALOREM à ETF</w:t>
      </w:r>
      <w:r w:rsidR="008340BA">
        <w:rPr>
          <w:rFonts w:asciiTheme="minorHAnsi" w:hAnsiTheme="minorHAnsi" w:cstheme="minorHAnsi"/>
          <w:bCs/>
          <w:sz w:val="22"/>
          <w:szCs w:val="22"/>
        </w:rPr>
        <w:t xml:space="preserve">, </w:t>
      </w:r>
      <w:r w:rsidR="008340BA">
        <w:rPr>
          <w:rFonts w:asciiTheme="minorHAnsi" w:hAnsiTheme="minorHAnsi" w:cstheme="minorHAnsi"/>
          <w:bCs/>
          <w:sz w:val="22"/>
          <w:szCs w:val="22"/>
          <w:shd w:val="clear" w:color="auto" w:fill="FFFFFF" w:themeFill="background1"/>
        </w:rPr>
        <w:t xml:space="preserve">e posterior liquidação da sociedade gestora </w:t>
      </w:r>
      <w:r w:rsidR="008340BA" w:rsidRPr="008340BA">
        <w:rPr>
          <w:rFonts w:asciiTheme="minorHAnsi" w:hAnsiTheme="minorHAnsi" w:cstheme="minorHAnsi"/>
          <w:bCs/>
          <w:sz w:val="22"/>
          <w:szCs w:val="22"/>
          <w:shd w:val="clear" w:color="auto" w:fill="FFFFFF" w:themeFill="background1"/>
        </w:rPr>
        <w:t>IMOFUNDOS</w:t>
      </w:r>
      <w:r w:rsidR="008340BA">
        <w:rPr>
          <w:rFonts w:asciiTheme="minorHAnsi" w:hAnsiTheme="minorHAnsi" w:cstheme="minorHAnsi"/>
          <w:bCs/>
          <w:sz w:val="22"/>
          <w:szCs w:val="22"/>
          <w:shd w:val="clear" w:color="auto" w:fill="FFFFFF" w:themeFill="background1"/>
        </w:rPr>
        <w:t>.</w:t>
      </w:r>
      <w:r w:rsidR="000374FB" w:rsidRPr="008C75A8">
        <w:rPr>
          <w:rFonts w:asciiTheme="minorHAnsi" w:hAnsiTheme="minorHAnsi" w:cstheme="minorHAnsi"/>
          <w:bCs/>
          <w:sz w:val="22"/>
          <w:szCs w:val="22"/>
          <w:shd w:val="clear" w:color="auto" w:fill="FFFFFF" w:themeFill="background1"/>
        </w:rPr>
        <w:t xml:space="preserve"> </w:t>
      </w:r>
    </w:p>
    <w:p w14:paraId="5AACA95D" w14:textId="77777777" w:rsidR="008006D5" w:rsidRPr="007379A1" w:rsidRDefault="008006D5" w:rsidP="007379A1">
      <w:pPr>
        <w:jc w:val="both"/>
        <w:rPr>
          <w:rFonts w:asciiTheme="minorHAnsi" w:hAnsiTheme="minorHAnsi" w:cstheme="minorHAnsi"/>
          <w:bCs/>
          <w:sz w:val="22"/>
          <w:szCs w:val="22"/>
        </w:rPr>
      </w:pPr>
    </w:p>
    <w:p w14:paraId="08A9CCC9" w14:textId="29DBB2F1" w:rsidR="007379A1" w:rsidRDefault="007379A1" w:rsidP="007379A1">
      <w:pPr>
        <w:jc w:val="both"/>
        <w:rPr>
          <w:rFonts w:asciiTheme="minorHAnsi" w:hAnsiTheme="minorHAnsi" w:cstheme="minorHAnsi"/>
          <w:bCs/>
          <w:sz w:val="22"/>
          <w:szCs w:val="22"/>
        </w:rPr>
      </w:pPr>
      <w:r w:rsidRPr="00BA1440">
        <w:rPr>
          <w:rFonts w:asciiTheme="minorHAnsi" w:hAnsiTheme="minorHAnsi" w:cstheme="minorHAnsi"/>
          <w:bCs/>
          <w:sz w:val="22"/>
          <w:szCs w:val="22"/>
        </w:rPr>
        <w:t>O Ativo Líquido da IMOFUNDOS, em 31 de dezembro de 202</w:t>
      </w:r>
      <w:r w:rsidR="00CE6807" w:rsidRPr="00BA1440">
        <w:rPr>
          <w:rFonts w:asciiTheme="minorHAnsi" w:hAnsiTheme="minorHAnsi" w:cstheme="minorHAnsi"/>
          <w:bCs/>
          <w:sz w:val="22"/>
          <w:szCs w:val="22"/>
        </w:rPr>
        <w:t>5</w:t>
      </w:r>
      <w:r w:rsidRPr="00BA1440">
        <w:rPr>
          <w:rFonts w:asciiTheme="minorHAnsi" w:hAnsiTheme="minorHAnsi" w:cstheme="minorHAnsi"/>
          <w:bCs/>
          <w:sz w:val="22"/>
          <w:szCs w:val="22"/>
        </w:rPr>
        <w:t xml:space="preserve">, é de € </w:t>
      </w:r>
      <w:r w:rsidR="00BA1440" w:rsidRPr="00BA1440">
        <w:rPr>
          <w:rFonts w:asciiTheme="minorHAnsi" w:hAnsiTheme="minorHAnsi" w:cstheme="minorHAnsi"/>
          <w:bCs/>
          <w:sz w:val="22"/>
          <w:szCs w:val="22"/>
        </w:rPr>
        <w:t>4</w:t>
      </w:r>
      <w:r w:rsidR="00E37202" w:rsidRPr="00BA1440">
        <w:rPr>
          <w:rFonts w:asciiTheme="minorHAnsi" w:hAnsiTheme="minorHAnsi" w:cstheme="minorHAnsi"/>
          <w:bCs/>
          <w:sz w:val="22"/>
          <w:szCs w:val="22"/>
        </w:rPr>
        <w:t>,</w:t>
      </w:r>
      <w:r w:rsidR="00BA1440" w:rsidRPr="00BA1440">
        <w:rPr>
          <w:rFonts w:asciiTheme="minorHAnsi" w:hAnsiTheme="minorHAnsi" w:cstheme="minorHAnsi"/>
          <w:bCs/>
          <w:sz w:val="22"/>
          <w:szCs w:val="22"/>
        </w:rPr>
        <w:t>6</w:t>
      </w:r>
      <w:r w:rsidRPr="00BA1440">
        <w:rPr>
          <w:rFonts w:asciiTheme="minorHAnsi" w:hAnsiTheme="minorHAnsi" w:cstheme="minorHAnsi"/>
          <w:bCs/>
          <w:sz w:val="22"/>
          <w:szCs w:val="22"/>
        </w:rPr>
        <w:t xml:space="preserve"> milhões, dos quais </w:t>
      </w:r>
      <w:r w:rsidR="00793C9B" w:rsidRPr="00BA1440">
        <w:rPr>
          <w:rFonts w:asciiTheme="minorHAnsi" w:hAnsiTheme="minorHAnsi" w:cstheme="minorHAnsi"/>
          <w:bCs/>
          <w:sz w:val="22"/>
          <w:szCs w:val="22"/>
        </w:rPr>
        <w:t>€ </w:t>
      </w:r>
      <w:r w:rsidR="00FB027A">
        <w:rPr>
          <w:rFonts w:asciiTheme="minorHAnsi" w:hAnsiTheme="minorHAnsi" w:cstheme="minorHAnsi"/>
          <w:bCs/>
          <w:sz w:val="22"/>
          <w:szCs w:val="22"/>
        </w:rPr>
        <w:t>4,</w:t>
      </w:r>
      <w:r w:rsidR="00F63D5D">
        <w:rPr>
          <w:rFonts w:asciiTheme="minorHAnsi" w:hAnsiTheme="minorHAnsi" w:cstheme="minorHAnsi"/>
          <w:bCs/>
          <w:sz w:val="22"/>
          <w:szCs w:val="22"/>
        </w:rPr>
        <w:t>3</w:t>
      </w:r>
      <w:r w:rsidR="00793C9B" w:rsidRPr="00BA1440">
        <w:rPr>
          <w:rFonts w:asciiTheme="minorHAnsi" w:hAnsiTheme="minorHAnsi" w:cstheme="minorHAnsi"/>
          <w:bCs/>
          <w:sz w:val="22"/>
          <w:szCs w:val="22"/>
        </w:rPr>
        <w:t> </w:t>
      </w:r>
      <w:r w:rsidRPr="00BA1440">
        <w:rPr>
          <w:rFonts w:asciiTheme="minorHAnsi" w:hAnsiTheme="minorHAnsi" w:cstheme="minorHAnsi"/>
          <w:bCs/>
          <w:sz w:val="22"/>
          <w:szCs w:val="22"/>
        </w:rPr>
        <w:t xml:space="preserve">milhões correspondem a depósitos bancários. O Passivo fixou-se em € </w:t>
      </w:r>
      <w:r w:rsidR="00E37202" w:rsidRPr="00BA1440">
        <w:rPr>
          <w:rFonts w:asciiTheme="minorHAnsi" w:hAnsiTheme="minorHAnsi" w:cstheme="minorHAnsi"/>
          <w:bCs/>
          <w:sz w:val="22"/>
          <w:szCs w:val="22"/>
        </w:rPr>
        <w:t>2,</w:t>
      </w:r>
      <w:r w:rsidR="00BA1440">
        <w:rPr>
          <w:rFonts w:asciiTheme="minorHAnsi" w:hAnsiTheme="minorHAnsi" w:cstheme="minorHAnsi"/>
          <w:bCs/>
          <w:sz w:val="22"/>
          <w:szCs w:val="22"/>
        </w:rPr>
        <w:t>2</w:t>
      </w:r>
      <w:r w:rsidRPr="00BA1440">
        <w:rPr>
          <w:rFonts w:asciiTheme="minorHAnsi" w:hAnsiTheme="minorHAnsi" w:cstheme="minorHAnsi"/>
          <w:bCs/>
          <w:sz w:val="22"/>
          <w:szCs w:val="22"/>
        </w:rPr>
        <w:t xml:space="preserve"> milhões. Com um Capital Próprio de € </w:t>
      </w:r>
      <w:r w:rsidR="00BA1440">
        <w:rPr>
          <w:rFonts w:asciiTheme="minorHAnsi" w:hAnsiTheme="minorHAnsi" w:cstheme="minorHAnsi"/>
          <w:bCs/>
          <w:sz w:val="22"/>
          <w:szCs w:val="22"/>
        </w:rPr>
        <w:t>2</w:t>
      </w:r>
      <w:r w:rsidR="00E37202" w:rsidRPr="00BA1440">
        <w:rPr>
          <w:rFonts w:asciiTheme="minorHAnsi" w:hAnsiTheme="minorHAnsi" w:cstheme="minorHAnsi"/>
          <w:bCs/>
          <w:sz w:val="22"/>
          <w:szCs w:val="22"/>
        </w:rPr>
        <w:t>,</w:t>
      </w:r>
      <w:r w:rsidR="00BA1440">
        <w:rPr>
          <w:rFonts w:asciiTheme="minorHAnsi" w:hAnsiTheme="minorHAnsi" w:cstheme="minorHAnsi"/>
          <w:bCs/>
          <w:sz w:val="22"/>
          <w:szCs w:val="22"/>
        </w:rPr>
        <w:t>4</w:t>
      </w:r>
      <w:r w:rsidRPr="00BA1440">
        <w:rPr>
          <w:rFonts w:asciiTheme="minorHAnsi" w:hAnsiTheme="minorHAnsi" w:cstheme="minorHAnsi"/>
          <w:bCs/>
          <w:sz w:val="22"/>
          <w:szCs w:val="22"/>
        </w:rPr>
        <w:t xml:space="preserve"> milhões</w:t>
      </w:r>
      <w:r w:rsidR="006B2541" w:rsidRPr="00BA1440">
        <w:rPr>
          <w:rFonts w:asciiTheme="minorHAnsi" w:hAnsiTheme="minorHAnsi" w:cstheme="minorHAnsi"/>
          <w:bCs/>
          <w:sz w:val="22"/>
          <w:szCs w:val="22"/>
        </w:rPr>
        <w:t>,</w:t>
      </w:r>
      <w:r w:rsidRPr="00BA1440">
        <w:rPr>
          <w:rFonts w:asciiTheme="minorHAnsi" w:hAnsiTheme="minorHAnsi" w:cstheme="minorHAnsi"/>
          <w:bCs/>
          <w:sz w:val="22"/>
          <w:szCs w:val="22"/>
        </w:rPr>
        <w:t xml:space="preserve"> a IMOFUNDOS registou em 202</w:t>
      </w:r>
      <w:r w:rsidR="00BF5E7B" w:rsidRPr="00BA1440">
        <w:rPr>
          <w:rFonts w:asciiTheme="minorHAnsi" w:hAnsiTheme="minorHAnsi" w:cstheme="minorHAnsi"/>
          <w:bCs/>
          <w:sz w:val="22"/>
          <w:szCs w:val="22"/>
        </w:rPr>
        <w:t>5</w:t>
      </w:r>
      <w:r w:rsidRPr="00BA1440">
        <w:rPr>
          <w:rFonts w:asciiTheme="minorHAnsi" w:hAnsiTheme="minorHAnsi" w:cstheme="minorHAnsi"/>
          <w:bCs/>
          <w:sz w:val="22"/>
          <w:szCs w:val="22"/>
        </w:rPr>
        <w:t xml:space="preserve"> um Resultado Líquido de €</w:t>
      </w:r>
      <w:r w:rsidR="00E37202" w:rsidRPr="00BA1440">
        <w:rPr>
          <w:rFonts w:asciiTheme="minorHAnsi" w:hAnsiTheme="minorHAnsi" w:cstheme="minorHAnsi"/>
          <w:bCs/>
          <w:sz w:val="22"/>
          <w:szCs w:val="22"/>
        </w:rPr>
        <w:t> 1,</w:t>
      </w:r>
      <w:r w:rsidR="00BA1440">
        <w:rPr>
          <w:rFonts w:asciiTheme="minorHAnsi" w:hAnsiTheme="minorHAnsi" w:cstheme="minorHAnsi"/>
          <w:bCs/>
          <w:sz w:val="22"/>
          <w:szCs w:val="22"/>
        </w:rPr>
        <w:t>1</w:t>
      </w:r>
      <w:r w:rsidR="00E37202" w:rsidRPr="00BA1440">
        <w:rPr>
          <w:rFonts w:asciiTheme="minorHAnsi" w:hAnsiTheme="minorHAnsi" w:cstheme="minorHAnsi"/>
          <w:bCs/>
          <w:sz w:val="22"/>
          <w:szCs w:val="22"/>
        </w:rPr>
        <w:t xml:space="preserve"> </w:t>
      </w:r>
      <w:r w:rsidRPr="00BA1440">
        <w:rPr>
          <w:rFonts w:asciiTheme="minorHAnsi" w:hAnsiTheme="minorHAnsi" w:cstheme="minorHAnsi"/>
          <w:bCs/>
          <w:sz w:val="22"/>
          <w:szCs w:val="22"/>
        </w:rPr>
        <w:t>milhões.</w:t>
      </w:r>
    </w:p>
    <w:p w14:paraId="1B08833C" w14:textId="77777777" w:rsidR="007379A1" w:rsidRDefault="007379A1" w:rsidP="00C93B74">
      <w:pPr>
        <w:jc w:val="both"/>
        <w:rPr>
          <w:rFonts w:asciiTheme="minorHAnsi" w:hAnsiTheme="minorHAnsi" w:cstheme="minorHAnsi"/>
          <w:bCs/>
          <w:sz w:val="22"/>
          <w:szCs w:val="22"/>
        </w:rPr>
      </w:pPr>
    </w:p>
    <w:p w14:paraId="194D0606" w14:textId="77777777" w:rsidR="00C93B74" w:rsidRPr="005E5A57" w:rsidRDefault="00C93B74" w:rsidP="00C93B74">
      <w:pPr>
        <w:jc w:val="both"/>
        <w:rPr>
          <w:rFonts w:asciiTheme="minorHAnsi" w:hAnsiTheme="minorHAnsi" w:cstheme="minorHAnsi"/>
          <w:color w:val="000000"/>
          <w:sz w:val="22"/>
          <w:szCs w:val="22"/>
        </w:rPr>
      </w:pPr>
    </w:p>
    <w:p w14:paraId="3AECD3CB" w14:textId="77777777" w:rsidR="00C93B74" w:rsidRPr="007B4009" w:rsidRDefault="00C93B74" w:rsidP="00C93B74">
      <w:pPr>
        <w:jc w:val="both"/>
        <w:rPr>
          <w:rFonts w:asciiTheme="minorHAnsi" w:hAnsiTheme="minorHAnsi" w:cstheme="minorHAnsi"/>
          <w:b/>
          <w:sz w:val="22"/>
          <w:szCs w:val="22"/>
          <w:u w:val="single"/>
        </w:rPr>
      </w:pPr>
      <w:r w:rsidRPr="007B4009">
        <w:rPr>
          <w:rFonts w:asciiTheme="minorHAnsi" w:hAnsiTheme="minorHAnsi" w:cstheme="minorHAnsi"/>
          <w:b/>
          <w:sz w:val="22"/>
          <w:szCs w:val="22"/>
          <w:u w:val="single"/>
        </w:rPr>
        <w:t>Gestão de Outros Ativos</w:t>
      </w:r>
    </w:p>
    <w:p w14:paraId="2A85F4C1" w14:textId="77777777" w:rsidR="00C93B74" w:rsidRDefault="00C93B74" w:rsidP="007A2978">
      <w:pPr>
        <w:jc w:val="both"/>
        <w:rPr>
          <w:rFonts w:asciiTheme="minorHAnsi" w:hAnsiTheme="minorHAnsi" w:cstheme="minorHAnsi"/>
          <w:bCs/>
          <w:sz w:val="22"/>
          <w:szCs w:val="22"/>
        </w:rPr>
      </w:pPr>
    </w:p>
    <w:p w14:paraId="700B5A11" w14:textId="77777777" w:rsidR="00C93B74" w:rsidRPr="00A42FF4" w:rsidRDefault="00C93B74" w:rsidP="007A2978">
      <w:pPr>
        <w:jc w:val="both"/>
        <w:rPr>
          <w:rFonts w:asciiTheme="minorHAnsi" w:hAnsiTheme="minorHAnsi" w:cstheme="minorHAnsi"/>
          <w:bCs/>
          <w:sz w:val="22"/>
          <w:szCs w:val="22"/>
        </w:rPr>
      </w:pPr>
      <w:bookmarkStart w:id="30" w:name="_Hlk71942256"/>
      <w:r w:rsidRPr="00A42FF4">
        <w:rPr>
          <w:rFonts w:asciiTheme="minorHAnsi" w:hAnsiTheme="minorHAnsi" w:cstheme="minorHAnsi"/>
          <w:bCs/>
          <w:sz w:val="22"/>
          <w:szCs w:val="22"/>
        </w:rPr>
        <w:t>As PAR herdaram, fruto da segregação dos bens do antigo BPN, um conjunto de ativos não financeiros constituídos por obras de arte, algumas de autores emblemáticos do panorama artístico português e estrangeiro dos séculos XX e XXI, e outras peças de valor reduzido, nomeadamente, livros, mobiliário e tapetes.</w:t>
      </w:r>
    </w:p>
    <w:p w14:paraId="7E8B22BA" w14:textId="77777777" w:rsidR="00C93B74" w:rsidRPr="00A42FF4" w:rsidRDefault="00C93B74" w:rsidP="007A2978">
      <w:pPr>
        <w:jc w:val="both"/>
        <w:rPr>
          <w:rFonts w:asciiTheme="minorHAnsi" w:hAnsiTheme="minorHAnsi" w:cstheme="minorHAnsi"/>
          <w:bCs/>
          <w:sz w:val="22"/>
          <w:szCs w:val="22"/>
        </w:rPr>
      </w:pPr>
      <w:r w:rsidRPr="00A42FF4">
        <w:rPr>
          <w:rFonts w:asciiTheme="minorHAnsi" w:hAnsiTheme="minorHAnsi" w:cstheme="minorHAnsi"/>
          <w:bCs/>
          <w:sz w:val="22"/>
          <w:szCs w:val="22"/>
        </w:rPr>
        <w:t xml:space="preserve"> </w:t>
      </w:r>
    </w:p>
    <w:p w14:paraId="3AC030C8" w14:textId="77777777" w:rsidR="00C93B74" w:rsidRPr="00A42FF4" w:rsidRDefault="00C93B74" w:rsidP="007A2978">
      <w:pPr>
        <w:jc w:val="both"/>
        <w:rPr>
          <w:rFonts w:asciiTheme="minorHAnsi" w:hAnsiTheme="minorHAnsi" w:cstheme="minorHAnsi"/>
          <w:bCs/>
          <w:sz w:val="22"/>
          <w:szCs w:val="22"/>
        </w:rPr>
      </w:pPr>
      <w:r w:rsidRPr="00A42FF4">
        <w:rPr>
          <w:rFonts w:asciiTheme="minorHAnsi" w:hAnsiTheme="minorHAnsi" w:cstheme="minorHAnsi"/>
          <w:bCs/>
          <w:sz w:val="22"/>
          <w:szCs w:val="22"/>
        </w:rPr>
        <w:t>Os Conselhos de Administração das Sociedades foram, ao longo dos anos, promovendo as obras de arte junto de várias entidades, procurando encontrar soluções que conciliassem a sua alienação com o enriquecimento dos acervos das coleções do Estado Português.</w:t>
      </w:r>
    </w:p>
    <w:p w14:paraId="7A1C4231" w14:textId="77777777" w:rsidR="00C93B74" w:rsidRPr="00A42FF4" w:rsidRDefault="00C93B74" w:rsidP="007A2978">
      <w:pPr>
        <w:jc w:val="both"/>
        <w:rPr>
          <w:rFonts w:asciiTheme="minorHAnsi" w:hAnsiTheme="minorHAnsi" w:cstheme="minorHAnsi"/>
          <w:bCs/>
          <w:sz w:val="22"/>
          <w:szCs w:val="22"/>
        </w:rPr>
      </w:pPr>
      <w:r w:rsidRPr="00A42FF4">
        <w:rPr>
          <w:rFonts w:asciiTheme="minorHAnsi" w:hAnsiTheme="minorHAnsi" w:cstheme="minorHAnsi"/>
          <w:bCs/>
          <w:sz w:val="22"/>
          <w:szCs w:val="22"/>
        </w:rPr>
        <w:t xml:space="preserve"> </w:t>
      </w:r>
    </w:p>
    <w:p w14:paraId="29245454" w14:textId="77777777" w:rsidR="00C93B74" w:rsidRPr="00A42FF4" w:rsidRDefault="00C93B74" w:rsidP="007A2978">
      <w:pPr>
        <w:jc w:val="both"/>
        <w:rPr>
          <w:rFonts w:asciiTheme="minorHAnsi" w:hAnsiTheme="minorHAnsi" w:cstheme="minorHAnsi"/>
          <w:bCs/>
          <w:sz w:val="22"/>
          <w:szCs w:val="22"/>
        </w:rPr>
      </w:pPr>
      <w:r>
        <w:rPr>
          <w:rFonts w:asciiTheme="minorHAnsi" w:hAnsiTheme="minorHAnsi" w:cstheme="minorHAnsi"/>
          <w:bCs/>
          <w:sz w:val="22"/>
          <w:szCs w:val="22"/>
        </w:rPr>
        <w:t>As PAR deram</w:t>
      </w:r>
      <w:r w:rsidRPr="00A42FF4">
        <w:rPr>
          <w:rFonts w:asciiTheme="minorHAnsi" w:hAnsiTheme="minorHAnsi" w:cstheme="minorHAnsi"/>
          <w:bCs/>
          <w:sz w:val="22"/>
          <w:szCs w:val="22"/>
        </w:rPr>
        <w:t xml:space="preserve"> em cumprimento ao Estado Português</w:t>
      </w:r>
      <w:r w:rsidRPr="00EF0449">
        <w:rPr>
          <w:rFonts w:asciiTheme="minorHAnsi" w:hAnsiTheme="minorHAnsi" w:cstheme="minorHAnsi"/>
          <w:bCs/>
          <w:sz w:val="22"/>
          <w:szCs w:val="22"/>
        </w:rPr>
        <w:t xml:space="preserve"> </w:t>
      </w:r>
      <w:r w:rsidRPr="00A42FF4">
        <w:rPr>
          <w:rFonts w:asciiTheme="minorHAnsi" w:hAnsiTheme="minorHAnsi" w:cstheme="minorHAnsi"/>
          <w:bCs/>
          <w:sz w:val="22"/>
          <w:szCs w:val="22"/>
        </w:rPr>
        <w:t xml:space="preserve">para regularização de dívidas das Sociedades </w:t>
      </w:r>
      <w:r>
        <w:rPr>
          <w:rFonts w:asciiTheme="minorHAnsi" w:hAnsiTheme="minorHAnsi" w:cstheme="minorHAnsi"/>
          <w:bCs/>
          <w:sz w:val="22"/>
          <w:szCs w:val="22"/>
        </w:rPr>
        <w:t>a este, em 2017,</w:t>
      </w:r>
      <w:r w:rsidRPr="00A42FF4">
        <w:rPr>
          <w:rFonts w:asciiTheme="minorHAnsi" w:hAnsiTheme="minorHAnsi" w:cstheme="minorHAnsi"/>
          <w:bCs/>
          <w:sz w:val="22"/>
          <w:szCs w:val="22"/>
        </w:rPr>
        <w:t xml:space="preserve"> 85 obras de </w:t>
      </w:r>
      <w:proofErr w:type="spellStart"/>
      <w:r w:rsidRPr="00A42FF4">
        <w:rPr>
          <w:rFonts w:asciiTheme="minorHAnsi" w:hAnsiTheme="minorHAnsi" w:cstheme="minorHAnsi"/>
          <w:bCs/>
          <w:sz w:val="22"/>
          <w:szCs w:val="22"/>
        </w:rPr>
        <w:t>Joan</w:t>
      </w:r>
      <w:proofErr w:type="spellEnd"/>
      <w:r w:rsidRPr="00A42FF4">
        <w:rPr>
          <w:rFonts w:asciiTheme="minorHAnsi" w:hAnsiTheme="minorHAnsi" w:cstheme="minorHAnsi"/>
          <w:bCs/>
          <w:sz w:val="22"/>
          <w:szCs w:val="22"/>
        </w:rPr>
        <w:t xml:space="preserve"> Miró</w:t>
      </w:r>
      <w:r>
        <w:rPr>
          <w:rFonts w:asciiTheme="minorHAnsi" w:hAnsiTheme="minorHAnsi" w:cstheme="minorHAnsi"/>
          <w:bCs/>
          <w:sz w:val="22"/>
          <w:szCs w:val="22"/>
        </w:rPr>
        <w:t xml:space="preserve"> (</w:t>
      </w:r>
      <w:r w:rsidRPr="00A42FF4">
        <w:rPr>
          <w:rFonts w:asciiTheme="minorHAnsi" w:hAnsiTheme="minorHAnsi" w:cstheme="minorHAnsi"/>
          <w:bCs/>
          <w:sz w:val="22"/>
          <w:szCs w:val="22"/>
        </w:rPr>
        <w:t>13 propriedade da PARUPS e 72 da PARVALOREM</w:t>
      </w:r>
      <w:r>
        <w:rPr>
          <w:rFonts w:asciiTheme="minorHAnsi" w:hAnsiTheme="minorHAnsi" w:cstheme="minorHAnsi"/>
          <w:bCs/>
          <w:sz w:val="22"/>
          <w:szCs w:val="22"/>
        </w:rPr>
        <w:t>)</w:t>
      </w:r>
      <w:r w:rsidRPr="00A42FF4">
        <w:rPr>
          <w:rFonts w:asciiTheme="minorHAnsi" w:hAnsiTheme="minorHAnsi" w:cstheme="minorHAnsi"/>
          <w:bCs/>
          <w:sz w:val="22"/>
          <w:szCs w:val="22"/>
        </w:rPr>
        <w:t>, e</w:t>
      </w:r>
      <w:r>
        <w:rPr>
          <w:rFonts w:asciiTheme="minorHAnsi" w:hAnsiTheme="minorHAnsi" w:cstheme="minorHAnsi"/>
          <w:bCs/>
          <w:sz w:val="22"/>
          <w:szCs w:val="22"/>
        </w:rPr>
        <w:t>,</w:t>
      </w:r>
      <w:r w:rsidRPr="00A42FF4">
        <w:rPr>
          <w:rFonts w:asciiTheme="minorHAnsi" w:hAnsiTheme="minorHAnsi" w:cstheme="minorHAnsi"/>
          <w:bCs/>
          <w:sz w:val="22"/>
          <w:szCs w:val="22"/>
        </w:rPr>
        <w:t xml:space="preserve"> em 2019</w:t>
      </w:r>
      <w:r>
        <w:rPr>
          <w:rFonts w:asciiTheme="minorHAnsi" w:hAnsiTheme="minorHAnsi" w:cstheme="minorHAnsi"/>
          <w:bCs/>
          <w:sz w:val="22"/>
          <w:szCs w:val="22"/>
        </w:rPr>
        <w:t>,</w:t>
      </w:r>
      <w:r w:rsidRPr="00A42FF4">
        <w:rPr>
          <w:rFonts w:asciiTheme="minorHAnsi" w:hAnsiTheme="minorHAnsi" w:cstheme="minorHAnsi"/>
          <w:bCs/>
          <w:sz w:val="22"/>
          <w:szCs w:val="22"/>
        </w:rPr>
        <w:t xml:space="preserve"> 196 obras de artistas nacionais e estrangeiros</w:t>
      </w:r>
      <w:r>
        <w:rPr>
          <w:rFonts w:asciiTheme="minorHAnsi" w:hAnsiTheme="minorHAnsi" w:cstheme="minorHAnsi"/>
          <w:bCs/>
          <w:sz w:val="22"/>
          <w:szCs w:val="22"/>
        </w:rPr>
        <w:t xml:space="preserve"> (</w:t>
      </w:r>
      <w:r w:rsidRPr="00A42FF4">
        <w:rPr>
          <w:rFonts w:asciiTheme="minorHAnsi" w:hAnsiTheme="minorHAnsi" w:cstheme="minorHAnsi"/>
          <w:bCs/>
          <w:sz w:val="22"/>
          <w:szCs w:val="22"/>
        </w:rPr>
        <w:t>170 da PARUPS e 26 da PARVALOREM</w:t>
      </w:r>
      <w:r>
        <w:rPr>
          <w:rFonts w:asciiTheme="minorHAnsi" w:hAnsiTheme="minorHAnsi" w:cstheme="minorHAnsi"/>
          <w:bCs/>
          <w:sz w:val="22"/>
          <w:szCs w:val="22"/>
        </w:rPr>
        <w:t>)</w:t>
      </w:r>
      <w:r w:rsidRPr="00A42FF4">
        <w:rPr>
          <w:rFonts w:asciiTheme="minorHAnsi" w:hAnsiTheme="minorHAnsi" w:cstheme="minorHAnsi"/>
          <w:bCs/>
          <w:sz w:val="22"/>
          <w:szCs w:val="22"/>
        </w:rPr>
        <w:t>.</w:t>
      </w:r>
    </w:p>
    <w:p w14:paraId="71C3DE2C" w14:textId="77777777" w:rsidR="00C93B74" w:rsidRPr="00A42FF4" w:rsidRDefault="00C93B74" w:rsidP="007A2978">
      <w:pPr>
        <w:jc w:val="both"/>
        <w:rPr>
          <w:rFonts w:asciiTheme="minorHAnsi" w:hAnsiTheme="minorHAnsi" w:cstheme="minorHAnsi"/>
          <w:bCs/>
          <w:sz w:val="22"/>
          <w:szCs w:val="22"/>
        </w:rPr>
      </w:pPr>
      <w:r w:rsidRPr="00A42FF4">
        <w:rPr>
          <w:rFonts w:asciiTheme="minorHAnsi" w:hAnsiTheme="minorHAnsi" w:cstheme="minorHAnsi"/>
          <w:bCs/>
          <w:sz w:val="22"/>
          <w:szCs w:val="22"/>
        </w:rPr>
        <w:t xml:space="preserve"> </w:t>
      </w:r>
    </w:p>
    <w:p w14:paraId="022F3F04" w14:textId="77777777" w:rsidR="00C93B74" w:rsidRPr="00A42FF4" w:rsidRDefault="00C93B74" w:rsidP="007A2978">
      <w:pPr>
        <w:pStyle w:val="xxxmsonormal"/>
        <w:jc w:val="both"/>
      </w:pPr>
      <w:r w:rsidRPr="00A42FF4">
        <w:rPr>
          <w:rFonts w:asciiTheme="minorHAnsi" w:hAnsiTheme="minorHAnsi" w:cstheme="minorHAnsi"/>
          <w:bCs/>
        </w:rPr>
        <w:t xml:space="preserve">Como resultado destas operações, os Outros Ativos da PARVALOREM contribuíram com </w:t>
      </w:r>
      <w:r w:rsidRPr="00CB7A6A">
        <w:rPr>
          <w:rFonts w:asciiTheme="minorHAnsi" w:hAnsiTheme="minorHAnsi" w:cstheme="minorHAnsi"/>
          <w:bCs/>
        </w:rPr>
        <w:t>€ 45,8</w:t>
      </w:r>
      <w:r w:rsidRPr="00A42FF4">
        <w:rPr>
          <w:rFonts w:asciiTheme="minorHAnsi" w:hAnsiTheme="minorHAnsi" w:cstheme="minorHAnsi"/>
          <w:bCs/>
        </w:rPr>
        <w:t xml:space="preserve"> milhões para a redução da dívida da Sociedade, tendo sido atingidos os objetivos definidos para esta área de atividade. Concluiu-se, assim, com sucesso, a missão de valorização e alienação dos mesmos. </w:t>
      </w:r>
    </w:p>
    <w:p w14:paraId="699127D6" w14:textId="77777777" w:rsidR="00C93B74" w:rsidRPr="00A42FF4" w:rsidRDefault="00C93B74" w:rsidP="007A2978">
      <w:pPr>
        <w:jc w:val="both"/>
        <w:rPr>
          <w:rFonts w:asciiTheme="minorHAnsi" w:hAnsiTheme="minorHAnsi" w:cstheme="minorHAnsi"/>
          <w:bCs/>
          <w:sz w:val="22"/>
          <w:szCs w:val="22"/>
        </w:rPr>
      </w:pPr>
    </w:p>
    <w:bookmarkEnd w:id="30"/>
    <w:p w14:paraId="00B21D1B" w14:textId="77777777" w:rsidR="00C93B74" w:rsidRPr="00A16E81" w:rsidRDefault="00C93B74" w:rsidP="007A2978">
      <w:pPr>
        <w:jc w:val="both"/>
        <w:rPr>
          <w:rFonts w:asciiTheme="minorHAnsi" w:hAnsiTheme="minorHAnsi" w:cstheme="minorHAnsi"/>
          <w:bCs/>
          <w:sz w:val="22"/>
          <w:szCs w:val="22"/>
        </w:rPr>
      </w:pPr>
    </w:p>
    <w:p w14:paraId="6A64DE78" w14:textId="77777777" w:rsidR="00E864EA" w:rsidRDefault="00E864EA" w:rsidP="007A2978">
      <w:pPr>
        <w:jc w:val="both"/>
        <w:rPr>
          <w:rFonts w:asciiTheme="minorHAnsi" w:hAnsiTheme="minorHAnsi" w:cstheme="minorHAnsi"/>
          <w:b/>
          <w:sz w:val="22"/>
          <w:szCs w:val="22"/>
          <w:u w:val="single"/>
        </w:rPr>
      </w:pPr>
      <w:bookmarkStart w:id="31" w:name="_Hlk108544062"/>
      <w:bookmarkEnd w:id="20"/>
      <w:r>
        <w:rPr>
          <w:rFonts w:asciiTheme="minorHAnsi" w:hAnsiTheme="minorHAnsi" w:cstheme="minorHAnsi"/>
          <w:b/>
          <w:sz w:val="22"/>
          <w:szCs w:val="22"/>
          <w:u w:val="single"/>
        </w:rPr>
        <w:br w:type="page"/>
      </w:r>
    </w:p>
    <w:p w14:paraId="4C134F8D" w14:textId="227129FF" w:rsidR="00C93B74" w:rsidRPr="00346C82" w:rsidRDefault="00C93B74" w:rsidP="007A2978">
      <w:pPr>
        <w:jc w:val="both"/>
        <w:rPr>
          <w:rFonts w:asciiTheme="minorHAnsi" w:hAnsiTheme="minorHAnsi" w:cstheme="minorHAnsi"/>
          <w:b/>
          <w:sz w:val="22"/>
          <w:szCs w:val="22"/>
          <w:u w:val="single"/>
        </w:rPr>
      </w:pPr>
      <w:bookmarkStart w:id="32" w:name="_Hlk217385406"/>
      <w:r w:rsidRPr="00346C82">
        <w:rPr>
          <w:rFonts w:asciiTheme="minorHAnsi" w:hAnsiTheme="minorHAnsi" w:cstheme="minorHAnsi"/>
          <w:b/>
          <w:sz w:val="22"/>
          <w:szCs w:val="22"/>
          <w:u w:val="single"/>
        </w:rPr>
        <w:lastRenderedPageBreak/>
        <w:t>Recursos Humanos</w:t>
      </w:r>
    </w:p>
    <w:p w14:paraId="1BDFBDA7" w14:textId="77777777" w:rsidR="00C93B74" w:rsidRPr="00D4322C" w:rsidRDefault="00C93B74" w:rsidP="007A2978">
      <w:pPr>
        <w:jc w:val="both"/>
        <w:rPr>
          <w:rFonts w:asciiTheme="minorHAnsi" w:hAnsiTheme="minorHAnsi" w:cstheme="minorHAnsi"/>
          <w:b/>
          <w:sz w:val="22"/>
          <w:szCs w:val="22"/>
          <w:highlight w:val="yellow"/>
        </w:rPr>
      </w:pPr>
    </w:p>
    <w:bookmarkEnd w:id="31"/>
    <w:p w14:paraId="1974B214" w14:textId="77777777" w:rsidR="007A2978" w:rsidRPr="007A2978" w:rsidRDefault="007A2978" w:rsidP="007A2978">
      <w:pPr>
        <w:jc w:val="both"/>
        <w:rPr>
          <w:rFonts w:asciiTheme="minorHAnsi" w:hAnsiTheme="minorHAnsi" w:cstheme="minorHAnsi"/>
          <w:bCs/>
          <w:sz w:val="22"/>
          <w:szCs w:val="22"/>
        </w:rPr>
      </w:pPr>
      <w:r w:rsidRPr="007A2978">
        <w:rPr>
          <w:rFonts w:asciiTheme="minorHAnsi" w:hAnsiTheme="minorHAnsi" w:cstheme="minorHAnsi"/>
          <w:bCs/>
          <w:sz w:val="22"/>
          <w:szCs w:val="22"/>
        </w:rPr>
        <w:t xml:space="preserve">A PARVALOREM tem procurado ao longo dos anos adequar a estrutura e o número de colaboradores(as) às suas reais necessidades de acordo com a evolução dos ativos sob gestão. </w:t>
      </w:r>
    </w:p>
    <w:p w14:paraId="2CE0612A" w14:textId="77777777" w:rsidR="007A2978" w:rsidRPr="007A2978" w:rsidRDefault="007A2978" w:rsidP="007A2978">
      <w:pPr>
        <w:jc w:val="both"/>
        <w:rPr>
          <w:rFonts w:asciiTheme="minorHAnsi" w:hAnsiTheme="minorHAnsi" w:cstheme="minorHAnsi"/>
          <w:bCs/>
          <w:sz w:val="22"/>
          <w:szCs w:val="22"/>
        </w:rPr>
      </w:pPr>
    </w:p>
    <w:p w14:paraId="36FC4F11" w14:textId="6B1D3C91" w:rsidR="007A2978" w:rsidRPr="007A2978" w:rsidRDefault="007A2978" w:rsidP="007A2978">
      <w:pPr>
        <w:jc w:val="both"/>
        <w:rPr>
          <w:rFonts w:asciiTheme="minorHAnsi" w:hAnsiTheme="minorHAnsi" w:cstheme="minorHAnsi"/>
          <w:bCs/>
          <w:sz w:val="22"/>
          <w:szCs w:val="22"/>
        </w:rPr>
      </w:pPr>
      <w:r w:rsidRPr="007A2978">
        <w:rPr>
          <w:rFonts w:asciiTheme="minorHAnsi" w:hAnsiTheme="minorHAnsi" w:cstheme="minorHAnsi"/>
          <w:bCs/>
          <w:sz w:val="22"/>
          <w:szCs w:val="22"/>
        </w:rPr>
        <w:t xml:space="preserve">Em 30 de julho de 2025, foi lançado um novo Programa de Revogações por Mútuo Acordo (RMA 2025-2027), com uma adesão de </w:t>
      </w:r>
      <w:r w:rsidR="00D803F7">
        <w:rPr>
          <w:rFonts w:asciiTheme="minorHAnsi" w:hAnsiTheme="minorHAnsi" w:cstheme="minorHAnsi"/>
          <w:bCs/>
          <w:sz w:val="22"/>
          <w:szCs w:val="22"/>
        </w:rPr>
        <w:t>70</w:t>
      </w:r>
      <w:r w:rsidRPr="007A2978">
        <w:rPr>
          <w:rFonts w:asciiTheme="minorHAnsi" w:hAnsiTheme="minorHAnsi" w:cstheme="minorHAnsi"/>
          <w:bCs/>
          <w:sz w:val="22"/>
          <w:szCs w:val="22"/>
        </w:rPr>
        <w:t xml:space="preserve"> colaboradores(as), em que 4 desses colaboradores tiveram como último dia de trabalho o dia 31 de dezembro de 2025, 14 colaboradores(as) irão sair durante o ano de 2026 e os restantes 5</w:t>
      </w:r>
      <w:r w:rsidR="00D803F7">
        <w:rPr>
          <w:rFonts w:asciiTheme="minorHAnsi" w:hAnsiTheme="minorHAnsi" w:cstheme="minorHAnsi"/>
          <w:bCs/>
          <w:sz w:val="22"/>
          <w:szCs w:val="22"/>
        </w:rPr>
        <w:t>2</w:t>
      </w:r>
      <w:r w:rsidRPr="007A2978">
        <w:rPr>
          <w:rFonts w:asciiTheme="minorHAnsi" w:hAnsiTheme="minorHAnsi" w:cstheme="minorHAnsi"/>
          <w:bCs/>
          <w:sz w:val="22"/>
          <w:szCs w:val="22"/>
        </w:rPr>
        <w:t xml:space="preserve"> colaboradores(as) sairão até 31 de dezembro de 2027. Este programa considerou um seguro de saúde até final do ano de 2028 para todos os colaboradores e familiares que aderiram ao programa. A partir de 31/12/2028, o prémio de saúde será pago pelo colaborador(a), caso deseje manter o seguro, sendo que no momento da desvinculação do colaborador(a) é atribuído um valor fixo de 15.000€/colaborador(a), por forma a custear a cobertura do prémio a pagar à seguradora. Igualmente, foi colocada à disposição de todos os colaboradores(as) quer os aderentes ao programa, quer os não aderentes, o acesso a um programa de </w:t>
      </w:r>
      <w:proofErr w:type="spellStart"/>
      <w:r w:rsidRPr="009B6E75">
        <w:rPr>
          <w:rFonts w:asciiTheme="minorHAnsi" w:hAnsiTheme="minorHAnsi" w:cstheme="minorHAnsi"/>
          <w:bCs/>
          <w:i/>
          <w:iCs/>
          <w:sz w:val="22"/>
          <w:szCs w:val="22"/>
        </w:rPr>
        <w:t>Outplacement</w:t>
      </w:r>
      <w:proofErr w:type="spellEnd"/>
      <w:r w:rsidRPr="007A2978">
        <w:rPr>
          <w:rFonts w:asciiTheme="minorHAnsi" w:hAnsiTheme="minorHAnsi" w:cstheme="minorHAnsi"/>
          <w:bCs/>
          <w:sz w:val="22"/>
          <w:szCs w:val="22"/>
        </w:rPr>
        <w:t>, com o objetivo de promover o regresso ao mercado de trabalho, maximizando-se as oportunidades de empregabilidade. Aderiram ao referido Programa 50 colaboradores(as) da empresa.</w:t>
      </w:r>
    </w:p>
    <w:p w14:paraId="08720B9B" w14:textId="77777777" w:rsidR="007A2978" w:rsidRPr="007A2978" w:rsidRDefault="007A2978" w:rsidP="007A2978">
      <w:pPr>
        <w:jc w:val="both"/>
        <w:rPr>
          <w:rFonts w:asciiTheme="minorHAnsi" w:hAnsiTheme="minorHAnsi" w:cstheme="minorHAnsi"/>
          <w:bCs/>
          <w:sz w:val="22"/>
          <w:szCs w:val="22"/>
        </w:rPr>
      </w:pPr>
    </w:p>
    <w:p w14:paraId="1A33F747" w14:textId="77777777" w:rsidR="007A2978" w:rsidRPr="007A2978" w:rsidRDefault="007A2978" w:rsidP="007A2978">
      <w:pPr>
        <w:jc w:val="both"/>
        <w:rPr>
          <w:rFonts w:asciiTheme="minorHAnsi" w:hAnsiTheme="minorHAnsi" w:cstheme="minorHAnsi"/>
          <w:bCs/>
          <w:sz w:val="22"/>
          <w:szCs w:val="22"/>
        </w:rPr>
      </w:pPr>
      <w:r w:rsidRPr="007A2978">
        <w:rPr>
          <w:rFonts w:asciiTheme="minorHAnsi" w:hAnsiTheme="minorHAnsi" w:cstheme="minorHAnsi"/>
          <w:bCs/>
          <w:sz w:val="22"/>
          <w:szCs w:val="22"/>
        </w:rPr>
        <w:t>O lançamento deste programa de rescisões (RMA 2025 – 2027) insere-se na estratégia de fecho da empresa no final do ano 2027, objetivo que mereceu formalismo através de uma Deliberação Social Unânime por Escrito que dissolveu a sociedade em 31/12/2025, iniciando-se a sua liquidação em 01/01/2026 e término previsto em 31/12/2027.</w:t>
      </w:r>
    </w:p>
    <w:p w14:paraId="56A21A96" w14:textId="77777777" w:rsidR="007A2978" w:rsidRPr="007A2978" w:rsidRDefault="007A2978" w:rsidP="007A2978">
      <w:pPr>
        <w:jc w:val="both"/>
        <w:rPr>
          <w:rFonts w:asciiTheme="minorHAnsi" w:hAnsiTheme="minorHAnsi" w:cstheme="minorHAnsi"/>
          <w:bCs/>
          <w:sz w:val="22"/>
          <w:szCs w:val="22"/>
        </w:rPr>
      </w:pPr>
    </w:p>
    <w:p w14:paraId="4D94BFEA" w14:textId="77777777" w:rsidR="007A2978" w:rsidRPr="007A2978" w:rsidRDefault="007A2978" w:rsidP="007A2978">
      <w:pPr>
        <w:jc w:val="both"/>
        <w:rPr>
          <w:rFonts w:asciiTheme="minorHAnsi" w:hAnsiTheme="minorHAnsi" w:cstheme="minorHAnsi"/>
          <w:bCs/>
          <w:sz w:val="22"/>
          <w:szCs w:val="22"/>
        </w:rPr>
      </w:pPr>
      <w:r w:rsidRPr="007A2978">
        <w:rPr>
          <w:rFonts w:asciiTheme="minorHAnsi" w:hAnsiTheme="minorHAnsi" w:cstheme="minorHAnsi"/>
          <w:bCs/>
          <w:sz w:val="22"/>
          <w:szCs w:val="22"/>
        </w:rPr>
        <w:t xml:space="preserve">Para além do programa RMA 2025-2027, continuaram a ser promovidos contactos com outras entidades públicas no sentido de considerarem preencher as vagas que vão ocorrendo nas referidas instituições com a integração de colaboradores(as) da PARVALOREM. </w:t>
      </w:r>
    </w:p>
    <w:p w14:paraId="5E934574" w14:textId="77777777" w:rsidR="007A2978" w:rsidRPr="007A2978" w:rsidRDefault="007A2978" w:rsidP="007A2978">
      <w:pPr>
        <w:jc w:val="both"/>
        <w:rPr>
          <w:rFonts w:asciiTheme="minorHAnsi" w:hAnsiTheme="minorHAnsi" w:cstheme="minorHAnsi"/>
          <w:bCs/>
          <w:sz w:val="22"/>
          <w:szCs w:val="22"/>
        </w:rPr>
      </w:pPr>
    </w:p>
    <w:p w14:paraId="52DC5DFD" w14:textId="77777777" w:rsidR="007A2978" w:rsidRPr="007A2978" w:rsidRDefault="007A2978" w:rsidP="007A2978">
      <w:pPr>
        <w:jc w:val="both"/>
        <w:rPr>
          <w:rFonts w:asciiTheme="minorHAnsi" w:hAnsiTheme="minorHAnsi" w:cstheme="minorHAnsi"/>
          <w:bCs/>
          <w:sz w:val="22"/>
          <w:szCs w:val="22"/>
        </w:rPr>
      </w:pPr>
      <w:r w:rsidRPr="007A2978">
        <w:rPr>
          <w:rFonts w:asciiTheme="minorHAnsi" w:hAnsiTheme="minorHAnsi" w:cstheme="minorHAnsi"/>
          <w:bCs/>
          <w:sz w:val="22"/>
          <w:szCs w:val="22"/>
        </w:rPr>
        <w:t xml:space="preserve">A 31 de dezembro de 2025, a PARVALOREM contava com um total de 79 colaboradores(as), que representa uma redução de 1 colaborador(a) relativamente ao período homólogo de 2024.  </w:t>
      </w:r>
    </w:p>
    <w:p w14:paraId="6B0E8D7F" w14:textId="77777777" w:rsidR="007A2978" w:rsidRPr="007A2978" w:rsidRDefault="007A2978" w:rsidP="007A2978">
      <w:pPr>
        <w:jc w:val="both"/>
        <w:rPr>
          <w:rFonts w:asciiTheme="minorHAnsi" w:hAnsiTheme="minorHAnsi" w:cstheme="minorHAnsi"/>
          <w:bCs/>
          <w:sz w:val="22"/>
          <w:szCs w:val="22"/>
        </w:rPr>
      </w:pPr>
    </w:p>
    <w:p w14:paraId="28573221" w14:textId="77777777" w:rsidR="007A2978" w:rsidRPr="007A2978" w:rsidRDefault="007A2978" w:rsidP="007A2978">
      <w:pPr>
        <w:jc w:val="both"/>
        <w:rPr>
          <w:rFonts w:asciiTheme="minorHAnsi" w:hAnsiTheme="minorHAnsi" w:cstheme="minorHAnsi"/>
          <w:bCs/>
          <w:sz w:val="22"/>
          <w:szCs w:val="22"/>
        </w:rPr>
      </w:pPr>
      <w:r w:rsidRPr="007A2978">
        <w:rPr>
          <w:rFonts w:asciiTheme="minorHAnsi" w:hAnsiTheme="minorHAnsi" w:cstheme="minorHAnsi"/>
          <w:bCs/>
          <w:sz w:val="22"/>
          <w:szCs w:val="22"/>
        </w:rPr>
        <w:t xml:space="preserve">Os colaboradores(as) da PARVALOREM estão abrangidos por Acordo Coletivo de Trabalho, sendo atualmente 100% representados(as) por organizações sindicais. </w:t>
      </w:r>
    </w:p>
    <w:p w14:paraId="342AF288" w14:textId="77777777" w:rsidR="007A2978" w:rsidRPr="007A2978" w:rsidRDefault="007A2978" w:rsidP="007A2978">
      <w:pPr>
        <w:jc w:val="both"/>
        <w:rPr>
          <w:rFonts w:asciiTheme="minorHAnsi" w:hAnsiTheme="minorHAnsi" w:cstheme="minorHAnsi"/>
          <w:bCs/>
          <w:sz w:val="22"/>
          <w:szCs w:val="22"/>
        </w:rPr>
      </w:pPr>
    </w:p>
    <w:p w14:paraId="6EA71D60" w14:textId="77777777" w:rsidR="007A2978" w:rsidRPr="007A2978" w:rsidRDefault="007A2978" w:rsidP="007A2978">
      <w:pPr>
        <w:jc w:val="both"/>
        <w:rPr>
          <w:rFonts w:asciiTheme="minorHAnsi" w:hAnsiTheme="minorHAnsi" w:cstheme="minorHAnsi"/>
          <w:bCs/>
          <w:sz w:val="22"/>
          <w:szCs w:val="22"/>
        </w:rPr>
      </w:pPr>
      <w:r w:rsidRPr="007A2978">
        <w:rPr>
          <w:rFonts w:asciiTheme="minorHAnsi" w:hAnsiTheme="minorHAnsi" w:cstheme="minorHAnsi"/>
          <w:bCs/>
          <w:sz w:val="22"/>
          <w:szCs w:val="22"/>
        </w:rPr>
        <w:t>A PARVALOREM aplicou o que se encontra disposto em instrumento de regulamentação coletiva de trabalho, nomeadamente o que respeita a promoções, diuturnidades e prémios de antiguidade.</w:t>
      </w:r>
    </w:p>
    <w:p w14:paraId="1C1EE124" w14:textId="77777777" w:rsidR="007A2978" w:rsidRPr="007A2978" w:rsidRDefault="007A2978" w:rsidP="007A2978">
      <w:pPr>
        <w:jc w:val="both"/>
        <w:rPr>
          <w:rFonts w:asciiTheme="minorHAnsi" w:hAnsiTheme="minorHAnsi" w:cstheme="minorHAnsi"/>
          <w:bCs/>
          <w:sz w:val="22"/>
          <w:szCs w:val="22"/>
        </w:rPr>
      </w:pPr>
    </w:p>
    <w:p w14:paraId="67AFDFE4" w14:textId="77777777" w:rsidR="007A2978" w:rsidRPr="007A2978" w:rsidRDefault="007A2978" w:rsidP="007A2978">
      <w:pPr>
        <w:jc w:val="both"/>
        <w:rPr>
          <w:rFonts w:asciiTheme="minorHAnsi" w:hAnsiTheme="minorHAnsi" w:cstheme="minorHAnsi"/>
          <w:bCs/>
          <w:sz w:val="22"/>
          <w:szCs w:val="22"/>
        </w:rPr>
      </w:pPr>
      <w:r w:rsidRPr="007A2978">
        <w:rPr>
          <w:rFonts w:asciiTheme="minorHAnsi" w:hAnsiTheme="minorHAnsi" w:cstheme="minorHAnsi"/>
          <w:bCs/>
          <w:sz w:val="22"/>
          <w:szCs w:val="22"/>
        </w:rPr>
        <w:t xml:space="preserve">Nos termos do Acordo de Empresa, suportado pelo ciclo de avaliação de desempenho, foram promovidos por mérito 4 colaboradores(as) e 8 colaboradores(as) foram promovidos por antiguidade, tendo os ajustamentos na remuneração sido efetuados com efeitos a 1 de janeiro de 2025. </w:t>
      </w:r>
    </w:p>
    <w:p w14:paraId="612D2869" w14:textId="77777777" w:rsidR="007A2978" w:rsidRPr="007A2978" w:rsidRDefault="007A2978" w:rsidP="007A2978">
      <w:pPr>
        <w:jc w:val="both"/>
        <w:rPr>
          <w:rFonts w:asciiTheme="minorHAnsi" w:hAnsiTheme="minorHAnsi" w:cstheme="minorHAnsi"/>
          <w:bCs/>
          <w:sz w:val="22"/>
          <w:szCs w:val="22"/>
        </w:rPr>
      </w:pPr>
    </w:p>
    <w:p w14:paraId="1C742448" w14:textId="77777777" w:rsidR="007A2978" w:rsidRPr="007A2978" w:rsidRDefault="007A2978" w:rsidP="007A2978">
      <w:pPr>
        <w:jc w:val="both"/>
        <w:rPr>
          <w:rFonts w:asciiTheme="minorHAnsi" w:hAnsiTheme="minorHAnsi" w:cstheme="minorHAnsi"/>
          <w:bCs/>
          <w:sz w:val="22"/>
          <w:szCs w:val="22"/>
        </w:rPr>
      </w:pPr>
      <w:r w:rsidRPr="007A2978">
        <w:rPr>
          <w:rFonts w:asciiTheme="minorHAnsi" w:hAnsiTheme="minorHAnsi" w:cstheme="minorHAnsi"/>
          <w:bCs/>
          <w:sz w:val="22"/>
          <w:szCs w:val="22"/>
        </w:rPr>
        <w:t>No âmbito do regime aplicável ao Setor Empresarial do Estado, em 2025, a PARVALOREM foi autorizada a proceder a uma atualização até ao limite de 3,65% da massa salarial global.</w:t>
      </w:r>
    </w:p>
    <w:p w14:paraId="2EA0935B" w14:textId="77777777" w:rsidR="007A2978" w:rsidRPr="007A2978" w:rsidRDefault="007A2978" w:rsidP="007A2978">
      <w:pPr>
        <w:jc w:val="both"/>
        <w:rPr>
          <w:rFonts w:asciiTheme="minorHAnsi" w:hAnsiTheme="minorHAnsi" w:cstheme="minorHAnsi"/>
          <w:bCs/>
          <w:sz w:val="22"/>
          <w:szCs w:val="22"/>
        </w:rPr>
      </w:pPr>
    </w:p>
    <w:p w14:paraId="6141E28C" w14:textId="77777777" w:rsidR="007A2978" w:rsidRDefault="007A2978" w:rsidP="007A2978">
      <w:pPr>
        <w:jc w:val="both"/>
        <w:rPr>
          <w:rFonts w:asciiTheme="minorHAnsi" w:hAnsiTheme="minorHAnsi" w:cstheme="minorHAnsi"/>
          <w:bCs/>
          <w:sz w:val="22"/>
          <w:szCs w:val="22"/>
        </w:rPr>
      </w:pPr>
      <w:r w:rsidRPr="007A2978">
        <w:rPr>
          <w:rFonts w:asciiTheme="minorHAnsi" w:hAnsiTheme="minorHAnsi" w:cstheme="minorHAnsi"/>
          <w:bCs/>
          <w:sz w:val="22"/>
          <w:szCs w:val="22"/>
        </w:rPr>
        <w:t>Importa esclarecer que se inclui no cálculo deste limite do aumento da massa salarial em 2025, além da atualização da tabela, que teve um aumento nominal de 2,15%, também os efeitos da atualização no pagamento de complementos fixados por referência à mesma (caso da IHT), bem como o acréscimo resultante de promoções por mérito em 2025, promoções por antiguidade ou o acréscimo resultante de prémios de antiguidade e diuturnidades que se venceram em 2025.</w:t>
      </w:r>
    </w:p>
    <w:p w14:paraId="1D77D86E" w14:textId="77777777" w:rsidR="007A2978" w:rsidRPr="007A2978" w:rsidRDefault="007A2978" w:rsidP="007A2978">
      <w:pPr>
        <w:jc w:val="center"/>
        <w:rPr>
          <w:rFonts w:asciiTheme="minorHAnsi" w:hAnsiTheme="minorHAnsi" w:cstheme="minorHAnsi"/>
          <w:bCs/>
          <w:sz w:val="22"/>
          <w:szCs w:val="22"/>
        </w:rPr>
      </w:pPr>
    </w:p>
    <w:p w14:paraId="0FED7CAF" w14:textId="15BB3559" w:rsidR="00C93B74" w:rsidRPr="00024ECD" w:rsidRDefault="00C93B74" w:rsidP="00C93B74">
      <w:pPr>
        <w:jc w:val="center"/>
        <w:rPr>
          <w:rFonts w:asciiTheme="minorHAnsi" w:eastAsiaTheme="minorHAnsi" w:hAnsiTheme="minorHAnsi" w:cstheme="minorHAnsi"/>
          <w:b/>
          <w:sz w:val="22"/>
          <w:szCs w:val="22"/>
        </w:rPr>
      </w:pPr>
      <w:r w:rsidRPr="00024ECD">
        <w:rPr>
          <w:rFonts w:asciiTheme="minorHAnsi" w:eastAsiaTheme="minorHAnsi" w:hAnsiTheme="minorHAnsi" w:cstheme="minorHAnsi"/>
          <w:b/>
          <w:sz w:val="22"/>
          <w:szCs w:val="22"/>
        </w:rPr>
        <w:lastRenderedPageBreak/>
        <w:t>Caracterização do Quadro de Pessoal no final do ano de 202</w:t>
      </w:r>
      <w:r w:rsidR="009B6E75">
        <w:rPr>
          <w:rFonts w:asciiTheme="minorHAnsi" w:eastAsiaTheme="minorHAnsi" w:hAnsiTheme="minorHAnsi" w:cstheme="minorHAnsi"/>
          <w:b/>
          <w:sz w:val="22"/>
          <w:szCs w:val="22"/>
        </w:rPr>
        <w:t>5</w:t>
      </w:r>
    </w:p>
    <w:tbl>
      <w:tblPr>
        <w:tblW w:w="8647" w:type="dxa"/>
        <w:tblInd w:w="-152" w:type="dxa"/>
        <w:tblLayout w:type="fixed"/>
        <w:tblCellMar>
          <w:left w:w="70" w:type="dxa"/>
          <w:right w:w="70" w:type="dxa"/>
        </w:tblCellMar>
        <w:tblLook w:val="04A0" w:firstRow="1" w:lastRow="0" w:firstColumn="1" w:lastColumn="0" w:noHBand="0" w:noVBand="1"/>
      </w:tblPr>
      <w:tblGrid>
        <w:gridCol w:w="1088"/>
        <w:gridCol w:w="426"/>
        <w:gridCol w:w="425"/>
        <w:gridCol w:w="425"/>
        <w:gridCol w:w="425"/>
        <w:gridCol w:w="426"/>
        <w:gridCol w:w="425"/>
        <w:gridCol w:w="425"/>
        <w:gridCol w:w="425"/>
        <w:gridCol w:w="426"/>
        <w:gridCol w:w="425"/>
        <w:gridCol w:w="425"/>
        <w:gridCol w:w="425"/>
        <w:gridCol w:w="405"/>
        <w:gridCol w:w="350"/>
        <w:gridCol w:w="426"/>
        <w:gridCol w:w="425"/>
        <w:gridCol w:w="425"/>
        <w:gridCol w:w="425"/>
      </w:tblGrid>
      <w:tr w:rsidR="009B6E75" w:rsidRPr="008B778D" w14:paraId="0CF30A2C" w14:textId="77777777" w:rsidTr="00123C4F">
        <w:trPr>
          <w:trHeight w:val="387"/>
          <w:tblHeader/>
        </w:trPr>
        <w:tc>
          <w:tcPr>
            <w:tcW w:w="1088" w:type="dxa"/>
            <w:tcBorders>
              <w:top w:val="single" w:sz="8" w:space="0" w:color="FFFFFF" w:themeColor="background1"/>
              <w:left w:val="single" w:sz="8" w:space="0" w:color="FFFFFF" w:themeColor="background1"/>
              <w:right w:val="single" w:sz="8" w:space="0" w:color="FFFFFF" w:themeColor="background1"/>
              <w:tl2br w:val="single" w:sz="8" w:space="0" w:color="FFFFFF" w:themeColor="background1"/>
            </w:tcBorders>
            <w:shd w:val="clear" w:color="auto" w:fill="8EAADB" w:themeFill="accent5" w:themeFillTint="99"/>
            <w:vAlign w:val="center"/>
            <w:hideMark/>
          </w:tcPr>
          <w:p w14:paraId="24D507F6" w14:textId="77777777" w:rsidR="009B6E75" w:rsidRPr="008B778D" w:rsidRDefault="009B6E75" w:rsidP="009B6E75">
            <w:pPr>
              <w:jc w:val="both"/>
              <w:rPr>
                <w:rFonts w:asciiTheme="minorHAnsi" w:hAnsiTheme="minorHAnsi" w:cstheme="minorHAnsi"/>
                <w:color w:val="000000"/>
                <w:sz w:val="20"/>
                <w:szCs w:val="20"/>
              </w:rPr>
            </w:pPr>
          </w:p>
        </w:tc>
        <w:tc>
          <w:tcPr>
            <w:tcW w:w="1276"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EAADB" w:themeFill="accent5" w:themeFillTint="99"/>
            <w:vAlign w:val="center"/>
            <w:hideMark/>
          </w:tcPr>
          <w:p w14:paraId="1B9F3FA9" w14:textId="4B1021A8" w:rsidR="009B6E75" w:rsidRPr="00094BB0" w:rsidRDefault="009B6E75" w:rsidP="009B6E75">
            <w:pPr>
              <w:jc w:val="center"/>
              <w:rPr>
                <w:rFonts w:asciiTheme="minorHAnsi" w:hAnsiTheme="minorHAnsi" w:cstheme="minorHAnsi"/>
                <w:color w:val="000000"/>
                <w:sz w:val="18"/>
                <w:szCs w:val="18"/>
              </w:rPr>
            </w:pPr>
            <w:r w:rsidRPr="00094BB0">
              <w:rPr>
                <w:rFonts w:asciiTheme="minorHAnsi" w:hAnsiTheme="minorHAnsi" w:cstheme="minorHAnsi"/>
                <w:color w:val="000000"/>
                <w:sz w:val="18"/>
                <w:szCs w:val="18"/>
              </w:rPr>
              <w:t>20</w:t>
            </w:r>
            <w:r>
              <w:rPr>
                <w:rFonts w:asciiTheme="minorHAnsi" w:hAnsiTheme="minorHAnsi" w:cstheme="minorHAnsi"/>
                <w:color w:val="000000"/>
                <w:sz w:val="18"/>
                <w:szCs w:val="18"/>
              </w:rPr>
              <w:t>20</w:t>
            </w:r>
          </w:p>
        </w:tc>
        <w:tc>
          <w:tcPr>
            <w:tcW w:w="1276"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EAADB" w:themeFill="accent5" w:themeFillTint="99"/>
            <w:vAlign w:val="center"/>
            <w:hideMark/>
          </w:tcPr>
          <w:p w14:paraId="475A0153" w14:textId="5131536B" w:rsidR="009B6E75" w:rsidRPr="00094BB0" w:rsidRDefault="009B6E75" w:rsidP="009B6E75">
            <w:pPr>
              <w:jc w:val="center"/>
              <w:rPr>
                <w:rFonts w:asciiTheme="minorHAnsi" w:hAnsiTheme="minorHAnsi" w:cstheme="minorHAnsi"/>
                <w:color w:val="000000"/>
                <w:sz w:val="18"/>
                <w:szCs w:val="18"/>
              </w:rPr>
            </w:pPr>
            <w:r w:rsidRPr="00094BB0">
              <w:rPr>
                <w:rFonts w:asciiTheme="minorHAnsi" w:hAnsiTheme="minorHAnsi" w:cstheme="minorHAnsi"/>
                <w:color w:val="000000"/>
                <w:sz w:val="18"/>
                <w:szCs w:val="18"/>
              </w:rPr>
              <w:t>20</w:t>
            </w:r>
            <w:r>
              <w:rPr>
                <w:rFonts w:asciiTheme="minorHAnsi" w:hAnsiTheme="minorHAnsi" w:cstheme="minorHAnsi"/>
                <w:color w:val="000000"/>
                <w:sz w:val="18"/>
                <w:szCs w:val="18"/>
              </w:rPr>
              <w:t>21</w:t>
            </w:r>
          </w:p>
        </w:tc>
        <w:tc>
          <w:tcPr>
            <w:tcW w:w="1276"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EAADB" w:themeFill="accent5" w:themeFillTint="99"/>
            <w:vAlign w:val="center"/>
            <w:hideMark/>
          </w:tcPr>
          <w:p w14:paraId="62F19934" w14:textId="573305C5" w:rsidR="009B6E75" w:rsidRPr="00094BB0" w:rsidRDefault="009B6E75" w:rsidP="009B6E75">
            <w:pPr>
              <w:jc w:val="center"/>
              <w:rPr>
                <w:rFonts w:asciiTheme="minorHAnsi" w:hAnsiTheme="minorHAnsi" w:cstheme="minorHAnsi"/>
                <w:color w:val="000000"/>
                <w:sz w:val="18"/>
                <w:szCs w:val="18"/>
              </w:rPr>
            </w:pPr>
            <w:r w:rsidRPr="00094BB0">
              <w:rPr>
                <w:rFonts w:asciiTheme="minorHAnsi" w:hAnsiTheme="minorHAnsi" w:cstheme="minorHAnsi"/>
                <w:color w:val="000000"/>
                <w:sz w:val="18"/>
                <w:szCs w:val="18"/>
              </w:rPr>
              <w:t>202</w:t>
            </w:r>
            <w:r>
              <w:rPr>
                <w:rFonts w:asciiTheme="minorHAnsi" w:hAnsiTheme="minorHAnsi" w:cstheme="minorHAnsi"/>
                <w:color w:val="000000"/>
                <w:sz w:val="18"/>
                <w:szCs w:val="18"/>
              </w:rPr>
              <w:t>2</w:t>
            </w:r>
          </w:p>
        </w:tc>
        <w:tc>
          <w:tcPr>
            <w:tcW w:w="127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EAADB" w:themeFill="accent5" w:themeFillTint="99"/>
            <w:vAlign w:val="center"/>
          </w:tcPr>
          <w:p w14:paraId="698F47BD" w14:textId="1F976040" w:rsidR="009B6E75" w:rsidRPr="00094BB0" w:rsidRDefault="009B6E75" w:rsidP="009B6E75">
            <w:pPr>
              <w:jc w:val="center"/>
              <w:rPr>
                <w:rFonts w:asciiTheme="minorHAnsi" w:hAnsiTheme="minorHAnsi" w:cstheme="minorHAnsi"/>
                <w:color w:val="000000"/>
                <w:sz w:val="18"/>
                <w:szCs w:val="18"/>
              </w:rPr>
            </w:pPr>
            <w:r w:rsidRPr="00094BB0">
              <w:rPr>
                <w:rFonts w:asciiTheme="minorHAnsi" w:hAnsiTheme="minorHAnsi" w:cstheme="minorHAnsi"/>
                <w:color w:val="000000"/>
                <w:sz w:val="18"/>
                <w:szCs w:val="18"/>
              </w:rPr>
              <w:t>202</w:t>
            </w:r>
            <w:r>
              <w:rPr>
                <w:rFonts w:asciiTheme="minorHAnsi" w:hAnsiTheme="minorHAnsi" w:cstheme="minorHAnsi"/>
                <w:color w:val="000000"/>
                <w:sz w:val="18"/>
                <w:szCs w:val="18"/>
              </w:rPr>
              <w:t>3</w:t>
            </w:r>
          </w:p>
        </w:tc>
        <w:tc>
          <w:tcPr>
            <w:tcW w:w="118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EAADB" w:themeFill="accent5" w:themeFillTint="99"/>
            <w:vAlign w:val="center"/>
          </w:tcPr>
          <w:p w14:paraId="38C0146C" w14:textId="72A71FD7" w:rsidR="009B6E75" w:rsidRPr="00094BB0" w:rsidRDefault="009B6E75" w:rsidP="009B6E75">
            <w:pPr>
              <w:jc w:val="center"/>
              <w:rPr>
                <w:rFonts w:asciiTheme="minorHAnsi" w:hAnsiTheme="minorHAnsi" w:cstheme="minorHAnsi"/>
                <w:color w:val="000000"/>
                <w:sz w:val="18"/>
                <w:szCs w:val="18"/>
              </w:rPr>
            </w:pPr>
            <w:r w:rsidRPr="00094BB0">
              <w:rPr>
                <w:rFonts w:asciiTheme="minorHAnsi" w:hAnsiTheme="minorHAnsi" w:cstheme="minorHAnsi"/>
                <w:color w:val="000000"/>
                <w:sz w:val="18"/>
                <w:szCs w:val="18"/>
              </w:rPr>
              <w:t>202</w:t>
            </w:r>
            <w:r>
              <w:rPr>
                <w:rFonts w:asciiTheme="minorHAnsi" w:hAnsiTheme="minorHAnsi" w:cstheme="minorHAnsi"/>
                <w:color w:val="000000"/>
                <w:sz w:val="18"/>
                <w:szCs w:val="18"/>
              </w:rPr>
              <w:t>4</w:t>
            </w:r>
          </w:p>
        </w:tc>
        <w:tc>
          <w:tcPr>
            <w:tcW w:w="1275"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EAADB" w:themeFill="accent5" w:themeFillTint="99"/>
            <w:vAlign w:val="center"/>
          </w:tcPr>
          <w:p w14:paraId="3BDC4941" w14:textId="1C991A5D" w:rsidR="009B6E75" w:rsidRPr="00094BB0" w:rsidRDefault="009B6E75" w:rsidP="009B6E75">
            <w:pPr>
              <w:jc w:val="center"/>
              <w:rPr>
                <w:rFonts w:asciiTheme="minorHAnsi" w:hAnsiTheme="minorHAnsi" w:cstheme="minorHAnsi"/>
                <w:color w:val="000000"/>
                <w:sz w:val="18"/>
                <w:szCs w:val="18"/>
              </w:rPr>
            </w:pPr>
            <w:r w:rsidRPr="00094BB0">
              <w:rPr>
                <w:rFonts w:asciiTheme="minorHAnsi" w:hAnsiTheme="minorHAnsi" w:cstheme="minorHAnsi"/>
                <w:color w:val="000000"/>
                <w:sz w:val="18"/>
                <w:szCs w:val="18"/>
              </w:rPr>
              <w:t>202</w:t>
            </w:r>
            <w:r w:rsidR="00CC7480">
              <w:rPr>
                <w:rFonts w:asciiTheme="minorHAnsi" w:hAnsiTheme="minorHAnsi" w:cstheme="minorHAnsi"/>
                <w:color w:val="000000"/>
                <w:sz w:val="18"/>
                <w:szCs w:val="18"/>
              </w:rPr>
              <w:t>5</w:t>
            </w:r>
          </w:p>
        </w:tc>
      </w:tr>
      <w:tr w:rsidR="009B6E75" w:rsidRPr="008B778D" w14:paraId="2FF0D8B6" w14:textId="77777777" w:rsidTr="00123C4F">
        <w:trPr>
          <w:trHeight w:val="347"/>
        </w:trPr>
        <w:tc>
          <w:tcPr>
            <w:tcW w:w="108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hideMark/>
          </w:tcPr>
          <w:p w14:paraId="62D9FF5E" w14:textId="77777777" w:rsidR="009B6E75" w:rsidRPr="008B778D" w:rsidRDefault="009B6E75" w:rsidP="009B6E75">
            <w:pPr>
              <w:jc w:val="both"/>
              <w:rPr>
                <w:rFonts w:asciiTheme="minorHAnsi" w:hAnsiTheme="minorHAnsi" w:cstheme="minorHAnsi"/>
                <w:color w:val="000000"/>
                <w:sz w:val="16"/>
                <w:szCs w:val="16"/>
              </w:rPr>
            </w:pPr>
            <w:r w:rsidRPr="008B778D">
              <w:rPr>
                <w:rFonts w:asciiTheme="minorHAnsi" w:hAnsiTheme="minorHAnsi" w:cstheme="minorHAnsi"/>
                <w:color w:val="000000"/>
                <w:sz w:val="16"/>
                <w:szCs w:val="16"/>
              </w:rPr>
              <w:t>Idade/Género</w:t>
            </w:r>
          </w:p>
        </w:tc>
        <w:tc>
          <w:tcPr>
            <w:tcW w:w="4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60269AA1" w14:textId="097F7B09" w:rsidR="009B6E75" w:rsidRPr="008B778D" w:rsidRDefault="009B6E75" w:rsidP="009B6E75">
            <w:pPr>
              <w:jc w:val="center"/>
              <w:rPr>
                <w:rFonts w:asciiTheme="minorHAnsi" w:hAnsiTheme="minorHAnsi" w:cstheme="minorHAnsi"/>
                <w:color w:val="000000"/>
                <w:sz w:val="16"/>
                <w:szCs w:val="16"/>
              </w:rPr>
            </w:pPr>
            <w:r w:rsidRPr="008B778D">
              <w:rPr>
                <w:rFonts w:asciiTheme="minorHAnsi" w:hAnsiTheme="minorHAnsi" w:cstheme="minorHAnsi"/>
                <w:color w:val="000000"/>
                <w:sz w:val="16"/>
                <w:szCs w:val="16"/>
              </w:rPr>
              <w:t>M</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4406F864" w14:textId="7A9FCC4D" w:rsidR="009B6E75" w:rsidRPr="008B778D" w:rsidRDefault="009B6E75" w:rsidP="009B6E75">
            <w:pPr>
              <w:jc w:val="center"/>
              <w:rPr>
                <w:rFonts w:asciiTheme="minorHAnsi" w:hAnsiTheme="minorHAnsi" w:cstheme="minorHAnsi"/>
                <w:color w:val="000000"/>
                <w:sz w:val="16"/>
                <w:szCs w:val="16"/>
              </w:rPr>
            </w:pPr>
            <w:r>
              <w:rPr>
                <w:rFonts w:asciiTheme="minorHAnsi" w:hAnsiTheme="minorHAnsi" w:cstheme="minorHAnsi"/>
                <w:color w:val="000000"/>
                <w:sz w:val="16"/>
                <w:szCs w:val="16"/>
              </w:rPr>
              <w:t>F</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5A73EF5D" w14:textId="5F6DA37A" w:rsidR="009B6E75" w:rsidRPr="008B778D" w:rsidRDefault="009B6E75" w:rsidP="009B6E75">
            <w:pPr>
              <w:ind w:left="-72" w:right="-74"/>
              <w:jc w:val="center"/>
              <w:rPr>
                <w:rFonts w:asciiTheme="minorHAnsi" w:hAnsiTheme="minorHAnsi" w:cstheme="minorHAnsi"/>
                <w:color w:val="000000"/>
                <w:sz w:val="16"/>
                <w:szCs w:val="16"/>
              </w:rPr>
            </w:pPr>
            <w:r w:rsidRPr="008B778D">
              <w:rPr>
                <w:rFonts w:asciiTheme="minorHAnsi" w:hAnsiTheme="minorHAnsi" w:cstheme="minorHAnsi"/>
                <w:color w:val="000000"/>
                <w:sz w:val="16"/>
                <w:szCs w:val="16"/>
              </w:rPr>
              <w:t>Total</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hideMark/>
          </w:tcPr>
          <w:p w14:paraId="2CB2B73A" w14:textId="087DB9BB" w:rsidR="009B6E75" w:rsidRPr="008B778D" w:rsidRDefault="009B6E75" w:rsidP="009B6E75">
            <w:pPr>
              <w:jc w:val="center"/>
              <w:rPr>
                <w:rFonts w:asciiTheme="minorHAnsi" w:hAnsiTheme="minorHAnsi" w:cstheme="minorHAnsi"/>
                <w:color w:val="000000"/>
                <w:sz w:val="16"/>
                <w:szCs w:val="16"/>
              </w:rPr>
            </w:pPr>
            <w:r w:rsidRPr="008B778D">
              <w:rPr>
                <w:rFonts w:asciiTheme="minorHAnsi" w:hAnsiTheme="minorHAnsi" w:cstheme="minorHAnsi"/>
                <w:color w:val="000000"/>
                <w:sz w:val="16"/>
                <w:szCs w:val="16"/>
              </w:rPr>
              <w:t>M</w:t>
            </w:r>
          </w:p>
        </w:tc>
        <w:tc>
          <w:tcPr>
            <w:tcW w:w="4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hideMark/>
          </w:tcPr>
          <w:p w14:paraId="5F2BE9E2" w14:textId="0977CF00" w:rsidR="009B6E75" w:rsidRPr="008B778D" w:rsidRDefault="009B6E75" w:rsidP="009B6E75">
            <w:pPr>
              <w:jc w:val="center"/>
              <w:rPr>
                <w:rFonts w:asciiTheme="minorHAnsi" w:hAnsiTheme="minorHAnsi" w:cstheme="minorHAnsi"/>
                <w:color w:val="000000"/>
                <w:sz w:val="16"/>
                <w:szCs w:val="16"/>
              </w:rPr>
            </w:pPr>
            <w:r w:rsidRPr="008B778D">
              <w:rPr>
                <w:rFonts w:asciiTheme="minorHAnsi" w:hAnsiTheme="minorHAnsi" w:cstheme="minorHAnsi"/>
                <w:color w:val="000000"/>
                <w:sz w:val="16"/>
                <w:szCs w:val="16"/>
              </w:rPr>
              <w:t>F</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hideMark/>
          </w:tcPr>
          <w:p w14:paraId="32B87DAF" w14:textId="236F5C4C" w:rsidR="009B6E75" w:rsidRPr="008B778D" w:rsidRDefault="009B6E75" w:rsidP="009B6E75">
            <w:pPr>
              <w:ind w:left="-67" w:right="-65"/>
              <w:jc w:val="center"/>
              <w:rPr>
                <w:rFonts w:asciiTheme="minorHAnsi" w:hAnsiTheme="minorHAnsi" w:cstheme="minorHAnsi"/>
                <w:color w:val="000000"/>
                <w:sz w:val="16"/>
                <w:szCs w:val="16"/>
              </w:rPr>
            </w:pPr>
            <w:r w:rsidRPr="008B778D">
              <w:rPr>
                <w:rFonts w:asciiTheme="minorHAnsi" w:hAnsiTheme="minorHAnsi" w:cstheme="minorHAnsi"/>
                <w:color w:val="000000"/>
                <w:sz w:val="16"/>
                <w:szCs w:val="16"/>
              </w:rPr>
              <w:t>Total</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hideMark/>
          </w:tcPr>
          <w:p w14:paraId="6ABA82B4" w14:textId="6F500F92" w:rsidR="009B6E75" w:rsidRPr="008B778D" w:rsidRDefault="009B6E75" w:rsidP="009B6E75">
            <w:pPr>
              <w:jc w:val="center"/>
              <w:rPr>
                <w:rFonts w:asciiTheme="minorHAnsi" w:hAnsiTheme="minorHAnsi" w:cstheme="minorHAnsi"/>
                <w:color w:val="000000"/>
                <w:sz w:val="16"/>
                <w:szCs w:val="16"/>
              </w:rPr>
            </w:pPr>
            <w:r w:rsidRPr="008B778D">
              <w:rPr>
                <w:rFonts w:asciiTheme="minorHAnsi" w:hAnsiTheme="minorHAnsi" w:cstheme="minorHAnsi"/>
                <w:color w:val="000000"/>
                <w:sz w:val="16"/>
                <w:szCs w:val="16"/>
              </w:rPr>
              <w:t>M</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hideMark/>
          </w:tcPr>
          <w:p w14:paraId="10353552" w14:textId="527EC9A7" w:rsidR="009B6E75" w:rsidRPr="008B778D" w:rsidRDefault="009B6E75" w:rsidP="009B6E75">
            <w:pPr>
              <w:jc w:val="center"/>
              <w:rPr>
                <w:rFonts w:asciiTheme="minorHAnsi" w:hAnsiTheme="minorHAnsi" w:cstheme="minorHAnsi"/>
                <w:color w:val="000000"/>
                <w:sz w:val="16"/>
                <w:szCs w:val="16"/>
              </w:rPr>
            </w:pPr>
            <w:r w:rsidRPr="008B778D">
              <w:rPr>
                <w:rFonts w:asciiTheme="minorHAnsi" w:hAnsiTheme="minorHAnsi" w:cstheme="minorHAnsi"/>
                <w:color w:val="000000"/>
                <w:sz w:val="16"/>
                <w:szCs w:val="16"/>
              </w:rPr>
              <w:t>F</w:t>
            </w:r>
          </w:p>
        </w:tc>
        <w:tc>
          <w:tcPr>
            <w:tcW w:w="4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hideMark/>
          </w:tcPr>
          <w:p w14:paraId="644B3CEA" w14:textId="713859AF" w:rsidR="009B6E75" w:rsidRPr="008B778D" w:rsidRDefault="009B6E75" w:rsidP="009B6E75">
            <w:pPr>
              <w:ind w:left="-74" w:right="-68"/>
              <w:jc w:val="center"/>
              <w:rPr>
                <w:rFonts w:asciiTheme="minorHAnsi" w:hAnsiTheme="minorHAnsi" w:cstheme="minorHAnsi"/>
                <w:color w:val="000000"/>
                <w:sz w:val="16"/>
                <w:szCs w:val="16"/>
              </w:rPr>
            </w:pPr>
            <w:r w:rsidRPr="008B778D">
              <w:rPr>
                <w:rFonts w:asciiTheme="minorHAnsi" w:hAnsiTheme="minorHAnsi" w:cstheme="minorHAnsi"/>
                <w:color w:val="000000"/>
                <w:sz w:val="16"/>
                <w:szCs w:val="16"/>
              </w:rPr>
              <w:t>Total</w:t>
            </w:r>
          </w:p>
        </w:tc>
        <w:tc>
          <w:tcPr>
            <w:tcW w:w="425" w:type="dxa"/>
            <w:tcBorders>
              <w:top w:val="single" w:sz="8" w:space="0" w:color="FFFFFF" w:themeColor="background1"/>
              <w:left w:val="single" w:sz="8" w:space="0" w:color="FFFFFF" w:themeColor="background1"/>
              <w:right w:val="single" w:sz="8" w:space="0" w:color="FFFFFF" w:themeColor="background1"/>
            </w:tcBorders>
            <w:shd w:val="clear" w:color="auto" w:fill="D9E2F3" w:themeFill="accent5" w:themeFillTint="33"/>
            <w:vAlign w:val="center"/>
          </w:tcPr>
          <w:p w14:paraId="356CCAB4" w14:textId="1F4C0C12" w:rsidR="009B6E75" w:rsidRPr="008B778D" w:rsidRDefault="009B6E75" w:rsidP="009B6E75">
            <w:pPr>
              <w:jc w:val="center"/>
              <w:rPr>
                <w:rFonts w:asciiTheme="minorHAnsi" w:hAnsiTheme="minorHAnsi" w:cstheme="minorHAnsi"/>
                <w:color w:val="000000"/>
                <w:sz w:val="16"/>
                <w:szCs w:val="16"/>
              </w:rPr>
            </w:pPr>
            <w:r w:rsidRPr="008B778D">
              <w:rPr>
                <w:rFonts w:asciiTheme="minorHAnsi" w:hAnsiTheme="minorHAnsi" w:cstheme="minorHAnsi"/>
                <w:color w:val="000000"/>
                <w:sz w:val="16"/>
                <w:szCs w:val="16"/>
              </w:rPr>
              <w:t>M</w:t>
            </w:r>
          </w:p>
        </w:tc>
        <w:tc>
          <w:tcPr>
            <w:tcW w:w="425" w:type="dxa"/>
            <w:tcBorders>
              <w:top w:val="single" w:sz="8" w:space="0" w:color="FFFFFF" w:themeColor="background1"/>
              <w:left w:val="single" w:sz="8" w:space="0" w:color="FFFFFF" w:themeColor="background1"/>
              <w:right w:val="single" w:sz="8" w:space="0" w:color="FFFFFF" w:themeColor="background1"/>
            </w:tcBorders>
            <w:shd w:val="clear" w:color="auto" w:fill="D9E2F3" w:themeFill="accent5" w:themeFillTint="33"/>
            <w:vAlign w:val="center"/>
          </w:tcPr>
          <w:p w14:paraId="29A9323C" w14:textId="66774CCF" w:rsidR="009B6E75" w:rsidRPr="008B778D" w:rsidRDefault="009B6E75" w:rsidP="009B6E75">
            <w:pPr>
              <w:jc w:val="center"/>
              <w:rPr>
                <w:rFonts w:asciiTheme="minorHAnsi" w:hAnsiTheme="minorHAnsi" w:cstheme="minorHAnsi"/>
                <w:color w:val="000000"/>
                <w:sz w:val="16"/>
                <w:szCs w:val="16"/>
              </w:rPr>
            </w:pPr>
            <w:r w:rsidRPr="008B778D">
              <w:rPr>
                <w:rFonts w:asciiTheme="minorHAnsi" w:hAnsiTheme="minorHAnsi" w:cstheme="minorHAnsi"/>
                <w:color w:val="000000"/>
                <w:sz w:val="16"/>
                <w:szCs w:val="16"/>
              </w:rPr>
              <w:t>F</w:t>
            </w:r>
          </w:p>
        </w:tc>
        <w:tc>
          <w:tcPr>
            <w:tcW w:w="425" w:type="dxa"/>
            <w:tcBorders>
              <w:top w:val="single" w:sz="8" w:space="0" w:color="FFFFFF" w:themeColor="background1"/>
              <w:left w:val="single" w:sz="8" w:space="0" w:color="FFFFFF" w:themeColor="background1"/>
              <w:right w:val="single" w:sz="8" w:space="0" w:color="FFFFFF" w:themeColor="background1"/>
            </w:tcBorders>
            <w:shd w:val="clear" w:color="auto" w:fill="D9E2F3" w:themeFill="accent5" w:themeFillTint="33"/>
            <w:vAlign w:val="center"/>
          </w:tcPr>
          <w:p w14:paraId="5AF8EF47" w14:textId="3C6E0BCD" w:rsidR="009B6E75" w:rsidRPr="008B778D" w:rsidRDefault="009B6E75" w:rsidP="009B6E75">
            <w:pPr>
              <w:ind w:left="-65" w:right="-67"/>
              <w:jc w:val="center"/>
              <w:rPr>
                <w:rFonts w:asciiTheme="minorHAnsi" w:hAnsiTheme="minorHAnsi" w:cstheme="minorHAnsi"/>
                <w:color w:val="000000"/>
                <w:sz w:val="16"/>
                <w:szCs w:val="16"/>
              </w:rPr>
            </w:pPr>
            <w:r w:rsidRPr="008B778D">
              <w:rPr>
                <w:rFonts w:asciiTheme="minorHAnsi" w:hAnsiTheme="minorHAnsi" w:cstheme="minorHAnsi"/>
                <w:color w:val="000000"/>
                <w:sz w:val="16"/>
                <w:szCs w:val="16"/>
              </w:rPr>
              <w:t>Total</w:t>
            </w:r>
          </w:p>
        </w:tc>
        <w:tc>
          <w:tcPr>
            <w:tcW w:w="405" w:type="dxa"/>
            <w:tcBorders>
              <w:top w:val="single" w:sz="8" w:space="0" w:color="FFFFFF" w:themeColor="background1"/>
              <w:left w:val="single" w:sz="8" w:space="0" w:color="FFFFFF" w:themeColor="background1"/>
              <w:right w:val="single" w:sz="8" w:space="0" w:color="FFFFFF" w:themeColor="background1"/>
            </w:tcBorders>
            <w:shd w:val="clear" w:color="auto" w:fill="D9E2F3" w:themeFill="accent5" w:themeFillTint="33"/>
            <w:vAlign w:val="center"/>
          </w:tcPr>
          <w:p w14:paraId="1B005B93" w14:textId="7F513119" w:rsidR="009B6E75" w:rsidRPr="008B778D" w:rsidRDefault="009B6E75" w:rsidP="009B6E75">
            <w:pPr>
              <w:jc w:val="center"/>
              <w:rPr>
                <w:rFonts w:asciiTheme="minorHAnsi" w:hAnsiTheme="minorHAnsi" w:cstheme="minorHAnsi"/>
                <w:color w:val="000000"/>
                <w:sz w:val="16"/>
                <w:szCs w:val="16"/>
              </w:rPr>
            </w:pPr>
            <w:r w:rsidRPr="008B778D">
              <w:rPr>
                <w:rFonts w:asciiTheme="minorHAnsi" w:hAnsiTheme="minorHAnsi" w:cstheme="minorHAnsi"/>
                <w:color w:val="000000"/>
                <w:sz w:val="16"/>
                <w:szCs w:val="16"/>
              </w:rPr>
              <w:t>M</w:t>
            </w:r>
          </w:p>
        </w:tc>
        <w:tc>
          <w:tcPr>
            <w:tcW w:w="350" w:type="dxa"/>
            <w:tcBorders>
              <w:top w:val="single" w:sz="8" w:space="0" w:color="FFFFFF" w:themeColor="background1"/>
              <w:left w:val="single" w:sz="8" w:space="0" w:color="FFFFFF" w:themeColor="background1"/>
              <w:right w:val="single" w:sz="8" w:space="0" w:color="FFFFFF" w:themeColor="background1"/>
            </w:tcBorders>
            <w:shd w:val="clear" w:color="auto" w:fill="D9E2F3" w:themeFill="accent5" w:themeFillTint="33"/>
            <w:vAlign w:val="center"/>
          </w:tcPr>
          <w:p w14:paraId="77C5D5A4" w14:textId="65C3C3A0" w:rsidR="009B6E75" w:rsidRPr="008B778D" w:rsidRDefault="009B6E75" w:rsidP="009B6E75">
            <w:pPr>
              <w:jc w:val="center"/>
              <w:rPr>
                <w:rFonts w:asciiTheme="minorHAnsi" w:hAnsiTheme="minorHAnsi" w:cstheme="minorHAnsi"/>
                <w:color w:val="000000"/>
                <w:sz w:val="16"/>
                <w:szCs w:val="16"/>
              </w:rPr>
            </w:pPr>
            <w:r w:rsidRPr="008B778D">
              <w:rPr>
                <w:rFonts w:asciiTheme="minorHAnsi" w:hAnsiTheme="minorHAnsi" w:cstheme="minorHAnsi"/>
                <w:color w:val="000000"/>
                <w:sz w:val="16"/>
                <w:szCs w:val="16"/>
              </w:rPr>
              <w:t>F</w:t>
            </w:r>
          </w:p>
        </w:tc>
        <w:tc>
          <w:tcPr>
            <w:tcW w:w="426" w:type="dxa"/>
            <w:tcBorders>
              <w:top w:val="single" w:sz="8" w:space="0" w:color="FFFFFF" w:themeColor="background1"/>
              <w:left w:val="single" w:sz="8" w:space="0" w:color="FFFFFF" w:themeColor="background1"/>
              <w:right w:val="single" w:sz="8" w:space="0" w:color="FFFFFF" w:themeColor="background1"/>
            </w:tcBorders>
            <w:shd w:val="clear" w:color="auto" w:fill="D9E2F3" w:themeFill="accent5" w:themeFillTint="33"/>
            <w:vAlign w:val="center"/>
          </w:tcPr>
          <w:p w14:paraId="7BA1DA1A" w14:textId="59CBF4AF" w:rsidR="009B6E75" w:rsidRPr="008B778D" w:rsidRDefault="009B6E75" w:rsidP="009B6E75">
            <w:pPr>
              <w:ind w:right="-65"/>
              <w:jc w:val="center"/>
              <w:rPr>
                <w:rFonts w:asciiTheme="minorHAnsi" w:hAnsiTheme="minorHAnsi" w:cstheme="minorHAnsi"/>
                <w:color w:val="000000"/>
                <w:sz w:val="16"/>
                <w:szCs w:val="16"/>
              </w:rPr>
            </w:pPr>
            <w:r w:rsidRPr="008B778D">
              <w:rPr>
                <w:rFonts w:asciiTheme="minorHAnsi" w:hAnsiTheme="minorHAnsi" w:cstheme="minorHAnsi"/>
                <w:color w:val="000000"/>
                <w:sz w:val="16"/>
                <w:szCs w:val="16"/>
              </w:rPr>
              <w:t>Total</w:t>
            </w:r>
          </w:p>
        </w:tc>
        <w:tc>
          <w:tcPr>
            <w:tcW w:w="425" w:type="dxa"/>
            <w:tcBorders>
              <w:top w:val="single" w:sz="8" w:space="0" w:color="FFFFFF" w:themeColor="background1"/>
              <w:left w:val="single" w:sz="8" w:space="0" w:color="FFFFFF" w:themeColor="background1"/>
              <w:right w:val="single" w:sz="8" w:space="0" w:color="FFFFFF" w:themeColor="background1"/>
            </w:tcBorders>
            <w:shd w:val="clear" w:color="auto" w:fill="D9E2F3" w:themeFill="accent5" w:themeFillTint="33"/>
            <w:vAlign w:val="center"/>
          </w:tcPr>
          <w:p w14:paraId="0B391C72" w14:textId="77777777" w:rsidR="009B6E75" w:rsidRPr="008B778D" w:rsidRDefault="009B6E75" w:rsidP="009B6E75">
            <w:pPr>
              <w:ind w:right="-65"/>
              <w:jc w:val="center"/>
              <w:rPr>
                <w:rFonts w:asciiTheme="minorHAnsi" w:hAnsiTheme="minorHAnsi" w:cstheme="minorHAnsi"/>
                <w:color w:val="000000"/>
                <w:sz w:val="16"/>
                <w:szCs w:val="16"/>
              </w:rPr>
            </w:pPr>
            <w:r w:rsidRPr="008B778D">
              <w:rPr>
                <w:rFonts w:asciiTheme="minorHAnsi" w:hAnsiTheme="minorHAnsi" w:cstheme="minorHAnsi"/>
                <w:color w:val="000000"/>
                <w:sz w:val="16"/>
                <w:szCs w:val="16"/>
              </w:rPr>
              <w:t>M</w:t>
            </w:r>
          </w:p>
        </w:tc>
        <w:tc>
          <w:tcPr>
            <w:tcW w:w="425" w:type="dxa"/>
            <w:tcBorders>
              <w:top w:val="single" w:sz="8" w:space="0" w:color="FFFFFF" w:themeColor="background1"/>
              <w:left w:val="single" w:sz="8" w:space="0" w:color="FFFFFF" w:themeColor="background1"/>
              <w:right w:val="single" w:sz="8" w:space="0" w:color="FFFFFF" w:themeColor="background1"/>
            </w:tcBorders>
            <w:shd w:val="clear" w:color="auto" w:fill="D9E2F3" w:themeFill="accent5" w:themeFillTint="33"/>
            <w:vAlign w:val="center"/>
          </w:tcPr>
          <w:p w14:paraId="290504C7" w14:textId="77777777" w:rsidR="009B6E75" w:rsidRPr="008B778D" w:rsidRDefault="009B6E75" w:rsidP="009B6E75">
            <w:pPr>
              <w:ind w:right="-65"/>
              <w:jc w:val="center"/>
              <w:rPr>
                <w:rFonts w:asciiTheme="minorHAnsi" w:hAnsiTheme="minorHAnsi" w:cstheme="minorHAnsi"/>
                <w:color w:val="000000"/>
                <w:sz w:val="16"/>
                <w:szCs w:val="16"/>
              </w:rPr>
            </w:pPr>
            <w:r w:rsidRPr="008B778D">
              <w:rPr>
                <w:rFonts w:asciiTheme="minorHAnsi" w:hAnsiTheme="minorHAnsi" w:cstheme="minorHAnsi"/>
                <w:color w:val="000000"/>
                <w:sz w:val="16"/>
                <w:szCs w:val="16"/>
              </w:rPr>
              <w:t>F</w:t>
            </w:r>
          </w:p>
        </w:tc>
        <w:tc>
          <w:tcPr>
            <w:tcW w:w="425" w:type="dxa"/>
            <w:tcBorders>
              <w:top w:val="single" w:sz="8" w:space="0" w:color="FFFFFF" w:themeColor="background1"/>
              <w:left w:val="single" w:sz="8" w:space="0" w:color="FFFFFF" w:themeColor="background1"/>
              <w:right w:val="single" w:sz="8" w:space="0" w:color="FFFFFF" w:themeColor="background1"/>
            </w:tcBorders>
            <w:shd w:val="clear" w:color="auto" w:fill="D9E2F3" w:themeFill="accent5" w:themeFillTint="33"/>
            <w:vAlign w:val="center"/>
          </w:tcPr>
          <w:p w14:paraId="40950515" w14:textId="77777777" w:rsidR="009B6E75" w:rsidRPr="008B778D" w:rsidRDefault="009B6E75" w:rsidP="009B6E75">
            <w:pPr>
              <w:ind w:right="-65"/>
              <w:jc w:val="center"/>
              <w:rPr>
                <w:rFonts w:asciiTheme="minorHAnsi" w:hAnsiTheme="minorHAnsi" w:cstheme="minorHAnsi"/>
                <w:color w:val="000000"/>
                <w:sz w:val="16"/>
                <w:szCs w:val="16"/>
              </w:rPr>
            </w:pPr>
            <w:r w:rsidRPr="008B778D">
              <w:rPr>
                <w:rFonts w:asciiTheme="minorHAnsi" w:hAnsiTheme="minorHAnsi" w:cstheme="minorHAnsi"/>
                <w:color w:val="000000"/>
                <w:sz w:val="16"/>
                <w:szCs w:val="16"/>
              </w:rPr>
              <w:t>Total</w:t>
            </w:r>
          </w:p>
        </w:tc>
      </w:tr>
      <w:tr w:rsidR="009B6E75" w:rsidRPr="008B778D" w14:paraId="08480092" w14:textId="77777777" w:rsidTr="00123C4F">
        <w:trPr>
          <w:trHeight w:hRule="exact" w:val="398"/>
        </w:trPr>
        <w:tc>
          <w:tcPr>
            <w:tcW w:w="108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hideMark/>
          </w:tcPr>
          <w:p w14:paraId="4419F0C8" w14:textId="77777777" w:rsidR="009B6E75" w:rsidRPr="008B778D" w:rsidRDefault="009B6E75" w:rsidP="009B6E75">
            <w:pPr>
              <w:jc w:val="both"/>
              <w:rPr>
                <w:rFonts w:asciiTheme="minorHAnsi" w:hAnsiTheme="minorHAnsi" w:cstheme="minorHAnsi"/>
                <w:color w:val="000000"/>
                <w:sz w:val="16"/>
                <w:szCs w:val="16"/>
              </w:rPr>
            </w:pPr>
            <w:r w:rsidRPr="008B778D">
              <w:rPr>
                <w:rFonts w:asciiTheme="minorHAnsi" w:hAnsiTheme="minorHAnsi" w:cstheme="minorHAnsi"/>
                <w:color w:val="000000"/>
                <w:sz w:val="16"/>
                <w:szCs w:val="16"/>
              </w:rPr>
              <w:t>&gt;30 anos &lt;50 anos</w:t>
            </w:r>
          </w:p>
        </w:tc>
        <w:tc>
          <w:tcPr>
            <w:tcW w:w="4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3236FE9A" w14:textId="0C2562C1"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42</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02D21A8A" w14:textId="114A3B04"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41</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5150C346" w14:textId="67C6C511"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83</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2260358B" w14:textId="387DDC26"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40</w:t>
            </w:r>
          </w:p>
        </w:tc>
        <w:tc>
          <w:tcPr>
            <w:tcW w:w="4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5FF2C932" w14:textId="1C03FAA5"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34</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001D69BF" w14:textId="7C32AAEB"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74</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036E6B0E" w14:textId="304EFFFD"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31</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3E0DA113" w14:textId="07797E0E"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20</w:t>
            </w:r>
          </w:p>
        </w:tc>
        <w:tc>
          <w:tcPr>
            <w:tcW w:w="4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2BE92577" w14:textId="336E18E9"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51</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2A4F0579" w14:textId="5386A51E"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28</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3491B21F" w14:textId="1D255148"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17</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546B2DD2" w14:textId="4D609A01"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45</w:t>
            </w:r>
          </w:p>
        </w:tc>
        <w:tc>
          <w:tcPr>
            <w:tcW w:w="4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2EC9B3F9" w14:textId="1C00781F"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24</w:t>
            </w:r>
          </w:p>
        </w:tc>
        <w:tc>
          <w:tcPr>
            <w:tcW w:w="3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0B0A1367" w14:textId="650B5FD3"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15</w:t>
            </w:r>
          </w:p>
        </w:tc>
        <w:tc>
          <w:tcPr>
            <w:tcW w:w="4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1C9715E2" w14:textId="324FC99E" w:rsidR="009B6E75" w:rsidRPr="008B778D" w:rsidRDefault="009B6E75" w:rsidP="009B6E75">
            <w:pPr>
              <w:jc w:val="center"/>
              <w:rPr>
                <w:rFonts w:asciiTheme="minorHAnsi" w:hAnsiTheme="minorHAnsi" w:cstheme="minorHAnsi"/>
                <w:color w:val="000000"/>
                <w:sz w:val="16"/>
                <w:szCs w:val="16"/>
              </w:rPr>
            </w:pPr>
            <w:r>
              <w:rPr>
                <w:rFonts w:asciiTheme="minorHAnsi" w:hAnsiTheme="minorHAnsi" w:cstheme="minorHAnsi"/>
                <w:color w:val="000000"/>
                <w:sz w:val="16"/>
                <w:szCs w:val="16"/>
              </w:rPr>
              <w:t>39</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6B2F532B" w14:textId="7A688635" w:rsidR="009B6E75" w:rsidRPr="00A61996"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19</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1196912F" w14:textId="4459D6B1" w:rsidR="009B6E75" w:rsidRPr="00A61996" w:rsidRDefault="009B6E75" w:rsidP="009B6E75">
            <w:pPr>
              <w:jc w:val="center"/>
              <w:rPr>
                <w:rFonts w:asciiTheme="minorHAnsi" w:hAnsiTheme="minorHAnsi" w:cstheme="minorHAnsi"/>
                <w:color w:val="000000"/>
                <w:sz w:val="16"/>
                <w:szCs w:val="16"/>
              </w:rPr>
            </w:pPr>
            <w:r>
              <w:rPr>
                <w:rFonts w:asciiTheme="minorHAnsi" w:hAnsiTheme="minorHAnsi" w:cstheme="minorHAnsi"/>
                <w:color w:val="000000"/>
                <w:sz w:val="16"/>
                <w:szCs w:val="16"/>
              </w:rPr>
              <w:t>09</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584C7597" w14:textId="2585CF83" w:rsidR="009B6E75" w:rsidRPr="00A61996" w:rsidRDefault="009B6E75" w:rsidP="009B6E75">
            <w:pPr>
              <w:jc w:val="center"/>
              <w:rPr>
                <w:rFonts w:asciiTheme="minorHAnsi" w:hAnsiTheme="minorHAnsi" w:cstheme="minorHAnsi"/>
                <w:color w:val="000000"/>
                <w:sz w:val="16"/>
                <w:szCs w:val="16"/>
              </w:rPr>
            </w:pPr>
            <w:r>
              <w:rPr>
                <w:rFonts w:asciiTheme="minorHAnsi" w:hAnsiTheme="minorHAnsi" w:cstheme="minorHAnsi"/>
                <w:color w:val="000000"/>
                <w:sz w:val="16"/>
                <w:szCs w:val="16"/>
              </w:rPr>
              <w:t>28</w:t>
            </w:r>
          </w:p>
        </w:tc>
      </w:tr>
      <w:tr w:rsidR="009B6E75" w:rsidRPr="008B778D" w14:paraId="769FB928" w14:textId="77777777" w:rsidTr="00123C4F">
        <w:trPr>
          <w:trHeight w:val="388"/>
        </w:trPr>
        <w:tc>
          <w:tcPr>
            <w:tcW w:w="108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hideMark/>
          </w:tcPr>
          <w:p w14:paraId="4D4A84EE" w14:textId="77777777" w:rsidR="009B6E75" w:rsidRPr="008B778D" w:rsidRDefault="009B6E75" w:rsidP="009B6E75">
            <w:pPr>
              <w:jc w:val="both"/>
              <w:rPr>
                <w:rFonts w:asciiTheme="minorHAnsi" w:hAnsiTheme="minorHAnsi" w:cstheme="minorHAnsi"/>
                <w:color w:val="000000"/>
                <w:sz w:val="16"/>
                <w:szCs w:val="16"/>
              </w:rPr>
            </w:pPr>
            <w:r w:rsidRPr="008B778D">
              <w:rPr>
                <w:rFonts w:asciiTheme="minorHAnsi" w:hAnsiTheme="minorHAnsi" w:cstheme="minorHAnsi"/>
                <w:color w:val="000000"/>
                <w:sz w:val="16"/>
                <w:szCs w:val="16"/>
              </w:rPr>
              <w:t>&gt;50 anos</w:t>
            </w:r>
          </w:p>
        </w:tc>
        <w:tc>
          <w:tcPr>
            <w:tcW w:w="4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3EDA7886" w14:textId="4F831B5B"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32</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5E4E9341" w14:textId="73BD4766"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20</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07741802" w14:textId="3F690FFD"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52</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0BC9ADB7" w14:textId="62572DF6"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32</w:t>
            </w:r>
          </w:p>
        </w:tc>
        <w:tc>
          <w:tcPr>
            <w:tcW w:w="4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531A06AB" w14:textId="06664B7C"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23</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287EA903" w14:textId="1C28827B"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55</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1E26983B" w14:textId="2047FA6D"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23</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49AAD57E" w14:textId="45D65BC6"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15</w:t>
            </w:r>
          </w:p>
        </w:tc>
        <w:tc>
          <w:tcPr>
            <w:tcW w:w="4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39CD163F" w14:textId="43C60786"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38</w:t>
            </w:r>
          </w:p>
        </w:tc>
        <w:tc>
          <w:tcPr>
            <w:tcW w:w="425" w:type="dxa"/>
            <w:tcBorders>
              <w:top w:val="single" w:sz="8" w:space="0" w:color="FFFFFF" w:themeColor="background1"/>
              <w:left w:val="single" w:sz="8" w:space="0" w:color="FFFFFF" w:themeColor="background1"/>
              <w:right w:val="single" w:sz="8" w:space="0" w:color="FFFFFF" w:themeColor="background1"/>
            </w:tcBorders>
            <w:shd w:val="clear" w:color="auto" w:fill="D9E2F3" w:themeFill="accent5" w:themeFillTint="33"/>
            <w:vAlign w:val="center"/>
          </w:tcPr>
          <w:p w14:paraId="0BDB2FB4" w14:textId="588EA193"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21</w:t>
            </w:r>
          </w:p>
        </w:tc>
        <w:tc>
          <w:tcPr>
            <w:tcW w:w="425" w:type="dxa"/>
            <w:tcBorders>
              <w:top w:val="single" w:sz="8" w:space="0" w:color="FFFFFF" w:themeColor="background1"/>
              <w:left w:val="single" w:sz="8" w:space="0" w:color="FFFFFF" w:themeColor="background1"/>
              <w:right w:val="single" w:sz="8" w:space="0" w:color="FFFFFF" w:themeColor="background1"/>
            </w:tcBorders>
            <w:shd w:val="clear" w:color="auto" w:fill="D9E2F3" w:themeFill="accent5" w:themeFillTint="33"/>
            <w:vAlign w:val="center"/>
          </w:tcPr>
          <w:p w14:paraId="72C1C46F" w14:textId="1988309C"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16</w:t>
            </w:r>
          </w:p>
        </w:tc>
        <w:tc>
          <w:tcPr>
            <w:tcW w:w="425" w:type="dxa"/>
            <w:tcBorders>
              <w:top w:val="single" w:sz="8" w:space="0" w:color="FFFFFF" w:themeColor="background1"/>
              <w:left w:val="single" w:sz="8" w:space="0" w:color="FFFFFF" w:themeColor="background1"/>
              <w:right w:val="single" w:sz="8" w:space="0" w:color="FFFFFF" w:themeColor="background1"/>
            </w:tcBorders>
            <w:shd w:val="clear" w:color="auto" w:fill="D9E2F3" w:themeFill="accent5" w:themeFillTint="33"/>
            <w:vAlign w:val="center"/>
          </w:tcPr>
          <w:p w14:paraId="0E99D16F" w14:textId="3BB6DE21"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37</w:t>
            </w:r>
          </w:p>
        </w:tc>
        <w:tc>
          <w:tcPr>
            <w:tcW w:w="405" w:type="dxa"/>
            <w:tcBorders>
              <w:top w:val="single" w:sz="8" w:space="0" w:color="FFFFFF" w:themeColor="background1"/>
              <w:left w:val="single" w:sz="8" w:space="0" w:color="FFFFFF" w:themeColor="background1"/>
              <w:right w:val="single" w:sz="8" w:space="0" w:color="FFFFFF" w:themeColor="background1"/>
            </w:tcBorders>
            <w:shd w:val="clear" w:color="auto" w:fill="D9E2F3" w:themeFill="accent5" w:themeFillTint="33"/>
            <w:vAlign w:val="center"/>
          </w:tcPr>
          <w:p w14:paraId="3E045396" w14:textId="3EC5CA61"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24</w:t>
            </w:r>
          </w:p>
        </w:tc>
        <w:tc>
          <w:tcPr>
            <w:tcW w:w="350" w:type="dxa"/>
            <w:tcBorders>
              <w:top w:val="single" w:sz="8" w:space="0" w:color="FFFFFF" w:themeColor="background1"/>
              <w:left w:val="single" w:sz="8" w:space="0" w:color="FFFFFF" w:themeColor="background1"/>
              <w:right w:val="single" w:sz="8" w:space="0" w:color="FFFFFF" w:themeColor="background1"/>
            </w:tcBorders>
            <w:shd w:val="clear" w:color="auto" w:fill="D9E2F3" w:themeFill="accent5" w:themeFillTint="33"/>
            <w:vAlign w:val="center"/>
          </w:tcPr>
          <w:p w14:paraId="4707672D" w14:textId="0975E9B3"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17</w:t>
            </w:r>
          </w:p>
        </w:tc>
        <w:tc>
          <w:tcPr>
            <w:tcW w:w="426" w:type="dxa"/>
            <w:tcBorders>
              <w:top w:val="single" w:sz="8" w:space="0" w:color="FFFFFF" w:themeColor="background1"/>
              <w:left w:val="single" w:sz="8" w:space="0" w:color="FFFFFF" w:themeColor="background1"/>
              <w:right w:val="single" w:sz="8" w:space="0" w:color="FFFFFF" w:themeColor="background1"/>
            </w:tcBorders>
            <w:shd w:val="clear" w:color="auto" w:fill="D9E2F3" w:themeFill="accent5" w:themeFillTint="33"/>
            <w:vAlign w:val="center"/>
          </w:tcPr>
          <w:p w14:paraId="020E0058" w14:textId="2A76E8D4" w:rsidR="009B6E75" w:rsidRPr="008B778D" w:rsidRDefault="009B6E75" w:rsidP="009B6E75">
            <w:pPr>
              <w:jc w:val="center"/>
              <w:rPr>
                <w:rFonts w:asciiTheme="minorHAnsi" w:hAnsiTheme="minorHAnsi" w:cstheme="minorHAnsi"/>
                <w:color w:val="000000"/>
                <w:sz w:val="16"/>
                <w:szCs w:val="16"/>
              </w:rPr>
            </w:pPr>
            <w:r>
              <w:rPr>
                <w:rFonts w:asciiTheme="minorHAnsi" w:hAnsiTheme="minorHAnsi" w:cstheme="minorHAnsi"/>
                <w:color w:val="000000"/>
                <w:sz w:val="16"/>
                <w:szCs w:val="16"/>
              </w:rPr>
              <w:t>41</w:t>
            </w:r>
          </w:p>
        </w:tc>
        <w:tc>
          <w:tcPr>
            <w:tcW w:w="425" w:type="dxa"/>
            <w:tcBorders>
              <w:top w:val="single" w:sz="8" w:space="0" w:color="FFFFFF" w:themeColor="background1"/>
              <w:left w:val="single" w:sz="8" w:space="0" w:color="FFFFFF" w:themeColor="background1"/>
              <w:right w:val="single" w:sz="8" w:space="0" w:color="FFFFFF" w:themeColor="background1"/>
            </w:tcBorders>
            <w:shd w:val="clear" w:color="auto" w:fill="D9E2F3" w:themeFill="accent5" w:themeFillTint="33"/>
            <w:vAlign w:val="center"/>
          </w:tcPr>
          <w:p w14:paraId="6E2FDF05" w14:textId="00B04026" w:rsidR="009B6E75" w:rsidRPr="00A61996"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29</w:t>
            </w:r>
          </w:p>
        </w:tc>
        <w:tc>
          <w:tcPr>
            <w:tcW w:w="425" w:type="dxa"/>
            <w:tcBorders>
              <w:top w:val="single" w:sz="8" w:space="0" w:color="FFFFFF" w:themeColor="background1"/>
              <w:left w:val="single" w:sz="8" w:space="0" w:color="FFFFFF" w:themeColor="background1"/>
              <w:right w:val="single" w:sz="8" w:space="0" w:color="FFFFFF" w:themeColor="background1"/>
            </w:tcBorders>
            <w:shd w:val="clear" w:color="auto" w:fill="D9E2F3" w:themeFill="accent5" w:themeFillTint="33"/>
            <w:vAlign w:val="center"/>
          </w:tcPr>
          <w:p w14:paraId="3D8BC5B8" w14:textId="1CE4803A" w:rsidR="009B6E75" w:rsidRPr="00A61996"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22</w:t>
            </w:r>
          </w:p>
        </w:tc>
        <w:tc>
          <w:tcPr>
            <w:tcW w:w="425" w:type="dxa"/>
            <w:tcBorders>
              <w:top w:val="single" w:sz="8" w:space="0" w:color="FFFFFF" w:themeColor="background1"/>
              <w:left w:val="single" w:sz="8" w:space="0" w:color="FFFFFF" w:themeColor="background1"/>
              <w:right w:val="single" w:sz="8" w:space="0" w:color="FFFFFF" w:themeColor="background1"/>
            </w:tcBorders>
            <w:shd w:val="clear" w:color="auto" w:fill="D9E2F3" w:themeFill="accent5" w:themeFillTint="33"/>
            <w:vAlign w:val="center"/>
          </w:tcPr>
          <w:p w14:paraId="362CFAD6" w14:textId="5125E591" w:rsidR="009B6E75" w:rsidRPr="00A61996" w:rsidRDefault="009B6E75" w:rsidP="009B6E75">
            <w:pPr>
              <w:jc w:val="center"/>
              <w:rPr>
                <w:rFonts w:asciiTheme="minorHAnsi" w:hAnsiTheme="minorHAnsi" w:cstheme="minorHAnsi"/>
                <w:color w:val="000000"/>
                <w:sz w:val="16"/>
                <w:szCs w:val="16"/>
              </w:rPr>
            </w:pPr>
            <w:r>
              <w:rPr>
                <w:rFonts w:asciiTheme="minorHAnsi" w:hAnsiTheme="minorHAnsi" w:cstheme="minorHAnsi"/>
                <w:color w:val="000000"/>
                <w:sz w:val="16"/>
                <w:szCs w:val="16"/>
              </w:rPr>
              <w:t>51</w:t>
            </w:r>
          </w:p>
        </w:tc>
      </w:tr>
      <w:tr w:rsidR="009B6E75" w:rsidRPr="00D4322C" w14:paraId="2EB80865" w14:textId="77777777" w:rsidTr="00123C4F">
        <w:trPr>
          <w:trHeight w:hRule="exact" w:val="367"/>
        </w:trPr>
        <w:tc>
          <w:tcPr>
            <w:tcW w:w="108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hideMark/>
          </w:tcPr>
          <w:p w14:paraId="688F366E" w14:textId="77777777" w:rsidR="009B6E75" w:rsidRPr="008B778D" w:rsidRDefault="009B6E75" w:rsidP="009B6E75">
            <w:pPr>
              <w:jc w:val="both"/>
              <w:rPr>
                <w:rFonts w:asciiTheme="minorHAnsi" w:hAnsiTheme="minorHAnsi" w:cstheme="minorHAnsi"/>
                <w:color w:val="000000"/>
                <w:sz w:val="16"/>
                <w:szCs w:val="16"/>
              </w:rPr>
            </w:pPr>
            <w:r w:rsidRPr="008B778D">
              <w:rPr>
                <w:rFonts w:asciiTheme="minorHAnsi" w:hAnsiTheme="minorHAnsi" w:cstheme="minorHAnsi"/>
                <w:color w:val="000000"/>
                <w:sz w:val="16"/>
                <w:szCs w:val="16"/>
              </w:rPr>
              <w:t>Total</w:t>
            </w:r>
          </w:p>
        </w:tc>
        <w:tc>
          <w:tcPr>
            <w:tcW w:w="4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59280063" w14:textId="3C97212C"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74</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6EA3BB6A" w14:textId="0CE05AAC"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61</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1A59CF77" w14:textId="1603291E"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135</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0278C8BF" w14:textId="19DC988A"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72</w:t>
            </w:r>
          </w:p>
        </w:tc>
        <w:tc>
          <w:tcPr>
            <w:tcW w:w="4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6EBA09EC" w14:textId="7D85E24C"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57</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721B87F6" w14:textId="148A538F"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129</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253BE86C" w14:textId="7D2E482E"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54</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06503B0C" w14:textId="13C88746"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35</w:t>
            </w:r>
          </w:p>
        </w:tc>
        <w:tc>
          <w:tcPr>
            <w:tcW w:w="4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4EF5FD98" w14:textId="33FDE0BE"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89</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4E0E9FF0" w14:textId="1ADDE816"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49</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221A8D5C" w14:textId="57FA6DD8"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33</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6FADCDB9" w14:textId="7E442373"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82</w:t>
            </w:r>
          </w:p>
        </w:tc>
        <w:tc>
          <w:tcPr>
            <w:tcW w:w="4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79BA2119" w14:textId="4D8A6A22"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48</w:t>
            </w:r>
          </w:p>
        </w:tc>
        <w:tc>
          <w:tcPr>
            <w:tcW w:w="3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7494B5B0" w14:textId="43E9FCA9"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32</w:t>
            </w:r>
          </w:p>
        </w:tc>
        <w:tc>
          <w:tcPr>
            <w:tcW w:w="4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080B19A7" w14:textId="388782EB" w:rsidR="009B6E75" w:rsidRPr="008B778D"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80</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2CE3C0C2" w14:textId="666F94EB" w:rsidR="009B6E75" w:rsidRPr="00A61996"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48</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3866A8F2" w14:textId="137B02F2" w:rsidR="009B6E75" w:rsidRPr="00A61996" w:rsidRDefault="009B6E75" w:rsidP="009B6E75">
            <w:pPr>
              <w:jc w:val="center"/>
              <w:rPr>
                <w:rFonts w:asciiTheme="minorHAnsi" w:hAnsiTheme="minorHAnsi" w:cstheme="minorHAnsi"/>
                <w:color w:val="000000"/>
                <w:sz w:val="16"/>
                <w:szCs w:val="16"/>
              </w:rPr>
            </w:pPr>
            <w:r>
              <w:rPr>
                <w:rFonts w:ascii="Calibri" w:hAnsi="Calibri" w:cs="Calibri"/>
                <w:color w:val="000000"/>
                <w:sz w:val="16"/>
                <w:szCs w:val="16"/>
              </w:rPr>
              <w:t>31</w:t>
            </w: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vAlign w:val="center"/>
          </w:tcPr>
          <w:p w14:paraId="556C16EB" w14:textId="108E985C" w:rsidR="009B6E75" w:rsidRPr="00A61996" w:rsidRDefault="009B6E75" w:rsidP="009B6E75">
            <w:pPr>
              <w:jc w:val="center"/>
              <w:rPr>
                <w:rFonts w:asciiTheme="minorHAnsi" w:hAnsiTheme="minorHAnsi" w:cstheme="minorHAnsi"/>
                <w:color w:val="000000"/>
                <w:sz w:val="16"/>
                <w:szCs w:val="16"/>
              </w:rPr>
            </w:pPr>
            <w:r>
              <w:rPr>
                <w:rFonts w:asciiTheme="minorHAnsi" w:hAnsiTheme="minorHAnsi" w:cstheme="minorHAnsi"/>
                <w:color w:val="000000"/>
                <w:sz w:val="16"/>
                <w:szCs w:val="16"/>
              </w:rPr>
              <w:t>79</w:t>
            </w:r>
          </w:p>
        </w:tc>
      </w:tr>
    </w:tbl>
    <w:p w14:paraId="6526C80E" w14:textId="77777777" w:rsidR="00C93B74" w:rsidRPr="00D4322C" w:rsidRDefault="00C93B74" w:rsidP="00C93B74">
      <w:pPr>
        <w:jc w:val="center"/>
        <w:rPr>
          <w:rFonts w:asciiTheme="minorHAnsi" w:hAnsiTheme="minorHAnsi" w:cstheme="minorHAnsi"/>
          <w:b/>
          <w:sz w:val="22"/>
          <w:szCs w:val="22"/>
          <w:highlight w:val="yellow"/>
        </w:rPr>
      </w:pPr>
    </w:p>
    <w:p w14:paraId="08FEC5C7" w14:textId="77777777" w:rsidR="00123C4F" w:rsidRPr="001E43CE" w:rsidRDefault="00123C4F" w:rsidP="00123C4F">
      <w:pPr>
        <w:jc w:val="both"/>
        <w:rPr>
          <w:rFonts w:asciiTheme="minorHAnsi" w:hAnsiTheme="minorHAnsi" w:cstheme="minorHAnsi"/>
          <w:bCs/>
          <w:sz w:val="22"/>
          <w:szCs w:val="22"/>
        </w:rPr>
      </w:pPr>
      <w:r w:rsidRPr="001E43CE">
        <w:rPr>
          <w:rFonts w:asciiTheme="minorHAnsi" w:hAnsiTheme="minorHAnsi" w:cstheme="minorHAnsi"/>
          <w:bCs/>
          <w:sz w:val="22"/>
          <w:szCs w:val="22"/>
        </w:rPr>
        <w:t>O nível médio etário situa-se nos 5</w:t>
      </w:r>
      <w:r>
        <w:rPr>
          <w:rFonts w:asciiTheme="minorHAnsi" w:hAnsiTheme="minorHAnsi" w:cstheme="minorHAnsi"/>
          <w:bCs/>
          <w:sz w:val="22"/>
          <w:szCs w:val="22"/>
        </w:rPr>
        <w:t>2,16</w:t>
      </w:r>
      <w:r w:rsidRPr="001E43CE">
        <w:rPr>
          <w:rFonts w:asciiTheme="minorHAnsi" w:hAnsiTheme="minorHAnsi" w:cstheme="minorHAnsi"/>
          <w:bCs/>
          <w:sz w:val="22"/>
          <w:szCs w:val="22"/>
        </w:rPr>
        <w:t xml:space="preserve"> anos e a composição da população ativa interna encontra-se repartida entre o sexo masculino, em 60</w:t>
      </w:r>
      <w:r>
        <w:rPr>
          <w:rFonts w:asciiTheme="minorHAnsi" w:hAnsiTheme="minorHAnsi" w:cstheme="minorHAnsi"/>
          <w:bCs/>
          <w:sz w:val="22"/>
          <w:szCs w:val="22"/>
        </w:rPr>
        <w:t>,76</w:t>
      </w:r>
      <w:r w:rsidRPr="001E43CE">
        <w:rPr>
          <w:rFonts w:asciiTheme="minorHAnsi" w:hAnsiTheme="minorHAnsi" w:cstheme="minorHAnsi"/>
          <w:bCs/>
          <w:sz w:val="22"/>
          <w:szCs w:val="22"/>
        </w:rPr>
        <w:t xml:space="preserve">%, e o sexo feminino, em </w:t>
      </w:r>
      <w:r>
        <w:rPr>
          <w:rFonts w:asciiTheme="minorHAnsi" w:hAnsiTheme="minorHAnsi" w:cstheme="minorHAnsi"/>
          <w:bCs/>
          <w:sz w:val="22"/>
          <w:szCs w:val="22"/>
        </w:rPr>
        <w:t>39,24</w:t>
      </w:r>
      <w:r w:rsidRPr="001E43CE">
        <w:rPr>
          <w:rFonts w:asciiTheme="minorHAnsi" w:hAnsiTheme="minorHAnsi" w:cstheme="minorHAnsi"/>
          <w:bCs/>
          <w:sz w:val="22"/>
          <w:szCs w:val="22"/>
        </w:rPr>
        <w:t>%.</w:t>
      </w:r>
    </w:p>
    <w:p w14:paraId="30F61CFD" w14:textId="77777777" w:rsidR="00123C4F" w:rsidRPr="001E43CE" w:rsidRDefault="00123C4F" w:rsidP="00123C4F">
      <w:pPr>
        <w:jc w:val="both"/>
        <w:rPr>
          <w:rFonts w:asciiTheme="minorHAnsi" w:hAnsiTheme="minorHAnsi" w:cstheme="minorHAnsi"/>
          <w:bCs/>
          <w:sz w:val="22"/>
          <w:szCs w:val="22"/>
        </w:rPr>
      </w:pPr>
    </w:p>
    <w:p w14:paraId="6CC2EA80" w14:textId="77777777" w:rsidR="00123C4F" w:rsidRPr="001E43CE" w:rsidRDefault="00123C4F" w:rsidP="00123C4F">
      <w:pPr>
        <w:jc w:val="both"/>
        <w:rPr>
          <w:rFonts w:asciiTheme="minorHAnsi" w:hAnsiTheme="minorHAnsi" w:cstheme="minorHAnsi"/>
          <w:bCs/>
          <w:sz w:val="22"/>
          <w:szCs w:val="22"/>
        </w:rPr>
      </w:pPr>
      <w:r w:rsidRPr="001E43CE">
        <w:rPr>
          <w:rFonts w:asciiTheme="minorHAnsi" w:hAnsiTheme="minorHAnsi" w:cstheme="minorHAnsi"/>
          <w:bCs/>
          <w:sz w:val="22"/>
          <w:szCs w:val="22"/>
        </w:rPr>
        <w:t>Mantém-se um bom nível de qualificações, em que 5</w:t>
      </w:r>
      <w:r>
        <w:rPr>
          <w:rFonts w:asciiTheme="minorHAnsi" w:hAnsiTheme="minorHAnsi" w:cstheme="minorHAnsi"/>
          <w:bCs/>
          <w:sz w:val="22"/>
          <w:szCs w:val="22"/>
        </w:rPr>
        <w:t>2,90</w:t>
      </w:r>
      <w:r w:rsidRPr="001E43CE">
        <w:rPr>
          <w:rFonts w:asciiTheme="minorHAnsi" w:hAnsiTheme="minorHAnsi" w:cstheme="minorHAnsi"/>
          <w:bCs/>
          <w:sz w:val="22"/>
          <w:szCs w:val="22"/>
        </w:rPr>
        <w:t>% dos colaboradores(as) tem formação superior e apenas 1,2</w:t>
      </w:r>
      <w:r>
        <w:rPr>
          <w:rFonts w:asciiTheme="minorHAnsi" w:hAnsiTheme="minorHAnsi" w:cstheme="minorHAnsi"/>
          <w:bCs/>
          <w:sz w:val="22"/>
          <w:szCs w:val="22"/>
        </w:rPr>
        <w:t>7</w:t>
      </w:r>
      <w:r w:rsidRPr="001E43CE">
        <w:rPr>
          <w:rFonts w:asciiTheme="minorHAnsi" w:hAnsiTheme="minorHAnsi" w:cstheme="minorHAnsi"/>
          <w:bCs/>
          <w:sz w:val="22"/>
          <w:szCs w:val="22"/>
        </w:rPr>
        <w:t>% apresenta habilitações inferiores ao 9º. ano</w:t>
      </w:r>
      <w:r>
        <w:rPr>
          <w:rFonts w:asciiTheme="minorHAnsi" w:hAnsiTheme="minorHAnsi" w:cstheme="minorHAnsi"/>
          <w:bCs/>
          <w:sz w:val="22"/>
          <w:szCs w:val="22"/>
        </w:rPr>
        <w:t xml:space="preserve"> de escolaridade</w:t>
      </w:r>
      <w:r w:rsidRPr="001E43CE">
        <w:rPr>
          <w:rFonts w:asciiTheme="minorHAnsi" w:hAnsiTheme="minorHAnsi" w:cstheme="minorHAnsi"/>
          <w:bCs/>
          <w:sz w:val="22"/>
          <w:szCs w:val="22"/>
        </w:rPr>
        <w:t>.</w:t>
      </w:r>
    </w:p>
    <w:p w14:paraId="0CAB337A" w14:textId="77777777" w:rsidR="00123C4F" w:rsidRPr="001E43CE" w:rsidRDefault="00123C4F" w:rsidP="00123C4F">
      <w:pPr>
        <w:jc w:val="both"/>
        <w:rPr>
          <w:rFonts w:asciiTheme="minorHAnsi" w:hAnsiTheme="minorHAnsi" w:cstheme="minorHAnsi"/>
          <w:bCs/>
          <w:sz w:val="22"/>
          <w:szCs w:val="22"/>
        </w:rPr>
      </w:pPr>
    </w:p>
    <w:p w14:paraId="1EE29648" w14:textId="77777777" w:rsidR="00123C4F" w:rsidRPr="001E43CE" w:rsidRDefault="00123C4F" w:rsidP="00123C4F">
      <w:pPr>
        <w:jc w:val="both"/>
        <w:rPr>
          <w:rFonts w:asciiTheme="minorHAnsi" w:hAnsiTheme="minorHAnsi" w:cstheme="minorHAnsi"/>
          <w:bCs/>
          <w:sz w:val="22"/>
          <w:szCs w:val="22"/>
        </w:rPr>
      </w:pPr>
      <w:r w:rsidRPr="001E43CE">
        <w:rPr>
          <w:rFonts w:asciiTheme="minorHAnsi" w:hAnsiTheme="minorHAnsi" w:cstheme="minorHAnsi"/>
          <w:bCs/>
          <w:sz w:val="22"/>
          <w:szCs w:val="22"/>
        </w:rPr>
        <w:t>Durante o ano de 202</w:t>
      </w:r>
      <w:r>
        <w:rPr>
          <w:rFonts w:asciiTheme="minorHAnsi" w:hAnsiTheme="minorHAnsi" w:cstheme="minorHAnsi"/>
          <w:bCs/>
          <w:sz w:val="22"/>
          <w:szCs w:val="22"/>
        </w:rPr>
        <w:t>5</w:t>
      </w:r>
      <w:r w:rsidRPr="001E43CE">
        <w:rPr>
          <w:rFonts w:asciiTheme="minorHAnsi" w:hAnsiTheme="minorHAnsi" w:cstheme="minorHAnsi"/>
          <w:bCs/>
          <w:sz w:val="22"/>
          <w:szCs w:val="22"/>
        </w:rPr>
        <w:t xml:space="preserve">, no que concerne à Medicina do Trabalho, foram realizados </w:t>
      </w:r>
      <w:r>
        <w:rPr>
          <w:rFonts w:asciiTheme="minorHAnsi" w:hAnsiTheme="minorHAnsi" w:cstheme="minorHAnsi"/>
          <w:bCs/>
          <w:sz w:val="22"/>
          <w:szCs w:val="22"/>
        </w:rPr>
        <w:t xml:space="preserve">46 </w:t>
      </w:r>
      <w:r w:rsidRPr="001E43CE">
        <w:rPr>
          <w:rFonts w:asciiTheme="minorHAnsi" w:hAnsiTheme="minorHAnsi" w:cstheme="minorHAnsi"/>
          <w:bCs/>
          <w:sz w:val="22"/>
          <w:szCs w:val="22"/>
        </w:rPr>
        <w:t>exames médicos periódicos. Os exames de medicina no trabalho tiveram lugar nas instalações da empresa que presta o serviço, por forma a dar cumprimento à legislação que regula a segurança e saúde no trabalho.</w:t>
      </w:r>
    </w:p>
    <w:p w14:paraId="75ABFC27" w14:textId="77777777" w:rsidR="00123C4F" w:rsidRPr="001E43CE" w:rsidRDefault="00123C4F" w:rsidP="00123C4F">
      <w:pPr>
        <w:jc w:val="both"/>
        <w:rPr>
          <w:rFonts w:asciiTheme="minorHAnsi" w:hAnsiTheme="minorHAnsi" w:cstheme="minorHAnsi"/>
          <w:bCs/>
          <w:sz w:val="22"/>
          <w:szCs w:val="22"/>
        </w:rPr>
      </w:pPr>
    </w:p>
    <w:p w14:paraId="61F5669E" w14:textId="77777777" w:rsidR="00123C4F" w:rsidRPr="001E43CE" w:rsidRDefault="00123C4F" w:rsidP="00123C4F">
      <w:pPr>
        <w:jc w:val="both"/>
        <w:rPr>
          <w:rFonts w:asciiTheme="minorHAnsi" w:hAnsiTheme="minorHAnsi" w:cstheme="minorHAnsi"/>
          <w:bCs/>
          <w:sz w:val="22"/>
          <w:szCs w:val="22"/>
        </w:rPr>
      </w:pPr>
      <w:r w:rsidRPr="001E43CE">
        <w:rPr>
          <w:rFonts w:asciiTheme="minorHAnsi" w:hAnsiTheme="minorHAnsi" w:cstheme="minorHAnsi"/>
          <w:bCs/>
          <w:sz w:val="22"/>
          <w:szCs w:val="22"/>
        </w:rPr>
        <w:t>Tal como em anos anteriores, a Empresa promoveu a campanha de vacinação para a prevenção da gripe sazonal, de adesão voluntária, que ocorreu nos respetivos locais de trabalho para maior comodidade dos(as) colaboradores(as), tendo, no ano de 202</w:t>
      </w:r>
      <w:r>
        <w:rPr>
          <w:rFonts w:asciiTheme="minorHAnsi" w:hAnsiTheme="minorHAnsi" w:cstheme="minorHAnsi"/>
          <w:bCs/>
          <w:sz w:val="22"/>
          <w:szCs w:val="22"/>
        </w:rPr>
        <w:t>5</w:t>
      </w:r>
      <w:r w:rsidRPr="001E43CE">
        <w:rPr>
          <w:rFonts w:asciiTheme="minorHAnsi" w:hAnsiTheme="minorHAnsi" w:cstheme="minorHAnsi"/>
          <w:bCs/>
          <w:sz w:val="22"/>
          <w:szCs w:val="22"/>
        </w:rPr>
        <w:t>, aderido 2</w:t>
      </w:r>
      <w:r>
        <w:rPr>
          <w:rFonts w:asciiTheme="minorHAnsi" w:hAnsiTheme="minorHAnsi" w:cstheme="minorHAnsi"/>
          <w:bCs/>
          <w:sz w:val="22"/>
          <w:szCs w:val="22"/>
        </w:rPr>
        <w:t xml:space="preserve">7 </w:t>
      </w:r>
      <w:r w:rsidRPr="001E43CE">
        <w:rPr>
          <w:rFonts w:asciiTheme="minorHAnsi" w:hAnsiTheme="minorHAnsi" w:cstheme="minorHAnsi"/>
          <w:bCs/>
          <w:sz w:val="22"/>
          <w:szCs w:val="22"/>
        </w:rPr>
        <w:t>colaboradores(as).</w:t>
      </w:r>
    </w:p>
    <w:p w14:paraId="1E6E9E62" w14:textId="77777777" w:rsidR="00123C4F" w:rsidRPr="001E43CE" w:rsidRDefault="00123C4F" w:rsidP="00123C4F">
      <w:pPr>
        <w:jc w:val="both"/>
        <w:rPr>
          <w:rFonts w:asciiTheme="minorHAnsi" w:hAnsiTheme="minorHAnsi" w:cstheme="minorHAnsi"/>
          <w:bCs/>
          <w:sz w:val="22"/>
          <w:szCs w:val="22"/>
        </w:rPr>
      </w:pPr>
    </w:p>
    <w:p w14:paraId="14BEC70F" w14:textId="77777777" w:rsidR="00123C4F" w:rsidRPr="001E43CE" w:rsidRDefault="00123C4F" w:rsidP="00123C4F">
      <w:pPr>
        <w:jc w:val="both"/>
        <w:rPr>
          <w:rFonts w:asciiTheme="minorHAnsi" w:hAnsiTheme="minorHAnsi" w:cstheme="minorHAnsi"/>
          <w:bCs/>
          <w:sz w:val="22"/>
          <w:szCs w:val="22"/>
        </w:rPr>
      </w:pPr>
      <w:r w:rsidRPr="001E43CE">
        <w:rPr>
          <w:rFonts w:asciiTheme="minorHAnsi" w:hAnsiTheme="minorHAnsi" w:cstheme="minorHAnsi"/>
          <w:bCs/>
          <w:sz w:val="22"/>
          <w:szCs w:val="22"/>
        </w:rPr>
        <w:t xml:space="preserve">Relativamente à política de teletrabalho, e em linha com o propósito de promoção da conciliação da vida profissional com a vida familiar e pessoal, o Conselho de Administração aprovou a criação de um sistema voluntário híbrido de trabalho, alternando trabalho presencial com teletrabalho, no último trimestre de 2023, pelo prazo de 6 meses e sujeito a avaliação do respetivo impacto no desempenho da empresa, sem prejuízo das situações previstas na legislação em vigor. </w:t>
      </w:r>
    </w:p>
    <w:p w14:paraId="75E7396D" w14:textId="77777777" w:rsidR="00123C4F" w:rsidRPr="001E43CE" w:rsidRDefault="00123C4F" w:rsidP="00123C4F">
      <w:pPr>
        <w:jc w:val="both"/>
        <w:rPr>
          <w:rFonts w:asciiTheme="minorHAnsi" w:hAnsiTheme="minorHAnsi" w:cstheme="minorHAnsi"/>
          <w:bCs/>
          <w:sz w:val="22"/>
          <w:szCs w:val="22"/>
        </w:rPr>
      </w:pPr>
    </w:p>
    <w:p w14:paraId="42930687" w14:textId="77777777" w:rsidR="00123C4F" w:rsidRPr="001E43CE" w:rsidRDefault="00123C4F" w:rsidP="00123C4F">
      <w:pPr>
        <w:jc w:val="both"/>
        <w:rPr>
          <w:rFonts w:asciiTheme="minorHAnsi" w:hAnsiTheme="minorHAnsi" w:cstheme="minorHAnsi"/>
          <w:bCs/>
          <w:sz w:val="22"/>
          <w:szCs w:val="22"/>
        </w:rPr>
      </w:pPr>
      <w:r w:rsidRPr="001E43CE">
        <w:rPr>
          <w:rFonts w:asciiTheme="minorHAnsi" w:hAnsiTheme="minorHAnsi" w:cstheme="minorHAnsi"/>
          <w:bCs/>
          <w:sz w:val="22"/>
          <w:szCs w:val="22"/>
        </w:rPr>
        <w:t>Em março de 202</w:t>
      </w:r>
      <w:r>
        <w:rPr>
          <w:rFonts w:asciiTheme="minorHAnsi" w:hAnsiTheme="minorHAnsi" w:cstheme="minorHAnsi"/>
          <w:bCs/>
          <w:sz w:val="22"/>
          <w:szCs w:val="22"/>
        </w:rPr>
        <w:t>5</w:t>
      </w:r>
      <w:r w:rsidRPr="001E43CE">
        <w:rPr>
          <w:rFonts w:asciiTheme="minorHAnsi" w:hAnsiTheme="minorHAnsi" w:cstheme="minorHAnsi"/>
          <w:bCs/>
          <w:sz w:val="22"/>
          <w:szCs w:val="22"/>
        </w:rPr>
        <w:t xml:space="preserve">, e após avaliação do impacto do regime híbrido de trabalho, o Conselho de Administração </w:t>
      </w:r>
      <w:r>
        <w:rPr>
          <w:rFonts w:asciiTheme="minorHAnsi" w:hAnsiTheme="minorHAnsi" w:cstheme="minorHAnsi"/>
          <w:bCs/>
          <w:sz w:val="22"/>
          <w:szCs w:val="22"/>
        </w:rPr>
        <w:t>manteve o regime de teletrabalho e as regras anteriormente inseridas</w:t>
      </w:r>
      <w:r w:rsidRPr="001E43CE">
        <w:rPr>
          <w:rFonts w:asciiTheme="minorHAnsi" w:hAnsiTheme="minorHAnsi" w:cstheme="minorHAnsi"/>
          <w:bCs/>
          <w:sz w:val="22"/>
          <w:szCs w:val="22"/>
        </w:rPr>
        <w:t xml:space="preserve">, nomeadamente a suspensão nos períodos em que há, tradicionalmente, maior concentração de férias; </w:t>
      </w:r>
      <w:r>
        <w:rPr>
          <w:rFonts w:asciiTheme="minorHAnsi" w:hAnsiTheme="minorHAnsi" w:cstheme="minorHAnsi"/>
          <w:bCs/>
          <w:sz w:val="22"/>
          <w:szCs w:val="22"/>
        </w:rPr>
        <w:t>a suspensão de teletrabalho nas semanas em que o colaborador se encontra de férias; um dia de teletrabalho por semana para os Responsáveis de Direção e de Unidade e dois para os restantes colaboradores.</w:t>
      </w:r>
      <w:r w:rsidRPr="001E43CE">
        <w:rPr>
          <w:rFonts w:asciiTheme="minorHAnsi" w:hAnsiTheme="minorHAnsi" w:cstheme="minorHAnsi"/>
          <w:bCs/>
          <w:sz w:val="22"/>
          <w:szCs w:val="22"/>
        </w:rPr>
        <w:t xml:space="preserve"> Este sistema vigorará até 31 de março de 202</w:t>
      </w:r>
      <w:r>
        <w:rPr>
          <w:rFonts w:asciiTheme="minorHAnsi" w:hAnsiTheme="minorHAnsi" w:cstheme="minorHAnsi"/>
          <w:bCs/>
          <w:sz w:val="22"/>
          <w:szCs w:val="22"/>
        </w:rPr>
        <w:t>6</w:t>
      </w:r>
      <w:r w:rsidRPr="001E43CE">
        <w:rPr>
          <w:rFonts w:asciiTheme="minorHAnsi" w:hAnsiTheme="minorHAnsi" w:cstheme="minorHAnsi"/>
          <w:bCs/>
          <w:sz w:val="22"/>
          <w:szCs w:val="22"/>
        </w:rPr>
        <w:t xml:space="preserve"> e será sujeito a reavaliação do respetivo impacto para ponderação de eventual prorrogação.</w:t>
      </w:r>
    </w:p>
    <w:p w14:paraId="1D6E53AB" w14:textId="77777777" w:rsidR="00123C4F" w:rsidRPr="001E43CE" w:rsidRDefault="00123C4F" w:rsidP="00123C4F">
      <w:pPr>
        <w:jc w:val="both"/>
        <w:rPr>
          <w:rFonts w:asciiTheme="minorHAnsi" w:hAnsiTheme="minorHAnsi" w:cstheme="minorHAnsi"/>
          <w:bCs/>
          <w:sz w:val="22"/>
          <w:szCs w:val="22"/>
        </w:rPr>
      </w:pPr>
    </w:p>
    <w:p w14:paraId="2C8C8CCE" w14:textId="77777777" w:rsidR="00123C4F" w:rsidRPr="001E43CE" w:rsidRDefault="00123C4F" w:rsidP="00123C4F">
      <w:pPr>
        <w:jc w:val="both"/>
        <w:rPr>
          <w:rFonts w:asciiTheme="minorHAnsi" w:hAnsiTheme="minorHAnsi" w:cstheme="minorHAnsi"/>
          <w:bCs/>
          <w:sz w:val="22"/>
          <w:szCs w:val="22"/>
        </w:rPr>
      </w:pPr>
      <w:r w:rsidRPr="001E43CE">
        <w:rPr>
          <w:rFonts w:asciiTheme="minorHAnsi" w:hAnsiTheme="minorHAnsi" w:cstheme="minorHAnsi"/>
          <w:bCs/>
          <w:sz w:val="22"/>
          <w:szCs w:val="22"/>
        </w:rPr>
        <w:t>Em termos de taxa de absentismo, verifica-se que no exercício de 202</w:t>
      </w:r>
      <w:r>
        <w:rPr>
          <w:rFonts w:asciiTheme="minorHAnsi" w:hAnsiTheme="minorHAnsi" w:cstheme="minorHAnsi"/>
          <w:bCs/>
          <w:sz w:val="22"/>
          <w:szCs w:val="22"/>
        </w:rPr>
        <w:t>5</w:t>
      </w:r>
      <w:r w:rsidRPr="001E43CE">
        <w:rPr>
          <w:rFonts w:asciiTheme="minorHAnsi" w:hAnsiTheme="minorHAnsi" w:cstheme="minorHAnsi"/>
          <w:bCs/>
          <w:sz w:val="22"/>
          <w:szCs w:val="22"/>
        </w:rPr>
        <w:t xml:space="preserve"> a mesma foi de </w:t>
      </w:r>
      <w:r>
        <w:rPr>
          <w:rFonts w:asciiTheme="minorHAnsi" w:hAnsiTheme="minorHAnsi" w:cstheme="minorHAnsi"/>
          <w:bCs/>
          <w:sz w:val="22"/>
          <w:szCs w:val="22"/>
        </w:rPr>
        <w:t>1,28</w:t>
      </w:r>
      <w:r w:rsidRPr="001E43CE">
        <w:rPr>
          <w:rFonts w:asciiTheme="minorHAnsi" w:hAnsiTheme="minorHAnsi" w:cstheme="minorHAnsi"/>
          <w:bCs/>
          <w:sz w:val="22"/>
          <w:szCs w:val="22"/>
        </w:rPr>
        <w:t xml:space="preserve">%, valor bastante </w:t>
      </w:r>
      <w:r>
        <w:rPr>
          <w:rFonts w:asciiTheme="minorHAnsi" w:hAnsiTheme="minorHAnsi" w:cstheme="minorHAnsi"/>
          <w:bCs/>
          <w:sz w:val="22"/>
          <w:szCs w:val="22"/>
        </w:rPr>
        <w:t>inferior</w:t>
      </w:r>
      <w:r w:rsidRPr="001E43CE">
        <w:rPr>
          <w:rFonts w:asciiTheme="minorHAnsi" w:hAnsiTheme="minorHAnsi" w:cstheme="minorHAnsi"/>
          <w:bCs/>
          <w:sz w:val="22"/>
          <w:szCs w:val="22"/>
        </w:rPr>
        <w:t xml:space="preserve"> ao registado no ano anterior, maioritariamente por baixas por doença – CIT.</w:t>
      </w:r>
    </w:p>
    <w:p w14:paraId="54AE9275" w14:textId="77777777" w:rsidR="001E43CE" w:rsidRPr="001E43CE" w:rsidRDefault="001E43CE" w:rsidP="001E43CE">
      <w:pPr>
        <w:jc w:val="both"/>
        <w:rPr>
          <w:rFonts w:asciiTheme="minorHAnsi" w:hAnsiTheme="minorHAnsi" w:cstheme="minorHAnsi"/>
          <w:bCs/>
          <w:sz w:val="22"/>
          <w:szCs w:val="22"/>
        </w:rPr>
      </w:pPr>
    </w:p>
    <w:p w14:paraId="392DD340" w14:textId="73746E0B" w:rsidR="00C93B74" w:rsidRPr="00A61193" w:rsidRDefault="00C93B74" w:rsidP="00C93B74">
      <w:pPr>
        <w:jc w:val="center"/>
        <w:rPr>
          <w:rFonts w:asciiTheme="minorHAnsi" w:hAnsiTheme="minorHAnsi" w:cstheme="minorHAnsi"/>
          <w:b/>
          <w:sz w:val="22"/>
          <w:szCs w:val="22"/>
        </w:rPr>
      </w:pPr>
      <w:r w:rsidRPr="00A61193">
        <w:rPr>
          <w:rFonts w:asciiTheme="minorHAnsi" w:hAnsiTheme="minorHAnsi" w:cstheme="minorHAnsi"/>
          <w:b/>
          <w:sz w:val="22"/>
          <w:szCs w:val="22"/>
        </w:rPr>
        <w:t>Evolução da Formação Profissional</w:t>
      </w:r>
    </w:p>
    <w:tbl>
      <w:tblPr>
        <w:tblW w:w="8647" w:type="dxa"/>
        <w:tblInd w:w="-1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70" w:type="dxa"/>
          <w:right w:w="70" w:type="dxa"/>
        </w:tblCellMar>
        <w:tblLook w:val="04A0" w:firstRow="1" w:lastRow="0" w:firstColumn="1" w:lastColumn="0" w:noHBand="0" w:noVBand="1"/>
      </w:tblPr>
      <w:tblGrid>
        <w:gridCol w:w="1406"/>
        <w:gridCol w:w="1256"/>
        <w:gridCol w:w="1307"/>
        <w:gridCol w:w="1134"/>
        <w:gridCol w:w="1134"/>
        <w:gridCol w:w="1185"/>
        <w:gridCol w:w="1225"/>
      </w:tblGrid>
      <w:tr w:rsidR="00652FC1" w:rsidRPr="00A61193" w14:paraId="6B15B8E4" w14:textId="77777777" w:rsidTr="00B36274">
        <w:trPr>
          <w:cantSplit/>
          <w:trHeight w:val="458"/>
          <w:tblHeader/>
        </w:trPr>
        <w:tc>
          <w:tcPr>
            <w:tcW w:w="1406" w:type="dxa"/>
            <w:shd w:val="clear" w:color="auto" w:fill="8EAADB" w:themeFill="accent5" w:themeFillTint="99"/>
            <w:vAlign w:val="center"/>
            <w:hideMark/>
          </w:tcPr>
          <w:p w14:paraId="2E0E14F2" w14:textId="77777777" w:rsidR="00652FC1" w:rsidRPr="00094BB0" w:rsidRDefault="00652FC1" w:rsidP="00652FC1">
            <w:pPr>
              <w:jc w:val="center"/>
              <w:rPr>
                <w:rFonts w:asciiTheme="minorHAnsi" w:hAnsiTheme="minorHAnsi" w:cstheme="minorHAnsi"/>
                <w:bCs/>
                <w:color w:val="000000"/>
                <w:sz w:val="18"/>
                <w:szCs w:val="18"/>
              </w:rPr>
            </w:pPr>
            <w:r w:rsidRPr="00094BB0">
              <w:rPr>
                <w:rFonts w:asciiTheme="minorHAnsi" w:hAnsiTheme="minorHAnsi" w:cstheme="minorHAnsi"/>
                <w:bCs/>
                <w:color w:val="000000"/>
                <w:sz w:val="18"/>
                <w:szCs w:val="18"/>
              </w:rPr>
              <w:t>Formação Profissional</w:t>
            </w:r>
          </w:p>
        </w:tc>
        <w:tc>
          <w:tcPr>
            <w:tcW w:w="1256" w:type="dxa"/>
            <w:shd w:val="clear" w:color="auto" w:fill="8EAADB" w:themeFill="accent5" w:themeFillTint="99"/>
            <w:vAlign w:val="center"/>
            <w:hideMark/>
          </w:tcPr>
          <w:p w14:paraId="6D464175" w14:textId="1E31A594" w:rsidR="00652FC1" w:rsidRPr="00094BB0" w:rsidRDefault="00652FC1" w:rsidP="00652FC1">
            <w:pPr>
              <w:jc w:val="center"/>
              <w:rPr>
                <w:rFonts w:asciiTheme="minorHAnsi" w:hAnsiTheme="minorHAnsi" w:cstheme="minorHAnsi"/>
                <w:bCs/>
                <w:color w:val="000000"/>
                <w:sz w:val="18"/>
                <w:szCs w:val="18"/>
              </w:rPr>
            </w:pPr>
            <w:r w:rsidRPr="00094BB0">
              <w:rPr>
                <w:rFonts w:asciiTheme="minorHAnsi" w:hAnsiTheme="minorHAnsi" w:cstheme="minorHAnsi"/>
                <w:bCs/>
                <w:color w:val="000000"/>
                <w:sz w:val="18"/>
                <w:szCs w:val="18"/>
              </w:rPr>
              <w:t>2020</w:t>
            </w:r>
          </w:p>
        </w:tc>
        <w:tc>
          <w:tcPr>
            <w:tcW w:w="1307" w:type="dxa"/>
            <w:shd w:val="clear" w:color="auto" w:fill="8EAADB" w:themeFill="accent5" w:themeFillTint="99"/>
            <w:vAlign w:val="center"/>
            <w:hideMark/>
          </w:tcPr>
          <w:p w14:paraId="3B4A1286" w14:textId="1A77CBC2" w:rsidR="00652FC1" w:rsidRPr="00094BB0" w:rsidRDefault="00652FC1" w:rsidP="00652FC1">
            <w:pPr>
              <w:jc w:val="center"/>
              <w:rPr>
                <w:rFonts w:asciiTheme="minorHAnsi" w:hAnsiTheme="minorHAnsi" w:cstheme="minorHAnsi"/>
                <w:bCs/>
                <w:color w:val="000000"/>
                <w:sz w:val="18"/>
                <w:szCs w:val="18"/>
              </w:rPr>
            </w:pPr>
            <w:r w:rsidRPr="00094BB0">
              <w:rPr>
                <w:rFonts w:asciiTheme="minorHAnsi" w:hAnsiTheme="minorHAnsi" w:cstheme="minorHAnsi"/>
                <w:bCs/>
                <w:color w:val="000000"/>
                <w:sz w:val="18"/>
                <w:szCs w:val="18"/>
              </w:rPr>
              <w:t>2021</w:t>
            </w:r>
          </w:p>
        </w:tc>
        <w:tc>
          <w:tcPr>
            <w:tcW w:w="1134" w:type="dxa"/>
            <w:shd w:val="clear" w:color="auto" w:fill="8EAADB" w:themeFill="accent5" w:themeFillTint="99"/>
            <w:vAlign w:val="center"/>
            <w:hideMark/>
          </w:tcPr>
          <w:p w14:paraId="23B5839C" w14:textId="5E0A2DF6" w:rsidR="00652FC1" w:rsidRPr="00094BB0" w:rsidRDefault="00652FC1" w:rsidP="00652FC1">
            <w:pPr>
              <w:jc w:val="center"/>
              <w:rPr>
                <w:rFonts w:asciiTheme="minorHAnsi" w:hAnsiTheme="minorHAnsi" w:cstheme="minorHAnsi"/>
                <w:bCs/>
                <w:color w:val="000000"/>
                <w:sz w:val="18"/>
                <w:szCs w:val="18"/>
              </w:rPr>
            </w:pPr>
            <w:r w:rsidRPr="00094BB0">
              <w:rPr>
                <w:rFonts w:asciiTheme="minorHAnsi" w:hAnsiTheme="minorHAnsi" w:cstheme="minorHAnsi"/>
                <w:bCs/>
                <w:color w:val="000000"/>
                <w:sz w:val="18"/>
                <w:szCs w:val="18"/>
              </w:rPr>
              <w:t>202</w:t>
            </w:r>
            <w:r>
              <w:rPr>
                <w:rFonts w:asciiTheme="minorHAnsi" w:hAnsiTheme="minorHAnsi" w:cstheme="minorHAnsi"/>
                <w:bCs/>
                <w:color w:val="000000"/>
                <w:sz w:val="18"/>
                <w:szCs w:val="18"/>
              </w:rPr>
              <w:t>2</w:t>
            </w:r>
          </w:p>
        </w:tc>
        <w:tc>
          <w:tcPr>
            <w:tcW w:w="1134" w:type="dxa"/>
            <w:shd w:val="clear" w:color="auto" w:fill="8EAADB" w:themeFill="accent5" w:themeFillTint="99"/>
            <w:vAlign w:val="center"/>
            <w:hideMark/>
          </w:tcPr>
          <w:p w14:paraId="0586C4DA" w14:textId="4C3C3F18" w:rsidR="00652FC1" w:rsidRPr="00094BB0" w:rsidRDefault="00652FC1" w:rsidP="00652FC1">
            <w:pPr>
              <w:jc w:val="center"/>
              <w:rPr>
                <w:rFonts w:asciiTheme="minorHAnsi" w:hAnsiTheme="minorHAnsi" w:cstheme="minorHAnsi"/>
                <w:bCs/>
                <w:color w:val="000000"/>
                <w:sz w:val="18"/>
                <w:szCs w:val="18"/>
              </w:rPr>
            </w:pPr>
            <w:r w:rsidRPr="00094BB0">
              <w:rPr>
                <w:rFonts w:asciiTheme="minorHAnsi" w:hAnsiTheme="minorHAnsi" w:cstheme="minorHAnsi"/>
                <w:bCs/>
                <w:color w:val="000000"/>
                <w:sz w:val="18"/>
                <w:szCs w:val="18"/>
              </w:rPr>
              <w:t>202</w:t>
            </w:r>
            <w:r>
              <w:rPr>
                <w:rFonts w:asciiTheme="minorHAnsi" w:hAnsiTheme="minorHAnsi" w:cstheme="minorHAnsi"/>
                <w:bCs/>
                <w:color w:val="000000"/>
                <w:sz w:val="18"/>
                <w:szCs w:val="18"/>
              </w:rPr>
              <w:t>3</w:t>
            </w:r>
          </w:p>
        </w:tc>
        <w:tc>
          <w:tcPr>
            <w:tcW w:w="1185" w:type="dxa"/>
            <w:shd w:val="clear" w:color="auto" w:fill="8EAADB" w:themeFill="accent5" w:themeFillTint="99"/>
            <w:vAlign w:val="center"/>
          </w:tcPr>
          <w:p w14:paraId="1E3A961F" w14:textId="36990EFA" w:rsidR="00652FC1" w:rsidRPr="00094BB0" w:rsidRDefault="00652FC1" w:rsidP="00652FC1">
            <w:pPr>
              <w:jc w:val="center"/>
              <w:rPr>
                <w:rFonts w:asciiTheme="minorHAnsi" w:hAnsiTheme="minorHAnsi" w:cstheme="minorHAnsi"/>
                <w:bCs/>
                <w:color w:val="000000"/>
                <w:sz w:val="18"/>
                <w:szCs w:val="18"/>
              </w:rPr>
            </w:pPr>
            <w:r w:rsidRPr="00094BB0">
              <w:rPr>
                <w:rFonts w:asciiTheme="minorHAnsi" w:hAnsiTheme="minorHAnsi" w:cstheme="minorHAnsi"/>
                <w:bCs/>
                <w:color w:val="000000"/>
                <w:sz w:val="18"/>
                <w:szCs w:val="18"/>
              </w:rPr>
              <w:t>202</w:t>
            </w:r>
            <w:r>
              <w:rPr>
                <w:rFonts w:asciiTheme="minorHAnsi" w:hAnsiTheme="minorHAnsi" w:cstheme="minorHAnsi"/>
                <w:bCs/>
                <w:color w:val="000000"/>
                <w:sz w:val="18"/>
                <w:szCs w:val="18"/>
              </w:rPr>
              <w:t>4</w:t>
            </w:r>
          </w:p>
        </w:tc>
        <w:tc>
          <w:tcPr>
            <w:tcW w:w="1225" w:type="dxa"/>
            <w:shd w:val="clear" w:color="auto" w:fill="8EAADB" w:themeFill="accent5" w:themeFillTint="99"/>
            <w:vAlign w:val="center"/>
          </w:tcPr>
          <w:p w14:paraId="489DDC35" w14:textId="27517BA4" w:rsidR="00652FC1" w:rsidRPr="00094BB0" w:rsidRDefault="00652FC1" w:rsidP="00652FC1">
            <w:pPr>
              <w:jc w:val="center"/>
              <w:rPr>
                <w:rFonts w:asciiTheme="minorHAnsi" w:hAnsiTheme="minorHAnsi" w:cstheme="minorHAnsi"/>
                <w:bCs/>
                <w:color w:val="000000"/>
                <w:sz w:val="18"/>
                <w:szCs w:val="18"/>
              </w:rPr>
            </w:pPr>
            <w:r w:rsidRPr="00094BB0">
              <w:rPr>
                <w:rFonts w:asciiTheme="minorHAnsi" w:hAnsiTheme="minorHAnsi" w:cstheme="minorHAnsi"/>
                <w:bCs/>
                <w:color w:val="000000"/>
                <w:sz w:val="18"/>
                <w:szCs w:val="18"/>
              </w:rPr>
              <w:t>202</w:t>
            </w:r>
            <w:r>
              <w:rPr>
                <w:rFonts w:asciiTheme="minorHAnsi" w:hAnsiTheme="minorHAnsi" w:cstheme="minorHAnsi"/>
                <w:bCs/>
                <w:color w:val="000000"/>
                <w:sz w:val="18"/>
                <w:szCs w:val="18"/>
              </w:rPr>
              <w:t>5</w:t>
            </w:r>
          </w:p>
        </w:tc>
      </w:tr>
      <w:tr w:rsidR="00652FC1" w:rsidRPr="00A61193" w14:paraId="573180A6" w14:textId="77777777" w:rsidTr="00B36274">
        <w:trPr>
          <w:trHeight w:hRule="exact" w:val="227"/>
        </w:trPr>
        <w:tc>
          <w:tcPr>
            <w:tcW w:w="1406" w:type="dxa"/>
            <w:shd w:val="clear" w:color="auto" w:fill="D9E2F3" w:themeFill="accent5" w:themeFillTint="33"/>
            <w:vAlign w:val="center"/>
            <w:hideMark/>
          </w:tcPr>
          <w:p w14:paraId="3B62E24A" w14:textId="77777777" w:rsidR="00652FC1" w:rsidRDefault="00652FC1" w:rsidP="00652FC1">
            <w:pPr>
              <w:jc w:val="both"/>
              <w:rPr>
                <w:rFonts w:asciiTheme="minorHAnsi" w:hAnsiTheme="minorHAnsi" w:cstheme="minorHAnsi"/>
                <w:color w:val="000000"/>
                <w:sz w:val="18"/>
                <w:szCs w:val="18"/>
              </w:rPr>
            </w:pPr>
            <w:r w:rsidRPr="00094BB0">
              <w:rPr>
                <w:rFonts w:asciiTheme="minorHAnsi" w:hAnsiTheme="minorHAnsi" w:cstheme="minorHAnsi"/>
                <w:color w:val="000000"/>
                <w:sz w:val="18"/>
                <w:szCs w:val="18"/>
              </w:rPr>
              <w:t>Participação</w:t>
            </w:r>
          </w:p>
          <w:p w14:paraId="5B8FF43E" w14:textId="77777777" w:rsidR="00652FC1" w:rsidRPr="00094BB0" w:rsidRDefault="00652FC1" w:rsidP="00652FC1">
            <w:pPr>
              <w:jc w:val="both"/>
              <w:rPr>
                <w:rFonts w:asciiTheme="minorHAnsi" w:hAnsiTheme="minorHAnsi" w:cstheme="minorHAnsi"/>
                <w:color w:val="000000"/>
                <w:sz w:val="18"/>
                <w:szCs w:val="18"/>
              </w:rPr>
            </w:pPr>
          </w:p>
        </w:tc>
        <w:tc>
          <w:tcPr>
            <w:tcW w:w="1256" w:type="dxa"/>
            <w:shd w:val="clear" w:color="auto" w:fill="D9E2F3" w:themeFill="accent5" w:themeFillTint="33"/>
            <w:vAlign w:val="center"/>
            <w:hideMark/>
          </w:tcPr>
          <w:p w14:paraId="3C99D3AD" w14:textId="434DD8E3" w:rsidR="00652FC1" w:rsidRPr="00094BB0" w:rsidRDefault="00652FC1" w:rsidP="00652FC1">
            <w:pPr>
              <w:jc w:val="center"/>
              <w:rPr>
                <w:rFonts w:asciiTheme="minorHAnsi" w:hAnsiTheme="minorHAnsi" w:cstheme="minorHAnsi"/>
                <w:color w:val="000000"/>
                <w:sz w:val="18"/>
                <w:szCs w:val="18"/>
              </w:rPr>
            </w:pPr>
            <w:r w:rsidRPr="00094BB0">
              <w:rPr>
                <w:rFonts w:asciiTheme="minorHAnsi" w:hAnsiTheme="minorHAnsi" w:cstheme="minorHAnsi"/>
                <w:color w:val="000000"/>
                <w:sz w:val="18"/>
                <w:szCs w:val="18"/>
              </w:rPr>
              <w:t>75</w:t>
            </w:r>
          </w:p>
        </w:tc>
        <w:tc>
          <w:tcPr>
            <w:tcW w:w="1307" w:type="dxa"/>
            <w:shd w:val="clear" w:color="auto" w:fill="D9E2F3" w:themeFill="accent5" w:themeFillTint="33"/>
            <w:vAlign w:val="center"/>
            <w:hideMark/>
          </w:tcPr>
          <w:p w14:paraId="745A75ED" w14:textId="67A42BC6" w:rsidR="00652FC1" w:rsidRPr="00094BB0" w:rsidRDefault="00652FC1" w:rsidP="00652FC1">
            <w:pPr>
              <w:jc w:val="center"/>
              <w:rPr>
                <w:rFonts w:asciiTheme="minorHAnsi" w:hAnsiTheme="minorHAnsi" w:cstheme="minorHAnsi"/>
                <w:color w:val="000000"/>
                <w:sz w:val="18"/>
                <w:szCs w:val="18"/>
              </w:rPr>
            </w:pPr>
            <w:r w:rsidRPr="00094BB0">
              <w:rPr>
                <w:rFonts w:asciiTheme="minorHAnsi" w:hAnsiTheme="minorHAnsi" w:cstheme="minorHAnsi"/>
                <w:color w:val="000000"/>
                <w:sz w:val="18"/>
                <w:szCs w:val="18"/>
              </w:rPr>
              <w:t>73</w:t>
            </w:r>
          </w:p>
        </w:tc>
        <w:tc>
          <w:tcPr>
            <w:tcW w:w="1134" w:type="dxa"/>
            <w:shd w:val="clear" w:color="auto" w:fill="D9E2F3" w:themeFill="accent5" w:themeFillTint="33"/>
            <w:vAlign w:val="center"/>
            <w:hideMark/>
          </w:tcPr>
          <w:p w14:paraId="4D6AFC62" w14:textId="766358AB" w:rsidR="00652FC1" w:rsidRPr="00094BB0" w:rsidRDefault="00652FC1" w:rsidP="00652FC1">
            <w:pPr>
              <w:jc w:val="center"/>
              <w:rPr>
                <w:rFonts w:asciiTheme="minorHAnsi" w:hAnsiTheme="minorHAnsi" w:cstheme="minorHAnsi"/>
                <w:color w:val="000000"/>
                <w:sz w:val="18"/>
                <w:szCs w:val="18"/>
              </w:rPr>
            </w:pPr>
            <w:r>
              <w:rPr>
                <w:rFonts w:asciiTheme="minorHAnsi" w:hAnsiTheme="minorHAnsi" w:cstheme="minorHAnsi"/>
                <w:color w:val="000000"/>
                <w:sz w:val="18"/>
                <w:szCs w:val="18"/>
              </w:rPr>
              <w:t>90</w:t>
            </w:r>
          </w:p>
        </w:tc>
        <w:tc>
          <w:tcPr>
            <w:tcW w:w="1134" w:type="dxa"/>
            <w:shd w:val="clear" w:color="auto" w:fill="D9E2F3" w:themeFill="accent5" w:themeFillTint="33"/>
            <w:vAlign w:val="center"/>
            <w:hideMark/>
          </w:tcPr>
          <w:p w14:paraId="1C611C09" w14:textId="27C55ABB" w:rsidR="00652FC1" w:rsidRPr="00094BB0" w:rsidRDefault="00652FC1" w:rsidP="00652FC1">
            <w:pPr>
              <w:jc w:val="center"/>
              <w:rPr>
                <w:rFonts w:asciiTheme="minorHAnsi" w:hAnsiTheme="minorHAnsi" w:cstheme="minorHAnsi"/>
                <w:color w:val="000000"/>
                <w:sz w:val="18"/>
                <w:szCs w:val="18"/>
              </w:rPr>
            </w:pPr>
            <w:r>
              <w:rPr>
                <w:rFonts w:asciiTheme="minorHAnsi" w:hAnsiTheme="minorHAnsi" w:cstheme="minorHAnsi"/>
                <w:color w:val="000000"/>
                <w:sz w:val="18"/>
                <w:szCs w:val="18"/>
              </w:rPr>
              <w:t>35</w:t>
            </w:r>
          </w:p>
        </w:tc>
        <w:tc>
          <w:tcPr>
            <w:tcW w:w="1185" w:type="dxa"/>
            <w:shd w:val="clear" w:color="auto" w:fill="D9E2F3" w:themeFill="accent5" w:themeFillTint="33"/>
            <w:vAlign w:val="center"/>
          </w:tcPr>
          <w:p w14:paraId="547D5657" w14:textId="1C04DBCE" w:rsidR="00652FC1" w:rsidRPr="00094BB0" w:rsidRDefault="00652FC1" w:rsidP="00652FC1">
            <w:pPr>
              <w:jc w:val="center"/>
              <w:rPr>
                <w:rFonts w:asciiTheme="minorHAnsi" w:hAnsiTheme="minorHAnsi" w:cstheme="minorHAnsi"/>
                <w:color w:val="000000"/>
                <w:sz w:val="18"/>
                <w:szCs w:val="18"/>
              </w:rPr>
            </w:pPr>
            <w:r>
              <w:rPr>
                <w:rFonts w:asciiTheme="minorHAnsi" w:hAnsiTheme="minorHAnsi" w:cstheme="minorHAnsi"/>
                <w:color w:val="000000"/>
                <w:sz w:val="18"/>
                <w:szCs w:val="18"/>
              </w:rPr>
              <w:t>39</w:t>
            </w:r>
          </w:p>
        </w:tc>
        <w:tc>
          <w:tcPr>
            <w:tcW w:w="1225" w:type="dxa"/>
            <w:shd w:val="clear" w:color="auto" w:fill="D9E2F3" w:themeFill="accent5" w:themeFillTint="33"/>
            <w:vAlign w:val="center"/>
          </w:tcPr>
          <w:p w14:paraId="676635F9" w14:textId="66ADF849" w:rsidR="00652FC1" w:rsidRPr="00094BB0" w:rsidRDefault="00652FC1" w:rsidP="00652FC1">
            <w:pPr>
              <w:jc w:val="center"/>
              <w:rPr>
                <w:rFonts w:asciiTheme="minorHAnsi" w:hAnsiTheme="minorHAnsi" w:cstheme="minorHAnsi"/>
                <w:color w:val="000000"/>
                <w:sz w:val="18"/>
                <w:szCs w:val="18"/>
              </w:rPr>
            </w:pPr>
            <w:r>
              <w:rPr>
                <w:rFonts w:asciiTheme="minorHAnsi" w:hAnsiTheme="minorHAnsi" w:cstheme="minorHAnsi"/>
                <w:color w:val="000000"/>
                <w:sz w:val="18"/>
                <w:szCs w:val="18"/>
              </w:rPr>
              <w:t>24</w:t>
            </w:r>
          </w:p>
        </w:tc>
      </w:tr>
      <w:tr w:rsidR="00652FC1" w:rsidRPr="00A61193" w14:paraId="177F339B" w14:textId="77777777" w:rsidTr="00B36274">
        <w:trPr>
          <w:trHeight w:hRule="exact" w:val="227"/>
        </w:trPr>
        <w:tc>
          <w:tcPr>
            <w:tcW w:w="1406" w:type="dxa"/>
            <w:shd w:val="clear" w:color="auto" w:fill="D9E2F3" w:themeFill="accent5" w:themeFillTint="33"/>
            <w:vAlign w:val="center"/>
            <w:hideMark/>
          </w:tcPr>
          <w:p w14:paraId="21214F6D" w14:textId="77777777" w:rsidR="00652FC1" w:rsidRPr="00094BB0" w:rsidRDefault="00652FC1" w:rsidP="00652FC1">
            <w:pPr>
              <w:jc w:val="both"/>
              <w:rPr>
                <w:rFonts w:asciiTheme="minorHAnsi" w:hAnsiTheme="minorHAnsi" w:cstheme="minorHAnsi"/>
                <w:color w:val="000000"/>
                <w:sz w:val="18"/>
                <w:szCs w:val="18"/>
              </w:rPr>
            </w:pPr>
            <w:r w:rsidRPr="00094BB0">
              <w:rPr>
                <w:rFonts w:asciiTheme="minorHAnsi" w:hAnsiTheme="minorHAnsi" w:cstheme="minorHAnsi"/>
                <w:color w:val="000000"/>
                <w:sz w:val="18"/>
                <w:szCs w:val="18"/>
              </w:rPr>
              <w:t>Horas</w:t>
            </w:r>
          </w:p>
        </w:tc>
        <w:tc>
          <w:tcPr>
            <w:tcW w:w="1256" w:type="dxa"/>
            <w:shd w:val="clear" w:color="auto" w:fill="D9E2F3" w:themeFill="accent5" w:themeFillTint="33"/>
            <w:vAlign w:val="center"/>
            <w:hideMark/>
          </w:tcPr>
          <w:p w14:paraId="15F0CA63" w14:textId="6DAD197F" w:rsidR="00652FC1" w:rsidRPr="00094BB0" w:rsidRDefault="00652FC1" w:rsidP="00652FC1">
            <w:pPr>
              <w:jc w:val="center"/>
              <w:rPr>
                <w:rFonts w:asciiTheme="minorHAnsi" w:hAnsiTheme="minorHAnsi" w:cstheme="minorHAnsi"/>
                <w:color w:val="000000"/>
                <w:sz w:val="18"/>
                <w:szCs w:val="18"/>
              </w:rPr>
            </w:pPr>
            <w:r w:rsidRPr="00094BB0">
              <w:rPr>
                <w:rFonts w:asciiTheme="minorHAnsi" w:hAnsiTheme="minorHAnsi" w:cstheme="minorHAnsi"/>
                <w:color w:val="000000"/>
                <w:sz w:val="18"/>
                <w:szCs w:val="18"/>
              </w:rPr>
              <w:t>177</w:t>
            </w:r>
          </w:p>
        </w:tc>
        <w:tc>
          <w:tcPr>
            <w:tcW w:w="1307" w:type="dxa"/>
            <w:shd w:val="clear" w:color="auto" w:fill="D9E2F3" w:themeFill="accent5" w:themeFillTint="33"/>
            <w:vAlign w:val="center"/>
            <w:hideMark/>
          </w:tcPr>
          <w:p w14:paraId="5190FDDF" w14:textId="45619A4B" w:rsidR="00652FC1" w:rsidRPr="00094BB0" w:rsidRDefault="00652FC1" w:rsidP="00652FC1">
            <w:pPr>
              <w:jc w:val="center"/>
              <w:rPr>
                <w:rFonts w:asciiTheme="minorHAnsi" w:hAnsiTheme="minorHAnsi" w:cstheme="minorHAnsi"/>
                <w:color w:val="000000"/>
                <w:sz w:val="18"/>
                <w:szCs w:val="18"/>
              </w:rPr>
            </w:pPr>
            <w:r w:rsidRPr="00094BB0">
              <w:rPr>
                <w:rFonts w:asciiTheme="minorHAnsi" w:hAnsiTheme="minorHAnsi" w:cstheme="minorHAnsi"/>
                <w:color w:val="000000"/>
                <w:sz w:val="18"/>
                <w:szCs w:val="18"/>
              </w:rPr>
              <w:t>353</w:t>
            </w:r>
          </w:p>
        </w:tc>
        <w:tc>
          <w:tcPr>
            <w:tcW w:w="1134" w:type="dxa"/>
            <w:shd w:val="clear" w:color="auto" w:fill="D9E2F3" w:themeFill="accent5" w:themeFillTint="33"/>
            <w:vAlign w:val="center"/>
            <w:hideMark/>
          </w:tcPr>
          <w:p w14:paraId="42683FE9" w14:textId="729D1909" w:rsidR="00652FC1" w:rsidRPr="00094BB0" w:rsidRDefault="00652FC1" w:rsidP="00652FC1">
            <w:pPr>
              <w:jc w:val="center"/>
              <w:rPr>
                <w:rFonts w:asciiTheme="minorHAnsi" w:hAnsiTheme="minorHAnsi" w:cstheme="minorHAnsi"/>
                <w:color w:val="000000"/>
                <w:sz w:val="18"/>
                <w:szCs w:val="18"/>
              </w:rPr>
            </w:pPr>
            <w:r>
              <w:rPr>
                <w:rFonts w:asciiTheme="minorHAnsi" w:hAnsiTheme="minorHAnsi" w:cstheme="minorHAnsi"/>
                <w:color w:val="000000"/>
                <w:sz w:val="18"/>
                <w:szCs w:val="18"/>
              </w:rPr>
              <w:t>782</w:t>
            </w:r>
          </w:p>
        </w:tc>
        <w:tc>
          <w:tcPr>
            <w:tcW w:w="1134" w:type="dxa"/>
            <w:shd w:val="clear" w:color="auto" w:fill="D9E2F3" w:themeFill="accent5" w:themeFillTint="33"/>
            <w:vAlign w:val="center"/>
            <w:hideMark/>
          </w:tcPr>
          <w:p w14:paraId="346896B3" w14:textId="2DE365F4" w:rsidR="00652FC1" w:rsidRPr="00094BB0" w:rsidRDefault="00652FC1" w:rsidP="00652FC1">
            <w:pPr>
              <w:jc w:val="center"/>
              <w:rPr>
                <w:rFonts w:asciiTheme="minorHAnsi" w:hAnsiTheme="minorHAnsi" w:cstheme="minorHAnsi"/>
                <w:color w:val="000000"/>
                <w:sz w:val="18"/>
                <w:szCs w:val="18"/>
              </w:rPr>
            </w:pPr>
            <w:r>
              <w:rPr>
                <w:rFonts w:asciiTheme="minorHAnsi" w:hAnsiTheme="minorHAnsi" w:cstheme="minorHAnsi"/>
                <w:color w:val="000000"/>
                <w:sz w:val="18"/>
                <w:szCs w:val="18"/>
              </w:rPr>
              <w:t>477</w:t>
            </w:r>
          </w:p>
        </w:tc>
        <w:tc>
          <w:tcPr>
            <w:tcW w:w="1185" w:type="dxa"/>
            <w:shd w:val="clear" w:color="auto" w:fill="D9E2F3" w:themeFill="accent5" w:themeFillTint="33"/>
            <w:vAlign w:val="center"/>
          </w:tcPr>
          <w:p w14:paraId="2B6A2EB0" w14:textId="131E4F90" w:rsidR="00652FC1" w:rsidRPr="00094BB0" w:rsidRDefault="00652FC1" w:rsidP="00652FC1">
            <w:pPr>
              <w:jc w:val="center"/>
              <w:rPr>
                <w:rFonts w:asciiTheme="minorHAnsi" w:hAnsiTheme="minorHAnsi" w:cstheme="minorHAnsi"/>
                <w:color w:val="000000"/>
                <w:sz w:val="18"/>
                <w:szCs w:val="18"/>
              </w:rPr>
            </w:pPr>
            <w:r>
              <w:rPr>
                <w:rFonts w:asciiTheme="minorHAnsi" w:hAnsiTheme="minorHAnsi" w:cstheme="minorHAnsi"/>
                <w:color w:val="000000"/>
                <w:sz w:val="18"/>
                <w:szCs w:val="18"/>
              </w:rPr>
              <w:t>871</w:t>
            </w:r>
          </w:p>
        </w:tc>
        <w:tc>
          <w:tcPr>
            <w:tcW w:w="1225" w:type="dxa"/>
            <w:shd w:val="clear" w:color="auto" w:fill="D9E2F3" w:themeFill="accent5" w:themeFillTint="33"/>
            <w:vAlign w:val="center"/>
          </w:tcPr>
          <w:p w14:paraId="238DF1BA" w14:textId="0A9298D4" w:rsidR="00652FC1" w:rsidRPr="00094BB0" w:rsidRDefault="00652FC1" w:rsidP="00652FC1">
            <w:pPr>
              <w:jc w:val="center"/>
              <w:rPr>
                <w:rFonts w:asciiTheme="minorHAnsi" w:hAnsiTheme="minorHAnsi" w:cstheme="minorHAnsi"/>
                <w:color w:val="000000"/>
                <w:sz w:val="18"/>
                <w:szCs w:val="18"/>
              </w:rPr>
            </w:pPr>
            <w:r>
              <w:rPr>
                <w:rFonts w:asciiTheme="minorHAnsi" w:hAnsiTheme="minorHAnsi" w:cstheme="minorHAnsi"/>
                <w:color w:val="000000"/>
                <w:sz w:val="18"/>
                <w:szCs w:val="18"/>
              </w:rPr>
              <w:t>293</w:t>
            </w:r>
          </w:p>
        </w:tc>
      </w:tr>
      <w:tr w:rsidR="00652FC1" w:rsidRPr="00D4322C" w14:paraId="66EA5547" w14:textId="77777777" w:rsidTr="00B36274">
        <w:trPr>
          <w:trHeight w:hRule="exact" w:val="227"/>
        </w:trPr>
        <w:tc>
          <w:tcPr>
            <w:tcW w:w="1406" w:type="dxa"/>
            <w:shd w:val="clear" w:color="auto" w:fill="D9E2F3" w:themeFill="accent5" w:themeFillTint="33"/>
            <w:vAlign w:val="center"/>
            <w:hideMark/>
          </w:tcPr>
          <w:p w14:paraId="05EB7C48" w14:textId="77777777" w:rsidR="00652FC1" w:rsidRPr="00094BB0" w:rsidRDefault="00652FC1" w:rsidP="00652FC1">
            <w:pPr>
              <w:jc w:val="both"/>
              <w:rPr>
                <w:rFonts w:asciiTheme="minorHAnsi" w:hAnsiTheme="minorHAnsi" w:cstheme="minorHAnsi"/>
                <w:color w:val="000000"/>
                <w:sz w:val="18"/>
                <w:szCs w:val="18"/>
              </w:rPr>
            </w:pPr>
            <w:r w:rsidRPr="00094BB0">
              <w:rPr>
                <w:rFonts w:asciiTheme="minorHAnsi" w:hAnsiTheme="minorHAnsi" w:cstheme="minorHAnsi"/>
                <w:color w:val="000000"/>
                <w:sz w:val="18"/>
                <w:szCs w:val="18"/>
              </w:rPr>
              <w:t>Investimento</w:t>
            </w:r>
          </w:p>
        </w:tc>
        <w:tc>
          <w:tcPr>
            <w:tcW w:w="1256" w:type="dxa"/>
            <w:shd w:val="clear" w:color="auto" w:fill="D9E2F3" w:themeFill="accent5" w:themeFillTint="33"/>
            <w:vAlign w:val="center"/>
            <w:hideMark/>
          </w:tcPr>
          <w:p w14:paraId="360B87C2" w14:textId="5FC3DA83" w:rsidR="00652FC1" w:rsidRPr="00094BB0" w:rsidRDefault="00652FC1" w:rsidP="00652FC1">
            <w:pPr>
              <w:jc w:val="center"/>
              <w:rPr>
                <w:rFonts w:asciiTheme="minorHAnsi" w:hAnsiTheme="minorHAnsi" w:cstheme="minorHAnsi"/>
                <w:color w:val="000000"/>
                <w:sz w:val="18"/>
                <w:szCs w:val="18"/>
              </w:rPr>
            </w:pPr>
            <w:r w:rsidRPr="00094BB0">
              <w:rPr>
                <w:rFonts w:asciiTheme="minorHAnsi" w:hAnsiTheme="minorHAnsi" w:cstheme="minorHAnsi"/>
                <w:color w:val="000000"/>
                <w:sz w:val="18"/>
                <w:szCs w:val="18"/>
              </w:rPr>
              <w:t>24.580 €</w:t>
            </w:r>
          </w:p>
        </w:tc>
        <w:tc>
          <w:tcPr>
            <w:tcW w:w="1307" w:type="dxa"/>
            <w:shd w:val="clear" w:color="auto" w:fill="D9E2F3" w:themeFill="accent5" w:themeFillTint="33"/>
            <w:vAlign w:val="center"/>
            <w:hideMark/>
          </w:tcPr>
          <w:p w14:paraId="736400C1" w14:textId="39B5A62C" w:rsidR="00652FC1" w:rsidRPr="00094BB0" w:rsidRDefault="00652FC1" w:rsidP="00652FC1">
            <w:pPr>
              <w:jc w:val="center"/>
              <w:rPr>
                <w:rFonts w:asciiTheme="minorHAnsi" w:hAnsiTheme="minorHAnsi" w:cstheme="minorHAnsi"/>
                <w:color w:val="000000"/>
                <w:sz w:val="18"/>
                <w:szCs w:val="18"/>
              </w:rPr>
            </w:pPr>
            <w:r w:rsidRPr="00094BB0">
              <w:rPr>
                <w:rFonts w:asciiTheme="minorHAnsi" w:hAnsiTheme="minorHAnsi" w:cstheme="minorHAnsi"/>
                <w:color w:val="000000"/>
                <w:sz w:val="18"/>
                <w:szCs w:val="18"/>
              </w:rPr>
              <w:t>30.111 €</w:t>
            </w:r>
          </w:p>
        </w:tc>
        <w:tc>
          <w:tcPr>
            <w:tcW w:w="1134" w:type="dxa"/>
            <w:shd w:val="clear" w:color="auto" w:fill="D9E2F3" w:themeFill="accent5" w:themeFillTint="33"/>
            <w:vAlign w:val="center"/>
            <w:hideMark/>
          </w:tcPr>
          <w:p w14:paraId="5E7DDFCD" w14:textId="19581184" w:rsidR="00652FC1" w:rsidRPr="00094BB0" w:rsidRDefault="00652FC1" w:rsidP="00652FC1">
            <w:pPr>
              <w:jc w:val="center"/>
              <w:rPr>
                <w:rFonts w:asciiTheme="minorHAnsi" w:hAnsiTheme="minorHAnsi" w:cstheme="minorHAnsi"/>
                <w:color w:val="000000"/>
                <w:sz w:val="18"/>
                <w:szCs w:val="18"/>
              </w:rPr>
            </w:pPr>
            <w:r w:rsidRPr="00094BB0">
              <w:rPr>
                <w:rFonts w:asciiTheme="minorHAnsi" w:hAnsiTheme="minorHAnsi" w:cstheme="minorHAnsi"/>
                <w:color w:val="000000"/>
                <w:sz w:val="18"/>
                <w:szCs w:val="18"/>
              </w:rPr>
              <w:t>3</w:t>
            </w:r>
            <w:r>
              <w:rPr>
                <w:rFonts w:asciiTheme="minorHAnsi" w:hAnsiTheme="minorHAnsi" w:cstheme="minorHAnsi"/>
                <w:color w:val="000000"/>
                <w:sz w:val="18"/>
                <w:szCs w:val="18"/>
              </w:rPr>
              <w:t>6</w:t>
            </w:r>
            <w:r w:rsidRPr="00094BB0">
              <w:rPr>
                <w:rFonts w:asciiTheme="minorHAnsi" w:hAnsiTheme="minorHAnsi" w:cstheme="minorHAnsi"/>
                <w:color w:val="000000"/>
                <w:sz w:val="18"/>
                <w:szCs w:val="18"/>
              </w:rPr>
              <w:t>.1</w:t>
            </w:r>
            <w:r>
              <w:rPr>
                <w:rFonts w:asciiTheme="minorHAnsi" w:hAnsiTheme="minorHAnsi" w:cstheme="minorHAnsi"/>
                <w:color w:val="000000"/>
                <w:sz w:val="18"/>
                <w:szCs w:val="18"/>
              </w:rPr>
              <w:t>4</w:t>
            </w:r>
            <w:r w:rsidRPr="00094BB0">
              <w:rPr>
                <w:rFonts w:asciiTheme="minorHAnsi" w:hAnsiTheme="minorHAnsi" w:cstheme="minorHAnsi"/>
                <w:color w:val="000000"/>
                <w:sz w:val="18"/>
                <w:szCs w:val="18"/>
              </w:rPr>
              <w:t>1 €</w:t>
            </w:r>
          </w:p>
        </w:tc>
        <w:tc>
          <w:tcPr>
            <w:tcW w:w="1134" w:type="dxa"/>
            <w:shd w:val="clear" w:color="auto" w:fill="D9E2F3" w:themeFill="accent5" w:themeFillTint="33"/>
            <w:vAlign w:val="center"/>
            <w:hideMark/>
          </w:tcPr>
          <w:p w14:paraId="1DFFA6B3" w14:textId="64A7358F" w:rsidR="00652FC1" w:rsidRPr="00094BB0" w:rsidRDefault="00652FC1" w:rsidP="00652FC1">
            <w:pPr>
              <w:jc w:val="center"/>
              <w:rPr>
                <w:rFonts w:asciiTheme="minorHAnsi" w:hAnsiTheme="minorHAnsi" w:cstheme="minorHAnsi"/>
                <w:color w:val="000000"/>
                <w:sz w:val="18"/>
                <w:szCs w:val="18"/>
              </w:rPr>
            </w:pPr>
            <w:r>
              <w:rPr>
                <w:rFonts w:asciiTheme="minorHAnsi" w:hAnsiTheme="minorHAnsi" w:cstheme="minorHAnsi"/>
                <w:color w:val="000000"/>
                <w:sz w:val="18"/>
                <w:szCs w:val="18"/>
              </w:rPr>
              <w:t>15</w:t>
            </w:r>
            <w:r w:rsidRPr="00094BB0">
              <w:rPr>
                <w:rFonts w:asciiTheme="minorHAnsi" w:hAnsiTheme="minorHAnsi" w:cstheme="minorHAnsi"/>
                <w:color w:val="000000"/>
                <w:sz w:val="18"/>
                <w:szCs w:val="18"/>
              </w:rPr>
              <w:t>.</w:t>
            </w:r>
            <w:r>
              <w:rPr>
                <w:rFonts w:asciiTheme="minorHAnsi" w:hAnsiTheme="minorHAnsi" w:cstheme="minorHAnsi"/>
                <w:color w:val="000000"/>
                <w:sz w:val="18"/>
                <w:szCs w:val="18"/>
              </w:rPr>
              <w:t>5</w:t>
            </w:r>
            <w:r w:rsidRPr="00094BB0">
              <w:rPr>
                <w:rFonts w:asciiTheme="minorHAnsi" w:hAnsiTheme="minorHAnsi" w:cstheme="minorHAnsi"/>
                <w:color w:val="000000"/>
                <w:sz w:val="18"/>
                <w:szCs w:val="18"/>
              </w:rPr>
              <w:t>1</w:t>
            </w:r>
            <w:r>
              <w:rPr>
                <w:rFonts w:asciiTheme="minorHAnsi" w:hAnsiTheme="minorHAnsi" w:cstheme="minorHAnsi"/>
                <w:color w:val="000000"/>
                <w:sz w:val="18"/>
                <w:szCs w:val="18"/>
              </w:rPr>
              <w:t>4</w:t>
            </w:r>
            <w:r w:rsidRPr="00094BB0">
              <w:rPr>
                <w:rFonts w:asciiTheme="minorHAnsi" w:hAnsiTheme="minorHAnsi" w:cstheme="minorHAnsi"/>
                <w:color w:val="000000"/>
                <w:sz w:val="18"/>
                <w:szCs w:val="18"/>
              </w:rPr>
              <w:t xml:space="preserve"> €</w:t>
            </w:r>
          </w:p>
        </w:tc>
        <w:tc>
          <w:tcPr>
            <w:tcW w:w="1185" w:type="dxa"/>
            <w:shd w:val="clear" w:color="auto" w:fill="D9E2F3" w:themeFill="accent5" w:themeFillTint="33"/>
            <w:vAlign w:val="center"/>
          </w:tcPr>
          <w:p w14:paraId="73AAD1BA" w14:textId="1392280A" w:rsidR="00652FC1" w:rsidRPr="00094BB0" w:rsidRDefault="00652FC1" w:rsidP="00652FC1">
            <w:pPr>
              <w:jc w:val="center"/>
              <w:rPr>
                <w:rFonts w:asciiTheme="minorHAnsi" w:hAnsiTheme="minorHAnsi" w:cstheme="minorHAnsi"/>
                <w:color w:val="000000"/>
                <w:sz w:val="18"/>
                <w:szCs w:val="18"/>
              </w:rPr>
            </w:pPr>
            <w:r>
              <w:rPr>
                <w:rFonts w:asciiTheme="minorHAnsi" w:hAnsiTheme="minorHAnsi" w:cstheme="minorHAnsi"/>
                <w:color w:val="000000"/>
                <w:sz w:val="18"/>
                <w:szCs w:val="18"/>
              </w:rPr>
              <w:t>37</w:t>
            </w:r>
            <w:r w:rsidRPr="00094BB0">
              <w:rPr>
                <w:rFonts w:asciiTheme="minorHAnsi" w:hAnsiTheme="minorHAnsi" w:cstheme="minorHAnsi"/>
                <w:color w:val="000000"/>
                <w:sz w:val="18"/>
                <w:szCs w:val="18"/>
              </w:rPr>
              <w:t>.</w:t>
            </w:r>
            <w:r>
              <w:rPr>
                <w:rFonts w:asciiTheme="minorHAnsi" w:hAnsiTheme="minorHAnsi" w:cstheme="minorHAnsi"/>
                <w:color w:val="000000"/>
                <w:sz w:val="18"/>
                <w:szCs w:val="18"/>
              </w:rPr>
              <w:t>255</w:t>
            </w:r>
            <w:r w:rsidRPr="00094BB0">
              <w:rPr>
                <w:rFonts w:asciiTheme="minorHAnsi" w:hAnsiTheme="minorHAnsi" w:cstheme="minorHAnsi"/>
                <w:color w:val="000000"/>
                <w:sz w:val="18"/>
                <w:szCs w:val="18"/>
              </w:rPr>
              <w:t xml:space="preserve"> €</w:t>
            </w:r>
          </w:p>
        </w:tc>
        <w:tc>
          <w:tcPr>
            <w:tcW w:w="1225" w:type="dxa"/>
            <w:shd w:val="clear" w:color="auto" w:fill="D9E2F3" w:themeFill="accent5" w:themeFillTint="33"/>
            <w:vAlign w:val="center"/>
          </w:tcPr>
          <w:p w14:paraId="7B3CCF51" w14:textId="61EC0C19" w:rsidR="00652FC1" w:rsidRPr="00094BB0" w:rsidRDefault="00652FC1" w:rsidP="00652FC1">
            <w:pPr>
              <w:ind w:right="-82"/>
              <w:jc w:val="center"/>
              <w:rPr>
                <w:rFonts w:asciiTheme="minorHAnsi" w:hAnsiTheme="minorHAnsi" w:cstheme="minorHAnsi"/>
                <w:color w:val="000000"/>
                <w:sz w:val="18"/>
                <w:szCs w:val="18"/>
              </w:rPr>
            </w:pPr>
            <w:r>
              <w:rPr>
                <w:rFonts w:asciiTheme="minorHAnsi" w:hAnsiTheme="minorHAnsi" w:cstheme="minorHAnsi"/>
                <w:color w:val="000000"/>
                <w:sz w:val="18"/>
                <w:szCs w:val="18"/>
              </w:rPr>
              <w:t>8</w:t>
            </w:r>
            <w:r w:rsidRPr="00094BB0">
              <w:rPr>
                <w:rFonts w:asciiTheme="minorHAnsi" w:hAnsiTheme="minorHAnsi" w:cstheme="minorHAnsi"/>
                <w:color w:val="000000"/>
                <w:sz w:val="18"/>
                <w:szCs w:val="18"/>
              </w:rPr>
              <w:t>.</w:t>
            </w:r>
            <w:r>
              <w:rPr>
                <w:rFonts w:asciiTheme="minorHAnsi" w:hAnsiTheme="minorHAnsi" w:cstheme="minorHAnsi"/>
                <w:color w:val="000000"/>
                <w:sz w:val="18"/>
                <w:szCs w:val="18"/>
              </w:rPr>
              <w:t>617</w:t>
            </w:r>
            <w:r w:rsidRPr="00094BB0">
              <w:rPr>
                <w:rFonts w:asciiTheme="minorHAnsi" w:hAnsiTheme="minorHAnsi" w:cstheme="minorHAnsi"/>
                <w:color w:val="000000"/>
                <w:sz w:val="18"/>
                <w:szCs w:val="18"/>
              </w:rPr>
              <w:t xml:space="preserve"> €</w:t>
            </w:r>
          </w:p>
        </w:tc>
      </w:tr>
    </w:tbl>
    <w:p w14:paraId="46D67290" w14:textId="77777777" w:rsidR="00C93B74" w:rsidRDefault="00C93B74" w:rsidP="00C93B74">
      <w:pPr>
        <w:jc w:val="both"/>
        <w:rPr>
          <w:rFonts w:asciiTheme="minorHAnsi" w:hAnsiTheme="minorHAnsi" w:cstheme="minorHAnsi"/>
          <w:sz w:val="22"/>
          <w:szCs w:val="22"/>
          <w:highlight w:val="yellow"/>
        </w:rPr>
      </w:pPr>
    </w:p>
    <w:bookmarkEnd w:id="32"/>
    <w:p w14:paraId="0C5AF856" w14:textId="77777777" w:rsidR="00652FC1" w:rsidRPr="00652FC1" w:rsidRDefault="00652FC1" w:rsidP="00652FC1">
      <w:pPr>
        <w:jc w:val="both"/>
        <w:rPr>
          <w:rFonts w:asciiTheme="minorHAnsi" w:hAnsiTheme="minorHAnsi" w:cstheme="minorHAnsi"/>
          <w:bCs/>
          <w:sz w:val="22"/>
          <w:szCs w:val="22"/>
        </w:rPr>
      </w:pPr>
      <w:r w:rsidRPr="00652FC1">
        <w:rPr>
          <w:rFonts w:asciiTheme="minorHAnsi" w:hAnsiTheme="minorHAnsi" w:cstheme="minorHAnsi"/>
          <w:bCs/>
          <w:sz w:val="22"/>
          <w:szCs w:val="22"/>
        </w:rPr>
        <w:t xml:space="preserve">Relativamente à formação profissional, o plano anual de formação foi elaborado tendo em conta as necessidades identificadas no inquérito/diagnóstico efetuado junto de todas as </w:t>
      </w:r>
      <w:r w:rsidRPr="00652FC1">
        <w:rPr>
          <w:rFonts w:asciiTheme="minorHAnsi" w:hAnsiTheme="minorHAnsi" w:cstheme="minorHAnsi"/>
          <w:bCs/>
          <w:sz w:val="22"/>
          <w:szCs w:val="22"/>
        </w:rPr>
        <w:lastRenderedPageBreak/>
        <w:t>Direções/Responsáveis, bem como as indicadas no processo de Avaliação de Desempenho, por forma a aumentar as competências, produtividade e polivalência dos colaboradores(as).</w:t>
      </w:r>
    </w:p>
    <w:p w14:paraId="18F5A2C5" w14:textId="77777777" w:rsidR="00652FC1" w:rsidRPr="00652FC1" w:rsidRDefault="00652FC1" w:rsidP="00652FC1">
      <w:pPr>
        <w:jc w:val="both"/>
        <w:rPr>
          <w:rFonts w:asciiTheme="minorHAnsi" w:hAnsiTheme="minorHAnsi" w:cstheme="minorHAnsi"/>
          <w:bCs/>
          <w:sz w:val="22"/>
          <w:szCs w:val="22"/>
        </w:rPr>
      </w:pPr>
    </w:p>
    <w:p w14:paraId="22721F25" w14:textId="77777777" w:rsidR="00652FC1" w:rsidRPr="00652FC1" w:rsidRDefault="00652FC1" w:rsidP="00652FC1">
      <w:pPr>
        <w:jc w:val="both"/>
        <w:rPr>
          <w:rFonts w:asciiTheme="minorHAnsi" w:hAnsiTheme="minorHAnsi" w:cstheme="minorHAnsi"/>
          <w:bCs/>
          <w:sz w:val="22"/>
          <w:szCs w:val="22"/>
        </w:rPr>
      </w:pPr>
      <w:r w:rsidRPr="00652FC1">
        <w:rPr>
          <w:rFonts w:asciiTheme="minorHAnsi" w:hAnsiTheme="minorHAnsi" w:cstheme="minorHAnsi"/>
          <w:bCs/>
          <w:sz w:val="22"/>
          <w:szCs w:val="22"/>
        </w:rPr>
        <w:t>Nesse contexto, e continuando o critério já seguido anteriormente, as ações de formação mantiveram-se maioritariamente na metodologia presencial para cursos online.</w:t>
      </w:r>
    </w:p>
    <w:p w14:paraId="0F2199C9" w14:textId="77777777" w:rsidR="00652FC1" w:rsidRPr="00652FC1" w:rsidRDefault="00652FC1" w:rsidP="00652FC1">
      <w:pPr>
        <w:jc w:val="both"/>
        <w:rPr>
          <w:rFonts w:asciiTheme="minorHAnsi" w:hAnsiTheme="minorHAnsi" w:cstheme="minorHAnsi"/>
          <w:bCs/>
          <w:sz w:val="22"/>
          <w:szCs w:val="22"/>
        </w:rPr>
      </w:pPr>
    </w:p>
    <w:p w14:paraId="17156CDB" w14:textId="504D5AFF" w:rsidR="00652FC1" w:rsidRPr="00652FC1" w:rsidRDefault="00652FC1" w:rsidP="00652FC1">
      <w:pPr>
        <w:jc w:val="both"/>
        <w:rPr>
          <w:rFonts w:asciiTheme="minorHAnsi" w:hAnsiTheme="minorHAnsi" w:cstheme="minorHAnsi"/>
          <w:bCs/>
          <w:sz w:val="22"/>
          <w:szCs w:val="22"/>
        </w:rPr>
      </w:pPr>
      <w:r w:rsidRPr="00652FC1">
        <w:rPr>
          <w:rFonts w:asciiTheme="minorHAnsi" w:hAnsiTheme="minorHAnsi" w:cstheme="minorHAnsi"/>
          <w:bCs/>
          <w:sz w:val="22"/>
          <w:szCs w:val="22"/>
        </w:rPr>
        <w:t xml:space="preserve">No ano de 2025, o número de participantes foi inferior ao de 2024, de 39 para 24, e o número de horas de formação teve uma diminuição em cerca de 66% face ao ano anterior, que passou de 871 horas para 293 horas, tendo o seu investimento passado de </w:t>
      </w:r>
      <w:r w:rsidR="00EE10E5">
        <w:rPr>
          <w:rFonts w:asciiTheme="minorHAnsi" w:hAnsiTheme="minorHAnsi" w:cstheme="minorHAnsi"/>
          <w:bCs/>
          <w:sz w:val="22"/>
          <w:szCs w:val="22"/>
        </w:rPr>
        <w:t xml:space="preserve">€ </w:t>
      </w:r>
      <w:r w:rsidRPr="00652FC1">
        <w:rPr>
          <w:rFonts w:asciiTheme="minorHAnsi" w:hAnsiTheme="minorHAnsi" w:cstheme="minorHAnsi"/>
          <w:bCs/>
          <w:sz w:val="22"/>
          <w:szCs w:val="22"/>
        </w:rPr>
        <w:t xml:space="preserve">37.255, para </w:t>
      </w:r>
      <w:r w:rsidR="00EE10E5">
        <w:rPr>
          <w:rFonts w:asciiTheme="minorHAnsi" w:hAnsiTheme="minorHAnsi" w:cstheme="minorHAnsi"/>
          <w:bCs/>
          <w:sz w:val="22"/>
          <w:szCs w:val="22"/>
        </w:rPr>
        <w:t xml:space="preserve">€ </w:t>
      </w:r>
      <w:r w:rsidRPr="00652FC1">
        <w:rPr>
          <w:rFonts w:asciiTheme="minorHAnsi" w:hAnsiTheme="minorHAnsi" w:cstheme="minorHAnsi"/>
          <w:bCs/>
          <w:sz w:val="22"/>
          <w:szCs w:val="22"/>
        </w:rPr>
        <w:t>8.617.</w:t>
      </w:r>
    </w:p>
    <w:p w14:paraId="2BFDCB90" w14:textId="77777777" w:rsidR="00652FC1" w:rsidRPr="00652FC1" w:rsidRDefault="00652FC1" w:rsidP="00652FC1">
      <w:pPr>
        <w:jc w:val="both"/>
        <w:rPr>
          <w:rFonts w:asciiTheme="minorHAnsi" w:hAnsiTheme="minorHAnsi" w:cstheme="minorHAnsi"/>
          <w:bCs/>
          <w:sz w:val="22"/>
          <w:szCs w:val="22"/>
        </w:rPr>
      </w:pPr>
    </w:p>
    <w:p w14:paraId="427725C5" w14:textId="77777777" w:rsidR="00652FC1" w:rsidRPr="00652FC1" w:rsidRDefault="00652FC1" w:rsidP="00652FC1">
      <w:pPr>
        <w:jc w:val="both"/>
        <w:rPr>
          <w:rFonts w:asciiTheme="minorHAnsi" w:hAnsiTheme="minorHAnsi" w:cstheme="minorHAnsi"/>
          <w:bCs/>
          <w:sz w:val="22"/>
          <w:szCs w:val="22"/>
        </w:rPr>
      </w:pPr>
      <w:r w:rsidRPr="00652FC1">
        <w:rPr>
          <w:rFonts w:asciiTheme="minorHAnsi" w:hAnsiTheme="minorHAnsi" w:cstheme="minorHAnsi"/>
          <w:bCs/>
          <w:sz w:val="22"/>
          <w:szCs w:val="22"/>
        </w:rPr>
        <w:t>Ainda assim, as ações de formação efetuadas permitiram dar resposta a necessidades decorrentes da rotação de colaboradores(as) dentro das diversas áreas da empresa, bem como às formações obrigatórias por lei, nomeadamente no âmbito do combate ao “Branqueamento de Capitais e Financiamento ao Terrorismo” e sempre que as funções exercidas pelos(as) colaboradores(as) o exijam, assim como as respetivas atualizações.</w:t>
      </w:r>
    </w:p>
    <w:p w14:paraId="6FF0DF93" w14:textId="77777777" w:rsidR="00652FC1" w:rsidRPr="00652FC1" w:rsidRDefault="00652FC1" w:rsidP="00652FC1">
      <w:pPr>
        <w:jc w:val="both"/>
        <w:rPr>
          <w:rFonts w:asciiTheme="minorHAnsi" w:hAnsiTheme="minorHAnsi" w:cstheme="minorHAnsi"/>
          <w:bCs/>
          <w:sz w:val="22"/>
          <w:szCs w:val="22"/>
        </w:rPr>
      </w:pPr>
    </w:p>
    <w:p w14:paraId="06BE0D3B" w14:textId="77777777" w:rsidR="00652FC1" w:rsidRPr="00652FC1" w:rsidRDefault="00652FC1" w:rsidP="00652FC1">
      <w:pPr>
        <w:jc w:val="both"/>
        <w:rPr>
          <w:rFonts w:asciiTheme="minorHAnsi" w:hAnsiTheme="minorHAnsi" w:cstheme="minorHAnsi"/>
          <w:bCs/>
          <w:sz w:val="22"/>
          <w:szCs w:val="22"/>
        </w:rPr>
      </w:pPr>
      <w:r w:rsidRPr="008D13D6">
        <w:rPr>
          <w:rFonts w:asciiTheme="minorHAnsi" w:hAnsiTheme="minorHAnsi" w:cstheme="minorHAnsi"/>
          <w:bCs/>
          <w:sz w:val="22"/>
          <w:szCs w:val="22"/>
        </w:rPr>
        <w:t xml:space="preserve">A PARVALOREM tem publicado no seu sítio da Internet o Relatório de </w:t>
      </w:r>
      <w:r w:rsidRPr="008D13D6">
        <w:rPr>
          <w:rFonts w:asciiTheme="minorHAnsi" w:hAnsiTheme="minorHAnsi" w:cstheme="minorHAnsi"/>
          <w:bCs/>
          <w:sz w:val="22"/>
          <w:szCs w:val="22"/>
          <w:shd w:val="clear" w:color="auto" w:fill="FFFFFF" w:themeFill="background1"/>
        </w:rPr>
        <w:t>Diagnóstico 2023/2024 e Plano para a Igualdade 2025. Face ao seu enquadramento e vicissitudes inerentes às de uma empresa em Reestruturação e Reclassificada, do Setor Empresarial do Estado, que obedece à</w:t>
      </w:r>
      <w:r w:rsidRPr="00652FC1">
        <w:rPr>
          <w:rFonts w:asciiTheme="minorHAnsi" w:hAnsiTheme="minorHAnsi" w:cstheme="minorHAnsi"/>
          <w:bCs/>
          <w:sz w:val="22"/>
          <w:szCs w:val="22"/>
        </w:rPr>
        <w:t xml:space="preserve"> disciplina orçamental, não tem condições para aplicar todas as imposições legais aplicáveis no Plano da Igualdade, mas garante a não discriminação, a igualdade de oportunidades no trabalho, no acesso à formação, nas avaliações de desempenho e na mobilidade interna.</w:t>
      </w:r>
    </w:p>
    <w:p w14:paraId="7126D25E" w14:textId="77777777" w:rsidR="00DE20FE" w:rsidRDefault="00DE20FE" w:rsidP="00C93B74">
      <w:pPr>
        <w:jc w:val="both"/>
        <w:rPr>
          <w:rFonts w:asciiTheme="minorHAnsi" w:hAnsiTheme="minorHAnsi" w:cstheme="minorHAnsi"/>
          <w:sz w:val="22"/>
          <w:szCs w:val="22"/>
        </w:rPr>
      </w:pPr>
    </w:p>
    <w:p w14:paraId="04E28706" w14:textId="77777777" w:rsidR="00E864EA" w:rsidRDefault="00E864EA">
      <w:pPr>
        <w:rPr>
          <w:rFonts w:asciiTheme="minorHAnsi" w:hAnsiTheme="minorHAnsi" w:cstheme="minorHAnsi"/>
          <w:b/>
          <w:bCs/>
          <w:iCs/>
          <w:sz w:val="22"/>
          <w:szCs w:val="22"/>
          <w:lang w:eastAsia="en-US"/>
        </w:rPr>
      </w:pPr>
      <w:bookmarkStart w:id="33" w:name="_Toc163060205"/>
      <w:bookmarkStart w:id="34" w:name="_Hlk71942444"/>
      <w:r>
        <w:rPr>
          <w:rFonts w:asciiTheme="minorHAnsi" w:hAnsiTheme="minorHAnsi" w:cstheme="minorHAnsi"/>
          <w:bCs/>
          <w:iCs/>
          <w:sz w:val="22"/>
          <w:szCs w:val="22"/>
        </w:rPr>
        <w:br w:type="page"/>
      </w:r>
    </w:p>
    <w:p w14:paraId="7C4A9CC4" w14:textId="60F728BB" w:rsidR="00C93B74" w:rsidRPr="005E051E" w:rsidRDefault="00C93B74" w:rsidP="00C93B74">
      <w:pPr>
        <w:pStyle w:val="Ttulo2"/>
        <w:tabs>
          <w:tab w:val="clear" w:pos="426"/>
          <w:tab w:val="clear" w:pos="567"/>
          <w:tab w:val="clear" w:pos="3969"/>
          <w:tab w:val="clear" w:pos="4962"/>
          <w:tab w:val="clear" w:pos="6096"/>
          <w:tab w:val="clear" w:pos="7230"/>
          <w:tab w:val="clear" w:pos="8222"/>
        </w:tabs>
        <w:ind w:left="0" w:right="-340" w:firstLine="0"/>
        <w:jc w:val="left"/>
        <w:rPr>
          <w:rFonts w:asciiTheme="minorHAnsi" w:hAnsiTheme="minorHAnsi" w:cstheme="minorHAnsi"/>
          <w:bCs/>
          <w:iCs/>
          <w:color w:val="FF0000"/>
          <w:sz w:val="22"/>
          <w:szCs w:val="22"/>
        </w:rPr>
      </w:pPr>
      <w:bookmarkStart w:id="35" w:name="_Toc221618459"/>
      <w:r>
        <w:rPr>
          <w:rFonts w:asciiTheme="minorHAnsi" w:hAnsiTheme="minorHAnsi" w:cstheme="minorHAnsi"/>
          <w:bCs/>
          <w:iCs/>
          <w:sz w:val="22"/>
          <w:szCs w:val="22"/>
        </w:rPr>
        <w:lastRenderedPageBreak/>
        <w:t>1</w:t>
      </w:r>
      <w:r w:rsidRPr="009A4D5D">
        <w:rPr>
          <w:rFonts w:asciiTheme="minorHAnsi" w:hAnsiTheme="minorHAnsi" w:cstheme="minorHAnsi"/>
          <w:bCs/>
          <w:iCs/>
          <w:sz w:val="22"/>
          <w:szCs w:val="22"/>
        </w:rPr>
        <w:t>.</w:t>
      </w:r>
      <w:r w:rsidR="007868D8">
        <w:rPr>
          <w:rFonts w:asciiTheme="minorHAnsi" w:hAnsiTheme="minorHAnsi" w:cstheme="minorHAnsi"/>
          <w:bCs/>
          <w:iCs/>
          <w:sz w:val="22"/>
          <w:szCs w:val="22"/>
        </w:rPr>
        <w:t>5</w:t>
      </w:r>
      <w:r w:rsidRPr="009A4D5D">
        <w:rPr>
          <w:rFonts w:asciiTheme="minorHAnsi" w:hAnsiTheme="minorHAnsi" w:cstheme="minorHAnsi"/>
          <w:bCs/>
          <w:iCs/>
          <w:sz w:val="22"/>
          <w:szCs w:val="22"/>
        </w:rPr>
        <w:t xml:space="preserve"> </w:t>
      </w:r>
      <w:r>
        <w:rPr>
          <w:rFonts w:asciiTheme="minorHAnsi" w:hAnsiTheme="minorHAnsi" w:cstheme="minorHAnsi"/>
          <w:bCs/>
          <w:iCs/>
          <w:sz w:val="22"/>
          <w:szCs w:val="22"/>
        </w:rPr>
        <w:t xml:space="preserve">Sustentabilidade </w:t>
      </w:r>
      <w:r w:rsidRPr="000061B2">
        <w:rPr>
          <w:rFonts w:asciiTheme="minorHAnsi" w:hAnsiTheme="minorHAnsi" w:cstheme="minorHAnsi"/>
          <w:bCs/>
          <w:iCs/>
          <w:sz w:val="22"/>
          <w:szCs w:val="22"/>
        </w:rPr>
        <w:t xml:space="preserve">da </w:t>
      </w:r>
      <w:r>
        <w:rPr>
          <w:rFonts w:asciiTheme="minorHAnsi" w:hAnsiTheme="minorHAnsi" w:cstheme="minorHAnsi"/>
          <w:bCs/>
          <w:iCs/>
          <w:sz w:val="22"/>
          <w:szCs w:val="22"/>
        </w:rPr>
        <w:t>Empresa</w:t>
      </w:r>
      <w:r w:rsidRPr="000061B2">
        <w:rPr>
          <w:rFonts w:asciiTheme="minorHAnsi" w:hAnsiTheme="minorHAnsi" w:cstheme="minorHAnsi"/>
          <w:bCs/>
          <w:iCs/>
          <w:sz w:val="22"/>
          <w:szCs w:val="22"/>
        </w:rPr>
        <w:t xml:space="preserve"> nos Domínios Económico, Social e Ambiental</w:t>
      </w:r>
      <w:bookmarkEnd w:id="33"/>
      <w:bookmarkEnd w:id="35"/>
    </w:p>
    <w:p w14:paraId="556D0BB4" w14:textId="77777777" w:rsidR="00C93B74" w:rsidRDefault="00C93B74" w:rsidP="00C93B74">
      <w:pPr>
        <w:rPr>
          <w:rFonts w:asciiTheme="minorHAnsi" w:hAnsiTheme="minorHAnsi" w:cstheme="minorHAnsi"/>
          <w:b/>
          <w:bCs/>
          <w:iCs/>
          <w:sz w:val="22"/>
          <w:szCs w:val="22"/>
          <w:lang w:eastAsia="en-US"/>
        </w:rPr>
      </w:pPr>
    </w:p>
    <w:p w14:paraId="5366E603" w14:textId="77777777" w:rsidR="00C93B74" w:rsidRPr="001C0D54" w:rsidRDefault="00C93B74" w:rsidP="00C93B74">
      <w:pPr>
        <w:jc w:val="both"/>
        <w:rPr>
          <w:rFonts w:asciiTheme="minorHAnsi" w:eastAsiaTheme="minorHAnsi" w:hAnsiTheme="minorHAnsi" w:cstheme="minorHAnsi"/>
          <w:kern w:val="22"/>
          <w:sz w:val="22"/>
          <w:szCs w:val="22"/>
          <w:lang w:eastAsia="en-US"/>
        </w:rPr>
      </w:pPr>
      <w:r w:rsidRPr="001C0D54">
        <w:rPr>
          <w:rFonts w:asciiTheme="minorHAnsi" w:eastAsiaTheme="minorHAnsi" w:hAnsiTheme="minorHAnsi" w:cstheme="minorHAnsi"/>
          <w:kern w:val="22"/>
          <w:sz w:val="22"/>
          <w:szCs w:val="22"/>
          <w:lang w:eastAsia="en-US"/>
        </w:rPr>
        <w:t>A PARVALOREM foi criada por decisão do Estado Português para adquirir e gerir uma tipologia de ativos caraterizados por uma reduzida liquidez e de difícil recuperação.</w:t>
      </w:r>
    </w:p>
    <w:p w14:paraId="2D92D0F7" w14:textId="77777777" w:rsidR="00C93B74" w:rsidRPr="001C0D54" w:rsidRDefault="00C93B74" w:rsidP="00C93B74">
      <w:pPr>
        <w:jc w:val="both"/>
        <w:rPr>
          <w:rFonts w:asciiTheme="minorHAnsi" w:eastAsiaTheme="minorHAnsi" w:hAnsiTheme="minorHAnsi" w:cstheme="minorHAnsi"/>
          <w:kern w:val="22"/>
          <w:sz w:val="22"/>
          <w:szCs w:val="22"/>
          <w:lang w:eastAsia="en-US"/>
        </w:rPr>
      </w:pPr>
    </w:p>
    <w:p w14:paraId="74675F55" w14:textId="77777777" w:rsidR="00C93B74" w:rsidRPr="00586246" w:rsidRDefault="00C93B74" w:rsidP="00C93B74">
      <w:pPr>
        <w:jc w:val="both"/>
        <w:rPr>
          <w:rFonts w:asciiTheme="minorHAnsi" w:hAnsiTheme="minorHAnsi" w:cstheme="minorHAnsi"/>
          <w:bCs/>
          <w:sz w:val="22"/>
          <w:szCs w:val="22"/>
        </w:rPr>
      </w:pPr>
      <w:r w:rsidRPr="001C0D54">
        <w:rPr>
          <w:rFonts w:asciiTheme="minorHAnsi" w:eastAsiaTheme="minorHAnsi" w:hAnsiTheme="minorHAnsi" w:cstheme="minorHAnsi"/>
          <w:kern w:val="22"/>
          <w:sz w:val="22"/>
          <w:szCs w:val="22"/>
          <w:lang w:eastAsia="en-US"/>
        </w:rPr>
        <w:t xml:space="preserve">O objetivo da Sociedade centra-se na alienação/recuperação desses ativos, tão breve quanto possível, com todas as contingências que lhe estão associadas </w:t>
      </w:r>
      <w:r>
        <w:rPr>
          <w:rFonts w:asciiTheme="minorHAnsi" w:eastAsiaTheme="minorHAnsi" w:hAnsiTheme="minorHAnsi" w:cstheme="minorHAnsi"/>
          <w:kern w:val="22"/>
          <w:sz w:val="22"/>
          <w:szCs w:val="22"/>
          <w:lang w:eastAsia="en-US"/>
        </w:rPr>
        <w:t>-</w:t>
      </w:r>
      <w:r w:rsidRPr="001C0D54">
        <w:rPr>
          <w:rFonts w:asciiTheme="minorHAnsi" w:eastAsiaTheme="minorHAnsi" w:hAnsiTheme="minorHAnsi" w:cstheme="minorHAnsi"/>
          <w:kern w:val="22"/>
          <w:sz w:val="22"/>
          <w:szCs w:val="22"/>
          <w:lang w:eastAsia="en-US"/>
        </w:rPr>
        <w:t xml:space="preserve"> legais, ambientais e económicas </w:t>
      </w:r>
      <w:r w:rsidRPr="00586246">
        <w:rPr>
          <w:rFonts w:asciiTheme="minorHAnsi" w:hAnsiTheme="minorHAnsi" w:cstheme="minorHAnsi"/>
          <w:bCs/>
          <w:sz w:val="22"/>
          <w:szCs w:val="22"/>
        </w:rPr>
        <w:t>-, dadas as elevadas imparidades que incorporam, tornando assim muito difícil a recuperação/alienação sem perdas associadas.</w:t>
      </w:r>
    </w:p>
    <w:p w14:paraId="3CC12449" w14:textId="77777777" w:rsidR="00C93B74" w:rsidRPr="00586246" w:rsidRDefault="00C93B74" w:rsidP="00C93B74">
      <w:pPr>
        <w:jc w:val="both"/>
        <w:rPr>
          <w:rFonts w:asciiTheme="minorHAnsi" w:hAnsiTheme="minorHAnsi" w:cstheme="minorHAnsi"/>
          <w:bCs/>
          <w:sz w:val="22"/>
          <w:szCs w:val="22"/>
        </w:rPr>
      </w:pPr>
    </w:p>
    <w:p w14:paraId="5899C748" w14:textId="77777777" w:rsidR="00C93B74" w:rsidRPr="00586246" w:rsidRDefault="00C93B74" w:rsidP="00C93B74">
      <w:pPr>
        <w:jc w:val="both"/>
        <w:rPr>
          <w:rFonts w:asciiTheme="minorHAnsi" w:hAnsiTheme="minorHAnsi" w:cstheme="minorHAnsi"/>
          <w:bCs/>
          <w:sz w:val="22"/>
          <w:szCs w:val="22"/>
        </w:rPr>
      </w:pPr>
      <w:r w:rsidRPr="00586246">
        <w:rPr>
          <w:rFonts w:asciiTheme="minorHAnsi" w:hAnsiTheme="minorHAnsi" w:cstheme="minorHAnsi"/>
          <w:bCs/>
          <w:sz w:val="22"/>
          <w:szCs w:val="22"/>
        </w:rPr>
        <w:t>Assim, a PARVALOREM é uma empresa com um enquadramento muito particular, e que resulta da segregação e transferência, para a mesma, de ativos do balanço do BPN. Neste sentido, a empresa tem um objetivo muito específico que, uma vez cumprido, conduzirá à sua liquidação.</w:t>
      </w:r>
    </w:p>
    <w:p w14:paraId="1E7EE8EE" w14:textId="77777777" w:rsidR="00C93B74" w:rsidRPr="00586246" w:rsidRDefault="00C93B74" w:rsidP="00C93B74">
      <w:pPr>
        <w:jc w:val="both"/>
        <w:rPr>
          <w:rFonts w:asciiTheme="minorHAnsi" w:hAnsiTheme="minorHAnsi" w:cstheme="minorHAnsi"/>
          <w:bCs/>
          <w:sz w:val="22"/>
          <w:szCs w:val="22"/>
        </w:rPr>
      </w:pPr>
    </w:p>
    <w:p w14:paraId="05BAA8CA" w14:textId="77777777" w:rsidR="00C93B74" w:rsidRPr="00586246" w:rsidRDefault="00C93B74" w:rsidP="00C93B74">
      <w:pPr>
        <w:jc w:val="both"/>
        <w:rPr>
          <w:rFonts w:asciiTheme="minorHAnsi" w:hAnsiTheme="minorHAnsi" w:cstheme="minorHAnsi"/>
          <w:bCs/>
          <w:sz w:val="22"/>
          <w:szCs w:val="22"/>
        </w:rPr>
      </w:pPr>
      <w:r w:rsidRPr="00586246">
        <w:rPr>
          <w:rFonts w:asciiTheme="minorHAnsi" w:hAnsiTheme="minorHAnsi" w:cstheme="minorHAnsi"/>
          <w:bCs/>
          <w:sz w:val="22"/>
          <w:szCs w:val="22"/>
        </w:rPr>
        <w:t>Não sendo uma empresa sustentável, desde 2012, tem vindo a reduzir os seus custos na medida das restrições a que se encontra sujeita.</w:t>
      </w:r>
    </w:p>
    <w:p w14:paraId="64E9F4F1" w14:textId="77777777" w:rsidR="00C93B74" w:rsidRPr="00586246" w:rsidRDefault="00C93B74" w:rsidP="00C93B74">
      <w:pPr>
        <w:jc w:val="both"/>
        <w:rPr>
          <w:rFonts w:asciiTheme="minorHAnsi" w:hAnsiTheme="minorHAnsi" w:cstheme="minorHAnsi"/>
          <w:bCs/>
          <w:sz w:val="22"/>
          <w:szCs w:val="22"/>
        </w:rPr>
      </w:pPr>
    </w:p>
    <w:p w14:paraId="7E66BE27" w14:textId="77777777" w:rsidR="00C93B74" w:rsidRPr="00586246" w:rsidRDefault="00C93B74" w:rsidP="00C93B74">
      <w:pPr>
        <w:jc w:val="both"/>
        <w:rPr>
          <w:rFonts w:asciiTheme="minorHAnsi" w:hAnsiTheme="minorHAnsi" w:cstheme="minorHAnsi"/>
          <w:bCs/>
          <w:sz w:val="22"/>
          <w:szCs w:val="22"/>
        </w:rPr>
      </w:pPr>
      <w:r w:rsidRPr="00586246">
        <w:rPr>
          <w:rFonts w:asciiTheme="minorHAnsi" w:hAnsiTheme="minorHAnsi" w:cstheme="minorHAnsi"/>
          <w:bCs/>
          <w:sz w:val="22"/>
          <w:szCs w:val="22"/>
        </w:rPr>
        <w:t xml:space="preserve">A análise da sustentabilidade económica da empresa terá de ter em conta a missão atribuída pelo acionista único, o Estado, à PARVALOREM, bem como a sua forte ligação ao esforço desenvolvido pela empresa na prossecução de uma adequada gestão dos ativos sob gestão. </w:t>
      </w:r>
    </w:p>
    <w:p w14:paraId="4699E0FE" w14:textId="77777777" w:rsidR="00C93B74" w:rsidRPr="00586246" w:rsidRDefault="00C93B74" w:rsidP="00C93B74">
      <w:pPr>
        <w:jc w:val="both"/>
        <w:rPr>
          <w:rFonts w:asciiTheme="minorHAnsi" w:hAnsiTheme="minorHAnsi" w:cstheme="minorHAnsi"/>
          <w:bCs/>
          <w:sz w:val="22"/>
          <w:szCs w:val="22"/>
        </w:rPr>
      </w:pPr>
    </w:p>
    <w:p w14:paraId="18594FCF" w14:textId="77777777" w:rsidR="00C93B74" w:rsidRPr="00586246" w:rsidRDefault="00C93B74" w:rsidP="00C93B74">
      <w:pPr>
        <w:jc w:val="both"/>
        <w:rPr>
          <w:rFonts w:asciiTheme="minorHAnsi" w:hAnsiTheme="minorHAnsi" w:cstheme="minorHAnsi"/>
          <w:bCs/>
          <w:sz w:val="22"/>
          <w:szCs w:val="22"/>
        </w:rPr>
      </w:pPr>
      <w:r w:rsidRPr="00586246">
        <w:rPr>
          <w:rFonts w:asciiTheme="minorHAnsi" w:hAnsiTheme="minorHAnsi" w:cstheme="minorHAnsi"/>
          <w:bCs/>
          <w:sz w:val="22"/>
          <w:szCs w:val="22"/>
        </w:rPr>
        <w:t>A capacidade da PARVALOREM promover a recuperação da carteira de créditos, a adequada gestão dos ativos tomados por dação em cumprimento, bem como a capacidade de encontrar soluções para o seu escoamento são fatores determinantes para a sustentabilidade económica.</w:t>
      </w:r>
    </w:p>
    <w:p w14:paraId="35578261" w14:textId="77777777" w:rsidR="00C93B74" w:rsidRPr="00586246" w:rsidRDefault="00C93B74" w:rsidP="00C93B74">
      <w:pPr>
        <w:jc w:val="both"/>
        <w:rPr>
          <w:rFonts w:asciiTheme="minorHAnsi" w:hAnsiTheme="minorHAnsi" w:cstheme="minorHAnsi"/>
          <w:bCs/>
          <w:sz w:val="22"/>
          <w:szCs w:val="22"/>
        </w:rPr>
      </w:pPr>
    </w:p>
    <w:p w14:paraId="79319655" w14:textId="77777777" w:rsidR="00C93B74" w:rsidRPr="00586246" w:rsidRDefault="00C93B74" w:rsidP="00C93B74">
      <w:pPr>
        <w:jc w:val="both"/>
        <w:rPr>
          <w:rFonts w:asciiTheme="minorHAnsi" w:hAnsiTheme="minorHAnsi" w:cstheme="minorHAnsi"/>
          <w:bCs/>
          <w:sz w:val="22"/>
          <w:szCs w:val="22"/>
        </w:rPr>
      </w:pPr>
      <w:r w:rsidRPr="00586246">
        <w:rPr>
          <w:rFonts w:asciiTheme="minorHAnsi" w:hAnsiTheme="minorHAnsi" w:cstheme="minorHAnsi"/>
          <w:bCs/>
          <w:sz w:val="22"/>
          <w:szCs w:val="22"/>
        </w:rPr>
        <w:t>Neste sentido, no contexto da ponderação estratégica efetuada, identifica-se como determinante para a sustentabilidade económica da PARVALOREM:</w:t>
      </w:r>
    </w:p>
    <w:p w14:paraId="7E612593" w14:textId="77777777" w:rsidR="00C93B74" w:rsidRPr="00586246" w:rsidRDefault="00C93B74" w:rsidP="00C93B74">
      <w:pPr>
        <w:jc w:val="both"/>
        <w:rPr>
          <w:rFonts w:asciiTheme="minorHAnsi" w:hAnsiTheme="minorHAnsi" w:cstheme="minorHAnsi"/>
          <w:bCs/>
          <w:sz w:val="22"/>
          <w:szCs w:val="22"/>
        </w:rPr>
      </w:pPr>
    </w:p>
    <w:p w14:paraId="6FEB6B6A" w14:textId="32823236" w:rsidR="00C93B74" w:rsidRPr="00586246" w:rsidRDefault="00C93B74" w:rsidP="00586246">
      <w:pPr>
        <w:ind w:firstLine="284"/>
        <w:jc w:val="both"/>
        <w:rPr>
          <w:rFonts w:asciiTheme="minorHAnsi" w:hAnsiTheme="minorHAnsi" w:cstheme="minorHAnsi"/>
          <w:bCs/>
          <w:sz w:val="22"/>
          <w:szCs w:val="22"/>
        </w:rPr>
      </w:pPr>
      <w:r w:rsidRPr="008C75A8">
        <w:rPr>
          <w:rFonts w:asciiTheme="minorHAnsi" w:hAnsiTheme="minorHAnsi" w:cstheme="minorHAnsi"/>
          <w:bCs/>
          <w:sz w:val="22"/>
          <w:szCs w:val="22"/>
        </w:rPr>
        <w:t>•</w:t>
      </w:r>
      <w:r w:rsidRPr="003F4C7C">
        <w:rPr>
          <w:rFonts w:asciiTheme="minorHAnsi" w:hAnsiTheme="minorHAnsi" w:cstheme="minorHAnsi"/>
          <w:bCs/>
          <w:sz w:val="22"/>
          <w:szCs w:val="22"/>
        </w:rPr>
        <w:tab/>
        <w:t>A capacidade de assegurar uma eficaz e eficiente recuperação dos créditos através da</w:t>
      </w:r>
      <w:r w:rsidRPr="00421CD8">
        <w:rPr>
          <w:rFonts w:asciiTheme="minorHAnsi" w:hAnsiTheme="minorHAnsi" w:cstheme="minorHAnsi"/>
          <w:bCs/>
          <w:sz w:val="22"/>
          <w:szCs w:val="22"/>
        </w:rPr>
        <w:t xml:space="preserve"> gestão interna</w:t>
      </w:r>
      <w:r w:rsidR="00742F7A">
        <w:rPr>
          <w:rFonts w:asciiTheme="minorHAnsi" w:hAnsiTheme="minorHAnsi" w:cstheme="minorHAnsi"/>
          <w:bCs/>
          <w:sz w:val="22"/>
          <w:szCs w:val="22"/>
        </w:rPr>
        <w:t>;</w:t>
      </w:r>
    </w:p>
    <w:p w14:paraId="3584BAD1" w14:textId="77777777" w:rsidR="00C93B74" w:rsidRPr="00586246" w:rsidRDefault="00C93B74" w:rsidP="00586246">
      <w:pPr>
        <w:ind w:firstLine="284"/>
        <w:jc w:val="both"/>
        <w:rPr>
          <w:rFonts w:asciiTheme="minorHAnsi" w:hAnsiTheme="minorHAnsi" w:cstheme="minorHAnsi"/>
          <w:bCs/>
          <w:sz w:val="22"/>
          <w:szCs w:val="22"/>
        </w:rPr>
      </w:pPr>
    </w:p>
    <w:p w14:paraId="3FFFC0C3" w14:textId="77777777" w:rsidR="00C93B74" w:rsidRPr="00586246" w:rsidRDefault="00C93B74" w:rsidP="00586246">
      <w:pPr>
        <w:ind w:firstLine="284"/>
        <w:jc w:val="both"/>
        <w:rPr>
          <w:rFonts w:asciiTheme="minorHAnsi" w:hAnsiTheme="minorHAnsi" w:cstheme="minorHAnsi"/>
          <w:bCs/>
          <w:sz w:val="22"/>
          <w:szCs w:val="22"/>
        </w:rPr>
      </w:pPr>
      <w:r w:rsidRPr="00586246">
        <w:rPr>
          <w:rFonts w:asciiTheme="minorHAnsi" w:hAnsiTheme="minorHAnsi" w:cstheme="minorHAnsi"/>
          <w:bCs/>
          <w:sz w:val="22"/>
          <w:szCs w:val="22"/>
        </w:rPr>
        <w:t>•</w:t>
      </w:r>
      <w:r w:rsidRPr="00586246">
        <w:rPr>
          <w:rFonts w:asciiTheme="minorHAnsi" w:hAnsiTheme="minorHAnsi" w:cstheme="minorHAnsi"/>
          <w:bCs/>
          <w:sz w:val="22"/>
          <w:szCs w:val="22"/>
        </w:rPr>
        <w:tab/>
        <w:t>O esforço contínuo de racionalização e otimização da estrutura de funcionamento com o objetivo, em particular, da constante redução de custos operacionais.</w:t>
      </w:r>
    </w:p>
    <w:p w14:paraId="5192D4B4" w14:textId="77777777" w:rsidR="00C93B74" w:rsidRPr="00586246" w:rsidRDefault="00C93B74" w:rsidP="00C93B74">
      <w:pPr>
        <w:jc w:val="both"/>
        <w:rPr>
          <w:rFonts w:asciiTheme="minorHAnsi" w:hAnsiTheme="minorHAnsi" w:cstheme="minorHAnsi"/>
          <w:bCs/>
          <w:sz w:val="22"/>
          <w:szCs w:val="22"/>
        </w:rPr>
      </w:pPr>
    </w:p>
    <w:p w14:paraId="08F6CB65" w14:textId="3522A85F" w:rsidR="00C93B74" w:rsidRPr="00586246" w:rsidRDefault="00C93B74" w:rsidP="00C93B74">
      <w:pPr>
        <w:jc w:val="both"/>
        <w:rPr>
          <w:rFonts w:asciiTheme="minorHAnsi" w:hAnsiTheme="minorHAnsi" w:cstheme="minorHAnsi"/>
          <w:bCs/>
          <w:sz w:val="22"/>
          <w:szCs w:val="22"/>
        </w:rPr>
      </w:pPr>
      <w:r w:rsidRPr="00586246">
        <w:rPr>
          <w:rFonts w:asciiTheme="minorHAnsi" w:hAnsiTheme="minorHAnsi" w:cstheme="minorHAnsi"/>
          <w:bCs/>
          <w:sz w:val="22"/>
          <w:szCs w:val="22"/>
        </w:rPr>
        <w:t>Relativamente à sustentabilidade no domínio social, a empresa trata com respeito e integridade todos os(as) colaboradores(as) e pauta-se pelo respeito dos direitos humanos e de não discriminação, bem como pelo cumprimento de todas as normas de âmbito laboral e, designadamente, aquelas associadas à posição de empregadora dos(as) colaboradores(as) anteriormente afetos à Direção de Meios do BPN que assumiu por via do contrato de trespasse com o BPN, em 10 de fevereiro de 2012. A PARVALOREM valoriza e promove iniciativas de fomento da empregabilidade, designadamente, (i) incentivando a rotação de colaboradores(as) entre áreas, tendo em vista incrementar conhecimento, criar novas valências e motivar os colaboradores(as), (</w:t>
      </w:r>
      <w:proofErr w:type="spellStart"/>
      <w:r w:rsidRPr="00586246">
        <w:rPr>
          <w:rFonts w:asciiTheme="minorHAnsi" w:hAnsiTheme="minorHAnsi" w:cstheme="minorHAnsi"/>
          <w:bCs/>
          <w:sz w:val="22"/>
          <w:szCs w:val="22"/>
        </w:rPr>
        <w:t>ii</w:t>
      </w:r>
      <w:proofErr w:type="spellEnd"/>
      <w:r w:rsidRPr="00586246">
        <w:rPr>
          <w:rFonts w:asciiTheme="minorHAnsi" w:hAnsiTheme="minorHAnsi" w:cstheme="minorHAnsi"/>
          <w:bCs/>
          <w:sz w:val="22"/>
          <w:szCs w:val="22"/>
        </w:rPr>
        <w:t xml:space="preserve">) privilegiando a celebração ou reequacionamento de contratos de prestações de serviço que possam envolver a transferência, com </w:t>
      </w:r>
      <w:r w:rsidR="006866A9" w:rsidRPr="00586246">
        <w:rPr>
          <w:rFonts w:asciiTheme="minorHAnsi" w:hAnsiTheme="minorHAnsi" w:cstheme="minorHAnsi"/>
          <w:bCs/>
          <w:sz w:val="22"/>
          <w:szCs w:val="22"/>
        </w:rPr>
        <w:t>carácter</w:t>
      </w:r>
      <w:r w:rsidRPr="00586246">
        <w:rPr>
          <w:rFonts w:asciiTheme="minorHAnsi" w:hAnsiTheme="minorHAnsi" w:cstheme="minorHAnsi"/>
          <w:bCs/>
          <w:sz w:val="22"/>
          <w:szCs w:val="22"/>
        </w:rPr>
        <w:t xml:space="preserve"> definitivo, de recursos humanos da empresa para o prestador, e (</w:t>
      </w:r>
      <w:proofErr w:type="spellStart"/>
      <w:r w:rsidRPr="00586246">
        <w:rPr>
          <w:rFonts w:asciiTheme="minorHAnsi" w:hAnsiTheme="minorHAnsi" w:cstheme="minorHAnsi"/>
          <w:bCs/>
          <w:sz w:val="22"/>
          <w:szCs w:val="22"/>
        </w:rPr>
        <w:t>iii</w:t>
      </w:r>
      <w:proofErr w:type="spellEnd"/>
      <w:r w:rsidRPr="00586246">
        <w:rPr>
          <w:rFonts w:asciiTheme="minorHAnsi" w:hAnsiTheme="minorHAnsi" w:cstheme="minorHAnsi"/>
          <w:bCs/>
          <w:sz w:val="22"/>
          <w:szCs w:val="22"/>
        </w:rPr>
        <w:t>) identificando os perfis dos colaboradores(as), promovendo a divulgação de oportunidades profissionais e contribuindo para a procura de soluções de enquadramento funcional daqueles noutras entidades.</w:t>
      </w:r>
    </w:p>
    <w:p w14:paraId="7EE59889" w14:textId="77777777" w:rsidR="00C93B74" w:rsidRPr="001C0D54" w:rsidRDefault="00C93B74" w:rsidP="00C93B74">
      <w:pPr>
        <w:jc w:val="both"/>
        <w:rPr>
          <w:rFonts w:asciiTheme="minorHAnsi" w:eastAsiaTheme="minorHAnsi" w:hAnsiTheme="minorHAnsi" w:cstheme="minorHAnsi"/>
          <w:kern w:val="22"/>
          <w:sz w:val="22"/>
          <w:szCs w:val="22"/>
          <w:lang w:eastAsia="en-US"/>
        </w:rPr>
      </w:pPr>
    </w:p>
    <w:p w14:paraId="4919BE79" w14:textId="2A7C11B9" w:rsidR="00C93B74" w:rsidRDefault="00C93B74" w:rsidP="00C93B74">
      <w:pPr>
        <w:jc w:val="both"/>
        <w:rPr>
          <w:rFonts w:asciiTheme="minorHAnsi" w:eastAsiaTheme="minorHAnsi" w:hAnsiTheme="minorHAnsi" w:cstheme="minorHAnsi"/>
          <w:kern w:val="22"/>
          <w:sz w:val="22"/>
          <w:szCs w:val="22"/>
          <w:lang w:eastAsia="en-US"/>
        </w:rPr>
      </w:pPr>
      <w:r w:rsidRPr="001C0D54">
        <w:rPr>
          <w:rFonts w:asciiTheme="minorHAnsi" w:eastAsiaTheme="minorHAnsi" w:hAnsiTheme="minorHAnsi" w:cstheme="minorHAnsi"/>
          <w:kern w:val="22"/>
          <w:sz w:val="22"/>
          <w:szCs w:val="22"/>
          <w:lang w:eastAsia="en-US"/>
        </w:rPr>
        <w:t>Considerando a grande importância dos temas relacionados com a sustentabilidade ambiental, a empresa tem promovido a adoção de medidas que potenciam um conjunto de práticas eco sustentáveis e amigas do ambiente, procurando assim</w:t>
      </w:r>
      <w:r w:rsidR="005F0D46">
        <w:rPr>
          <w:rFonts w:asciiTheme="minorHAnsi" w:eastAsiaTheme="minorHAnsi" w:hAnsiTheme="minorHAnsi" w:cstheme="minorHAnsi"/>
          <w:kern w:val="22"/>
          <w:sz w:val="22"/>
          <w:szCs w:val="22"/>
          <w:lang w:eastAsia="en-US"/>
        </w:rPr>
        <w:t>,</w:t>
      </w:r>
      <w:r w:rsidRPr="001C0D54">
        <w:rPr>
          <w:rFonts w:asciiTheme="minorHAnsi" w:eastAsiaTheme="minorHAnsi" w:hAnsiTheme="minorHAnsi" w:cstheme="minorHAnsi"/>
          <w:kern w:val="22"/>
          <w:sz w:val="22"/>
          <w:szCs w:val="22"/>
          <w:lang w:eastAsia="en-US"/>
        </w:rPr>
        <w:t xml:space="preserve"> também, sensibilizar os</w:t>
      </w:r>
      <w:r>
        <w:rPr>
          <w:rFonts w:asciiTheme="minorHAnsi" w:eastAsiaTheme="minorHAnsi" w:hAnsiTheme="minorHAnsi" w:cstheme="minorHAnsi"/>
          <w:kern w:val="22"/>
          <w:sz w:val="22"/>
          <w:szCs w:val="22"/>
          <w:lang w:eastAsia="en-US"/>
        </w:rPr>
        <w:t>(as)</w:t>
      </w:r>
      <w:r w:rsidRPr="001C0D54">
        <w:rPr>
          <w:rFonts w:asciiTheme="minorHAnsi" w:eastAsiaTheme="minorHAnsi" w:hAnsiTheme="minorHAnsi" w:cstheme="minorHAnsi"/>
          <w:kern w:val="22"/>
          <w:sz w:val="22"/>
          <w:szCs w:val="22"/>
          <w:lang w:eastAsia="en-US"/>
        </w:rPr>
        <w:t xml:space="preserve"> seus</w:t>
      </w:r>
      <w:r>
        <w:rPr>
          <w:rFonts w:asciiTheme="minorHAnsi" w:eastAsiaTheme="minorHAnsi" w:hAnsiTheme="minorHAnsi" w:cstheme="minorHAnsi"/>
          <w:kern w:val="22"/>
          <w:sz w:val="22"/>
          <w:szCs w:val="22"/>
          <w:lang w:eastAsia="en-US"/>
        </w:rPr>
        <w:t xml:space="preserve">(suas) </w:t>
      </w:r>
      <w:r w:rsidRPr="001C0D54">
        <w:rPr>
          <w:rFonts w:asciiTheme="minorHAnsi" w:eastAsiaTheme="minorHAnsi" w:hAnsiTheme="minorHAnsi" w:cstheme="minorHAnsi"/>
          <w:kern w:val="22"/>
          <w:sz w:val="22"/>
          <w:szCs w:val="22"/>
          <w:lang w:eastAsia="en-US"/>
        </w:rPr>
        <w:t>colaboradores</w:t>
      </w:r>
      <w:r>
        <w:rPr>
          <w:rFonts w:asciiTheme="minorHAnsi" w:eastAsiaTheme="minorHAnsi" w:hAnsiTheme="minorHAnsi" w:cstheme="minorHAnsi"/>
          <w:kern w:val="22"/>
          <w:sz w:val="22"/>
          <w:szCs w:val="22"/>
          <w:lang w:eastAsia="en-US"/>
        </w:rPr>
        <w:t>(as)</w:t>
      </w:r>
      <w:r w:rsidRPr="001C0D54">
        <w:rPr>
          <w:rFonts w:asciiTheme="minorHAnsi" w:eastAsiaTheme="minorHAnsi" w:hAnsiTheme="minorHAnsi" w:cstheme="minorHAnsi"/>
          <w:kern w:val="22"/>
          <w:sz w:val="22"/>
          <w:szCs w:val="22"/>
          <w:lang w:eastAsia="en-US"/>
        </w:rPr>
        <w:t xml:space="preserve"> para a importância da assunção de um compromisso diário com o planeta.</w:t>
      </w:r>
    </w:p>
    <w:p w14:paraId="7BAD07C9" w14:textId="77777777" w:rsidR="00C93B74" w:rsidRDefault="00C93B74" w:rsidP="00C93B74">
      <w:pPr>
        <w:jc w:val="both"/>
        <w:rPr>
          <w:rFonts w:asciiTheme="minorHAnsi" w:eastAsiaTheme="minorHAnsi" w:hAnsiTheme="minorHAnsi" w:cstheme="minorHAnsi"/>
          <w:kern w:val="22"/>
          <w:sz w:val="22"/>
          <w:szCs w:val="22"/>
          <w:lang w:eastAsia="en-US"/>
        </w:rPr>
      </w:pPr>
    </w:p>
    <w:p w14:paraId="3810B670" w14:textId="77777777" w:rsidR="00C93B74" w:rsidRPr="00592D69" w:rsidRDefault="00C93B74" w:rsidP="00C93B74">
      <w:pPr>
        <w:jc w:val="both"/>
        <w:rPr>
          <w:rFonts w:asciiTheme="minorHAnsi" w:eastAsiaTheme="minorHAnsi" w:hAnsiTheme="minorHAnsi" w:cstheme="minorHAnsi"/>
          <w:kern w:val="22"/>
          <w:sz w:val="22"/>
          <w:szCs w:val="22"/>
          <w:lang w:eastAsia="en-US"/>
        </w:rPr>
      </w:pPr>
      <w:r w:rsidRPr="00592D69">
        <w:rPr>
          <w:rFonts w:asciiTheme="minorHAnsi" w:eastAsiaTheme="minorHAnsi" w:hAnsiTheme="minorHAnsi" w:cstheme="minorHAnsi"/>
          <w:kern w:val="22"/>
          <w:sz w:val="22"/>
          <w:szCs w:val="22"/>
          <w:lang w:eastAsia="en-US"/>
        </w:rPr>
        <w:t xml:space="preserve">A PARVALOREM procura assegurar a sua sustentabilidade ambiental prosseguindo uma política de compromisso de adoção de comportamentos ambientalmente adequados. </w:t>
      </w:r>
    </w:p>
    <w:p w14:paraId="7433A972" w14:textId="77777777" w:rsidR="00C93B74" w:rsidRPr="00592D69" w:rsidRDefault="00C93B74" w:rsidP="00C93B74">
      <w:pPr>
        <w:jc w:val="both"/>
        <w:rPr>
          <w:rFonts w:asciiTheme="minorHAnsi" w:eastAsiaTheme="minorHAnsi" w:hAnsiTheme="minorHAnsi" w:cstheme="minorHAnsi"/>
          <w:kern w:val="22"/>
          <w:sz w:val="22"/>
          <w:szCs w:val="22"/>
          <w:lang w:eastAsia="en-US"/>
        </w:rPr>
      </w:pPr>
    </w:p>
    <w:p w14:paraId="7CF8748B" w14:textId="77777777" w:rsidR="00C93B74" w:rsidRPr="00592D69" w:rsidRDefault="00C93B74" w:rsidP="00C93B74">
      <w:pPr>
        <w:jc w:val="both"/>
        <w:rPr>
          <w:rFonts w:asciiTheme="minorHAnsi" w:eastAsiaTheme="minorHAnsi" w:hAnsiTheme="minorHAnsi" w:cstheme="minorHAnsi"/>
          <w:kern w:val="22"/>
          <w:sz w:val="22"/>
          <w:szCs w:val="22"/>
          <w:lang w:eastAsia="en-US"/>
        </w:rPr>
      </w:pPr>
      <w:r w:rsidRPr="00592D69">
        <w:rPr>
          <w:rFonts w:asciiTheme="minorHAnsi" w:eastAsiaTheme="minorHAnsi" w:hAnsiTheme="minorHAnsi" w:cstheme="minorHAnsi"/>
          <w:kern w:val="22"/>
          <w:sz w:val="22"/>
          <w:szCs w:val="22"/>
          <w:lang w:eastAsia="en-US"/>
        </w:rPr>
        <w:t xml:space="preserve">Neste sentido, a empresa tem vindo a promover, nomeadamente, a separação e recolha para reciclagem de material usado (papel, material informático, </w:t>
      </w:r>
      <w:proofErr w:type="spellStart"/>
      <w:r w:rsidRPr="005564B8">
        <w:rPr>
          <w:rFonts w:asciiTheme="minorHAnsi" w:eastAsiaTheme="minorHAnsi" w:hAnsiTheme="minorHAnsi" w:cstheme="minorHAnsi"/>
          <w:i/>
          <w:iCs/>
          <w:kern w:val="22"/>
          <w:sz w:val="22"/>
          <w:szCs w:val="22"/>
          <w:lang w:eastAsia="en-US"/>
        </w:rPr>
        <w:t>toners</w:t>
      </w:r>
      <w:proofErr w:type="spellEnd"/>
      <w:r w:rsidRPr="00592D69">
        <w:rPr>
          <w:rFonts w:asciiTheme="minorHAnsi" w:eastAsiaTheme="minorHAnsi" w:hAnsiTheme="minorHAnsi" w:cstheme="minorHAnsi"/>
          <w:kern w:val="22"/>
          <w:sz w:val="22"/>
          <w:szCs w:val="22"/>
          <w:lang w:eastAsia="en-US"/>
        </w:rPr>
        <w:t xml:space="preserve">, plásticos) e a reutilização de papel para rascunhos. Existem acordos com fornecedores devidamente certificados que recolhem todos estes materiais para reciclagem contra a entrega de guias de compromisso da sua reciclagem. A PARVALOREM tem também em vigor um protocolo com a </w:t>
      </w:r>
      <w:proofErr w:type="spellStart"/>
      <w:r w:rsidRPr="00592D69">
        <w:rPr>
          <w:rFonts w:asciiTheme="minorHAnsi" w:eastAsiaTheme="minorHAnsi" w:hAnsiTheme="minorHAnsi" w:cstheme="minorHAnsi"/>
          <w:kern w:val="22"/>
          <w:sz w:val="22"/>
          <w:szCs w:val="22"/>
          <w:lang w:eastAsia="en-US"/>
        </w:rPr>
        <w:t>Ecopilhas</w:t>
      </w:r>
      <w:proofErr w:type="spellEnd"/>
      <w:r w:rsidRPr="00592D69">
        <w:rPr>
          <w:rFonts w:asciiTheme="minorHAnsi" w:eastAsiaTheme="minorHAnsi" w:hAnsiTheme="minorHAnsi" w:cstheme="minorHAnsi"/>
          <w:kern w:val="22"/>
          <w:sz w:val="22"/>
          <w:szCs w:val="22"/>
          <w:lang w:eastAsia="en-US"/>
        </w:rPr>
        <w:t>, tendo nas suas instalações um Ecoponto para recolha de pilhas para reciclagem.</w:t>
      </w:r>
    </w:p>
    <w:p w14:paraId="629BFBB2" w14:textId="77777777" w:rsidR="00C93B74" w:rsidRPr="00592D69" w:rsidRDefault="00C93B74" w:rsidP="00C93B74">
      <w:pPr>
        <w:jc w:val="both"/>
        <w:rPr>
          <w:rFonts w:asciiTheme="minorHAnsi" w:eastAsiaTheme="minorHAnsi" w:hAnsiTheme="minorHAnsi" w:cstheme="minorHAnsi"/>
          <w:kern w:val="22"/>
          <w:sz w:val="22"/>
          <w:szCs w:val="22"/>
          <w:lang w:eastAsia="en-US"/>
        </w:rPr>
      </w:pPr>
    </w:p>
    <w:p w14:paraId="1513B79B" w14:textId="77777777" w:rsidR="00C93B74" w:rsidRPr="00592D69" w:rsidRDefault="00C93B74" w:rsidP="00C93B74">
      <w:pPr>
        <w:jc w:val="both"/>
        <w:rPr>
          <w:rFonts w:asciiTheme="minorHAnsi" w:eastAsiaTheme="minorHAnsi" w:hAnsiTheme="minorHAnsi" w:cstheme="minorHAnsi"/>
          <w:kern w:val="22"/>
          <w:sz w:val="22"/>
          <w:szCs w:val="22"/>
          <w:lang w:eastAsia="en-US"/>
        </w:rPr>
      </w:pPr>
      <w:r w:rsidRPr="00592D69">
        <w:rPr>
          <w:rFonts w:asciiTheme="minorHAnsi" w:eastAsiaTheme="minorHAnsi" w:hAnsiTheme="minorHAnsi" w:cstheme="minorHAnsi"/>
          <w:kern w:val="22"/>
          <w:sz w:val="22"/>
          <w:szCs w:val="22"/>
          <w:lang w:eastAsia="en-US"/>
        </w:rPr>
        <w:t>Por outro lado, foi totalmente eliminado o uso de garrafas de plástico na empresa, tendo-se passado a consumir água da rede pública servida em garrafas e jarros de vidro.</w:t>
      </w:r>
      <w:r>
        <w:rPr>
          <w:rFonts w:asciiTheme="minorHAnsi" w:eastAsiaTheme="minorHAnsi" w:hAnsiTheme="minorHAnsi" w:cstheme="minorHAnsi"/>
          <w:kern w:val="22"/>
          <w:sz w:val="22"/>
          <w:szCs w:val="22"/>
          <w:lang w:eastAsia="en-US"/>
        </w:rPr>
        <w:t xml:space="preserve"> </w:t>
      </w:r>
      <w:r w:rsidRPr="005315FC">
        <w:rPr>
          <w:rFonts w:asciiTheme="minorHAnsi" w:eastAsiaTheme="minorHAnsi" w:hAnsiTheme="minorHAnsi" w:cstheme="minorHAnsi"/>
          <w:kern w:val="22"/>
          <w:sz w:val="22"/>
          <w:szCs w:val="22"/>
          <w:lang w:eastAsia="en-US"/>
        </w:rPr>
        <w:t>Também, foram disponibilizadas garrafas reutilizáveis, em alumínio, a todos os colaboradores, o que permitiu a eliminação do uso de copos de plástico, de uso único.</w:t>
      </w:r>
    </w:p>
    <w:p w14:paraId="307763EA" w14:textId="77777777" w:rsidR="00C93B74" w:rsidRPr="00592D69" w:rsidRDefault="00C93B74" w:rsidP="00C93B74">
      <w:pPr>
        <w:jc w:val="both"/>
        <w:rPr>
          <w:rFonts w:asciiTheme="minorHAnsi" w:eastAsiaTheme="minorHAnsi" w:hAnsiTheme="minorHAnsi" w:cstheme="minorHAnsi"/>
          <w:kern w:val="22"/>
          <w:sz w:val="22"/>
          <w:szCs w:val="22"/>
          <w:lang w:eastAsia="en-US"/>
        </w:rPr>
      </w:pPr>
    </w:p>
    <w:p w14:paraId="6F40E118" w14:textId="77777777" w:rsidR="00C93B74" w:rsidRPr="00592D69" w:rsidRDefault="00C93B74" w:rsidP="00C93B74">
      <w:pPr>
        <w:jc w:val="both"/>
        <w:rPr>
          <w:rFonts w:asciiTheme="minorHAnsi" w:eastAsiaTheme="minorHAnsi" w:hAnsiTheme="minorHAnsi" w:cstheme="minorHAnsi"/>
          <w:kern w:val="22"/>
          <w:sz w:val="22"/>
          <w:szCs w:val="22"/>
          <w:lang w:eastAsia="en-US"/>
        </w:rPr>
      </w:pPr>
      <w:r w:rsidRPr="00592D69">
        <w:rPr>
          <w:rFonts w:asciiTheme="minorHAnsi" w:eastAsiaTheme="minorHAnsi" w:hAnsiTheme="minorHAnsi" w:cstheme="minorHAnsi"/>
          <w:kern w:val="22"/>
          <w:sz w:val="22"/>
          <w:szCs w:val="22"/>
          <w:lang w:eastAsia="en-US"/>
        </w:rPr>
        <w:t xml:space="preserve">No que respeita à redução do consumo de papel, os equipamentos multifunções foram parametrizados para imprimir as folhas em frente e verso e, preferencialmente, a preto e branco, tendo igualmente sido colocada uma mensagem de sensibilização no rodapé dos emails que visa diminuir o número de emails impressos. </w:t>
      </w:r>
    </w:p>
    <w:p w14:paraId="270854CD" w14:textId="77777777" w:rsidR="00C93B74" w:rsidRPr="00592D69" w:rsidRDefault="00C93B74" w:rsidP="00C93B74">
      <w:pPr>
        <w:jc w:val="both"/>
        <w:rPr>
          <w:rFonts w:asciiTheme="minorHAnsi" w:eastAsiaTheme="minorHAnsi" w:hAnsiTheme="minorHAnsi" w:cstheme="minorHAnsi"/>
          <w:kern w:val="22"/>
          <w:sz w:val="22"/>
          <w:szCs w:val="22"/>
          <w:lang w:eastAsia="en-US"/>
        </w:rPr>
      </w:pPr>
    </w:p>
    <w:p w14:paraId="05A9F25A" w14:textId="77777777" w:rsidR="00C93B74" w:rsidRPr="00592D69" w:rsidRDefault="00C93B74" w:rsidP="00C93B74">
      <w:pPr>
        <w:jc w:val="both"/>
        <w:rPr>
          <w:rFonts w:asciiTheme="minorHAnsi" w:eastAsiaTheme="minorHAnsi" w:hAnsiTheme="minorHAnsi" w:cstheme="minorHAnsi"/>
          <w:kern w:val="22"/>
          <w:sz w:val="22"/>
          <w:szCs w:val="22"/>
          <w:lang w:eastAsia="en-US"/>
        </w:rPr>
      </w:pPr>
      <w:r>
        <w:rPr>
          <w:rFonts w:asciiTheme="minorHAnsi" w:eastAsiaTheme="minorHAnsi" w:hAnsiTheme="minorHAnsi" w:cstheme="minorHAnsi"/>
          <w:kern w:val="22"/>
          <w:sz w:val="22"/>
          <w:szCs w:val="22"/>
          <w:lang w:eastAsia="en-US"/>
        </w:rPr>
        <w:t>F</w:t>
      </w:r>
      <w:r w:rsidRPr="00592D69">
        <w:rPr>
          <w:rFonts w:asciiTheme="minorHAnsi" w:eastAsiaTheme="minorHAnsi" w:hAnsiTheme="minorHAnsi" w:cstheme="minorHAnsi"/>
          <w:kern w:val="22"/>
          <w:sz w:val="22"/>
          <w:szCs w:val="22"/>
          <w:lang w:eastAsia="en-US"/>
        </w:rPr>
        <w:t>oram instalados equipamentos de controlo horário da iluminação nas instalações de Miraflores, assegurando, assim, que a iluminação está desligada fora do horário de expediente, tendo igualmente sido programados os aparelhos de ar condicionado por forma a reduzir o período total de funcionamento.</w:t>
      </w:r>
    </w:p>
    <w:p w14:paraId="63C30ACF" w14:textId="77777777" w:rsidR="00C93B74" w:rsidRPr="00592D69" w:rsidRDefault="00C93B74" w:rsidP="00C93B74">
      <w:pPr>
        <w:jc w:val="both"/>
        <w:rPr>
          <w:rFonts w:asciiTheme="minorHAnsi" w:eastAsiaTheme="minorHAnsi" w:hAnsiTheme="minorHAnsi" w:cstheme="minorHAnsi"/>
          <w:kern w:val="22"/>
          <w:sz w:val="22"/>
          <w:szCs w:val="22"/>
          <w:lang w:eastAsia="en-US"/>
        </w:rPr>
      </w:pPr>
    </w:p>
    <w:p w14:paraId="4C82962B" w14:textId="77777777" w:rsidR="00C93B74" w:rsidRDefault="00C93B74" w:rsidP="00C93B74">
      <w:pPr>
        <w:jc w:val="both"/>
        <w:rPr>
          <w:rFonts w:asciiTheme="minorHAnsi" w:eastAsiaTheme="minorHAnsi" w:hAnsiTheme="minorHAnsi" w:cstheme="minorHAnsi"/>
          <w:kern w:val="22"/>
          <w:sz w:val="22"/>
          <w:szCs w:val="22"/>
          <w:lang w:eastAsia="en-US"/>
        </w:rPr>
      </w:pPr>
      <w:r w:rsidRPr="00C94FEF">
        <w:rPr>
          <w:rFonts w:asciiTheme="minorHAnsi" w:eastAsiaTheme="minorHAnsi" w:hAnsiTheme="minorHAnsi" w:cstheme="minorHAnsi"/>
          <w:kern w:val="22"/>
          <w:sz w:val="22"/>
          <w:szCs w:val="22"/>
          <w:lang w:eastAsia="en-US"/>
        </w:rPr>
        <w:t>Ainda no que concerne à iluminação, nas instalações do Porto (e à semelhança do que já sucedia nas instalações de Lisboa), foram substituídas todas as luminárias convencionais por equipamentos LED, reduzindo, deste modo, o consumo de energia.</w:t>
      </w:r>
    </w:p>
    <w:p w14:paraId="48C7C9D6" w14:textId="77777777" w:rsidR="00C93B74" w:rsidRDefault="00C93B74" w:rsidP="00C93B74">
      <w:pPr>
        <w:jc w:val="both"/>
        <w:rPr>
          <w:rFonts w:asciiTheme="minorHAnsi" w:eastAsiaTheme="minorHAnsi" w:hAnsiTheme="minorHAnsi" w:cstheme="minorHAnsi"/>
          <w:kern w:val="22"/>
          <w:sz w:val="22"/>
          <w:szCs w:val="22"/>
          <w:lang w:eastAsia="en-US"/>
        </w:rPr>
      </w:pPr>
    </w:p>
    <w:p w14:paraId="3396E4E5" w14:textId="77777777" w:rsidR="00C93B74" w:rsidRDefault="00C93B74" w:rsidP="00D17875">
      <w:pPr>
        <w:pStyle w:val="efcorpodetextoRGS"/>
        <w:spacing w:line="240" w:lineRule="auto"/>
        <w:rPr>
          <w:rFonts w:eastAsia="Times New Roman"/>
          <w:kern w:val="0"/>
        </w:rPr>
      </w:pPr>
      <w:r w:rsidRPr="005062F8">
        <w:rPr>
          <w:rFonts w:eastAsia="Times New Roman"/>
          <w:kern w:val="0"/>
        </w:rPr>
        <w:t>Durante a pandemia a PARVALOREM manteve-se alinhada com a preocupação ambiental e de sustentabilidade, promovendo, sempre que possível, o regime de teletrabalho e a realização de reuniões com entidades externas através de equipamentos à distância, medida com implicações na redução da emissão de gases CO</w:t>
      </w:r>
      <w:r w:rsidRPr="00474A3C">
        <w:rPr>
          <w:rFonts w:eastAsia="Times New Roman"/>
          <w:kern w:val="0"/>
          <w:vertAlign w:val="superscript"/>
        </w:rPr>
        <w:t>2</w:t>
      </w:r>
      <w:r w:rsidRPr="005062F8">
        <w:rPr>
          <w:rFonts w:eastAsia="Times New Roman"/>
          <w:kern w:val="0"/>
        </w:rPr>
        <w:t>. Em 2023, foi adotado um sistema híbrido de trabalho, contribuindo assim para a continuidade da redução da emissão desses gases.</w:t>
      </w:r>
    </w:p>
    <w:p w14:paraId="3ED7E9FA" w14:textId="77777777" w:rsidR="00C93B74" w:rsidRDefault="00C93B74" w:rsidP="00D17875">
      <w:pPr>
        <w:pStyle w:val="efcorpodetextoRGS"/>
        <w:spacing w:line="240" w:lineRule="auto"/>
        <w:rPr>
          <w:rFonts w:eastAsia="Times New Roman"/>
          <w:kern w:val="0"/>
        </w:rPr>
      </w:pPr>
    </w:p>
    <w:p w14:paraId="7C37EBEA" w14:textId="77777777" w:rsidR="00C93B74" w:rsidRPr="00B94A89" w:rsidRDefault="00C93B74" w:rsidP="00D17875">
      <w:pPr>
        <w:pStyle w:val="efcorpodetextoRGS"/>
        <w:spacing w:line="240" w:lineRule="auto"/>
        <w:rPr>
          <w:rFonts w:eastAsia="Times New Roman"/>
          <w:kern w:val="0"/>
        </w:rPr>
      </w:pPr>
      <w:r>
        <w:rPr>
          <w:rFonts w:eastAsia="Times New Roman"/>
          <w:kern w:val="0"/>
        </w:rPr>
        <w:t>A Empresa a</w:t>
      </w:r>
      <w:r w:rsidRPr="00B94A89">
        <w:rPr>
          <w:rFonts w:eastAsia="Times New Roman"/>
          <w:kern w:val="0"/>
        </w:rPr>
        <w:t xml:space="preserve">dota, sempre que possível, a utilização de papel reciclado e, fruto de um projeto mais global, </w:t>
      </w:r>
      <w:r>
        <w:rPr>
          <w:rFonts w:eastAsia="Times New Roman"/>
          <w:kern w:val="0"/>
        </w:rPr>
        <w:t>tem conseguido</w:t>
      </w:r>
      <w:r w:rsidRPr="00B94A89">
        <w:rPr>
          <w:rFonts w:eastAsia="Times New Roman"/>
          <w:kern w:val="0"/>
        </w:rPr>
        <w:t xml:space="preserve"> reduzir </w:t>
      </w:r>
      <w:r>
        <w:rPr>
          <w:rFonts w:eastAsia="Times New Roman"/>
          <w:kern w:val="0"/>
        </w:rPr>
        <w:t xml:space="preserve">progressivamente </w:t>
      </w:r>
      <w:r w:rsidRPr="00B94A89">
        <w:rPr>
          <w:rFonts w:eastAsia="Times New Roman"/>
          <w:kern w:val="0"/>
        </w:rPr>
        <w:t xml:space="preserve">o número de equipamentos multifunções em funcionamento, com repercussões positivas na diminuição do consumo energético e de outros consumíveis, com especial destaque para os </w:t>
      </w:r>
      <w:proofErr w:type="spellStart"/>
      <w:r w:rsidRPr="00204A4A">
        <w:rPr>
          <w:rFonts w:eastAsia="Times New Roman"/>
          <w:i/>
          <w:iCs/>
          <w:kern w:val="0"/>
        </w:rPr>
        <w:t>toners</w:t>
      </w:r>
      <w:proofErr w:type="spellEnd"/>
      <w:r w:rsidRPr="00B94A89">
        <w:rPr>
          <w:rFonts w:eastAsia="Times New Roman"/>
          <w:kern w:val="0"/>
        </w:rPr>
        <w:t>.</w:t>
      </w:r>
    </w:p>
    <w:p w14:paraId="086276E2" w14:textId="77777777" w:rsidR="00C93B74" w:rsidRPr="00B94A89" w:rsidRDefault="00C93B74" w:rsidP="00D17875">
      <w:pPr>
        <w:pStyle w:val="efcorpodetextoRGS"/>
        <w:spacing w:line="240" w:lineRule="auto"/>
        <w:rPr>
          <w:rFonts w:eastAsia="Times New Roman"/>
          <w:kern w:val="0"/>
        </w:rPr>
      </w:pPr>
    </w:p>
    <w:p w14:paraId="77AE73D2" w14:textId="77777777" w:rsidR="00D17875" w:rsidRPr="00D17875" w:rsidRDefault="00D17875" w:rsidP="00D17875">
      <w:pPr>
        <w:pStyle w:val="efcorpodetextoRGS"/>
        <w:spacing w:line="240" w:lineRule="auto"/>
        <w:rPr>
          <w:rFonts w:eastAsia="Times New Roman"/>
          <w:kern w:val="0"/>
        </w:rPr>
      </w:pPr>
      <w:r w:rsidRPr="00D17875">
        <w:rPr>
          <w:rFonts w:eastAsia="Times New Roman"/>
          <w:kern w:val="0"/>
        </w:rPr>
        <w:t>Ainda, dando cumprimento ao previsto na Resolução do Conselho de Ministros n.º 104/2020, de 24 de novembro, que aprova o Programa de Eficiência de Recursos na Administração Pública para o período até 2030 (ECO.AP 2030), incluindo as atualizações resultantes da RCM n.º 150/2024,  assim como as orientações e políticas internas que visam melhorar os indicadores de sustentabilidade ambiental, foi elaborado e formalmente aprovado pela Administração o Plano de Eficiência ECO.AP 2030 para o triénio 2025-2027, com os seguintes objetivos:</w:t>
      </w:r>
    </w:p>
    <w:p w14:paraId="4A43A502" w14:textId="77777777" w:rsidR="00CC7D8A" w:rsidRDefault="00CC7D8A" w:rsidP="00D17875">
      <w:pPr>
        <w:rPr>
          <w:rFonts w:asciiTheme="minorHAnsi" w:hAnsiTheme="minorHAnsi" w:cstheme="minorHAnsi"/>
          <w:sz w:val="22"/>
          <w:szCs w:val="22"/>
          <w:lang w:eastAsia="en-US"/>
        </w:rPr>
      </w:pPr>
      <w:r w:rsidRPr="00D17875">
        <w:rPr>
          <w:rFonts w:asciiTheme="minorHAnsi" w:hAnsiTheme="minorHAnsi" w:cstheme="minorHAnsi"/>
          <w:sz w:val="22"/>
          <w:szCs w:val="22"/>
          <w:lang w:eastAsia="en-US"/>
        </w:rPr>
        <w:br w:type="page"/>
      </w:r>
    </w:p>
    <w:p w14:paraId="1FF3C866" w14:textId="77777777" w:rsidR="00EE42AF" w:rsidRDefault="00EE42AF" w:rsidP="00C93B74">
      <w:pPr>
        <w:pStyle w:val="efcorpodetextoRGS"/>
        <w:spacing w:line="240" w:lineRule="auto"/>
        <w:rPr>
          <w:rFonts w:eastAsia="Times New Roman"/>
          <w:kern w:val="0"/>
        </w:rPr>
      </w:pPr>
    </w:p>
    <w:tbl>
      <w:tblPr>
        <w:tblStyle w:val="TabelacomGrelha"/>
        <w:tblW w:w="0" w:type="auto"/>
        <w:tblBorders>
          <w:top w:val="single" w:sz="4" w:space="0" w:color="FFFFFF" w:themeColor="background1"/>
          <w:left w:val="none" w:sz="0" w:space="0" w:color="auto"/>
          <w:bottom w:val="single" w:sz="4" w:space="0" w:color="FFFFFF" w:themeColor="background1"/>
          <w:right w:val="single" w:sz="4" w:space="0" w:color="FFFFFF" w:themeColor="background1"/>
          <w:insideH w:val="single" w:sz="4" w:space="0" w:color="FFFFFF" w:themeColor="background1"/>
          <w:insideV w:val="none" w:sz="0" w:space="0" w:color="auto"/>
        </w:tblBorders>
        <w:tblLook w:val="04A0" w:firstRow="1" w:lastRow="0" w:firstColumn="1" w:lastColumn="0" w:noHBand="0" w:noVBand="1"/>
      </w:tblPr>
      <w:tblGrid>
        <w:gridCol w:w="3686"/>
        <w:gridCol w:w="1701"/>
        <w:gridCol w:w="1417"/>
        <w:gridCol w:w="1695"/>
      </w:tblGrid>
      <w:tr w:rsidR="00EE42AF" w:rsidRPr="00D17875" w14:paraId="1F42F726" w14:textId="77777777" w:rsidTr="00204A4A">
        <w:trPr>
          <w:trHeight w:val="284"/>
        </w:trPr>
        <w:tc>
          <w:tcPr>
            <w:tcW w:w="3686" w:type="dxa"/>
            <w:tcBorders>
              <w:right w:val="single" w:sz="4" w:space="0" w:color="FFFFFF" w:themeColor="background1"/>
            </w:tcBorders>
            <w:shd w:val="clear" w:color="auto" w:fill="95B3D7"/>
            <w:vAlign w:val="center"/>
          </w:tcPr>
          <w:p w14:paraId="01B3557F" w14:textId="77777777" w:rsidR="00EE42AF" w:rsidRPr="00D17875" w:rsidRDefault="00EE42AF" w:rsidP="00203F75">
            <w:pPr>
              <w:spacing w:before="120" w:after="120"/>
              <w:jc w:val="center"/>
              <w:rPr>
                <w:rFonts w:ascii="Calibri" w:hAnsi="Calibri" w:cs="Calibri"/>
                <w:b/>
                <w:sz w:val="18"/>
                <w:szCs w:val="18"/>
                <w:u w:val="single"/>
              </w:rPr>
            </w:pPr>
            <w:r w:rsidRPr="00D17875">
              <w:rPr>
                <w:rFonts w:ascii="Calibri" w:hAnsi="Calibri" w:cs="Calibri"/>
                <w:b/>
                <w:sz w:val="18"/>
                <w:szCs w:val="18"/>
              </w:rPr>
              <w:t>Objetivos</w:t>
            </w:r>
          </w:p>
        </w:tc>
        <w:tc>
          <w:tcPr>
            <w:tcW w:w="1701" w:type="dxa"/>
            <w:tcBorders>
              <w:left w:val="single" w:sz="4" w:space="0" w:color="FFFFFF" w:themeColor="background1"/>
              <w:bottom w:val="single" w:sz="4" w:space="0" w:color="FFFFFF" w:themeColor="background1"/>
              <w:right w:val="single" w:sz="4" w:space="0" w:color="FFFFFF" w:themeColor="background1"/>
            </w:tcBorders>
            <w:shd w:val="clear" w:color="auto" w:fill="95B3D7"/>
            <w:vAlign w:val="center"/>
          </w:tcPr>
          <w:p w14:paraId="57E3A707" w14:textId="77777777" w:rsidR="00EE42AF" w:rsidRPr="00D17875" w:rsidRDefault="00EE42AF" w:rsidP="00203F75">
            <w:pPr>
              <w:spacing w:before="120" w:after="120"/>
              <w:jc w:val="center"/>
              <w:rPr>
                <w:rFonts w:ascii="Calibri" w:hAnsi="Calibri" w:cs="Calibri"/>
                <w:b/>
                <w:sz w:val="18"/>
                <w:szCs w:val="18"/>
              </w:rPr>
            </w:pPr>
            <w:r w:rsidRPr="00D17875">
              <w:rPr>
                <w:rFonts w:ascii="Calibri" w:hAnsi="Calibri" w:cs="Calibri"/>
                <w:b/>
                <w:sz w:val="18"/>
                <w:szCs w:val="18"/>
              </w:rPr>
              <w:t>Ano 2025</w:t>
            </w:r>
          </w:p>
        </w:tc>
        <w:tc>
          <w:tcPr>
            <w:tcW w:w="1417" w:type="dxa"/>
            <w:tcBorders>
              <w:left w:val="single" w:sz="4" w:space="0" w:color="FFFFFF" w:themeColor="background1"/>
              <w:bottom w:val="single" w:sz="4" w:space="0" w:color="FFFFFF" w:themeColor="background1"/>
              <w:right w:val="single" w:sz="4" w:space="0" w:color="FFFFFF" w:themeColor="background1"/>
            </w:tcBorders>
            <w:shd w:val="clear" w:color="auto" w:fill="95B3D7"/>
            <w:vAlign w:val="center"/>
          </w:tcPr>
          <w:p w14:paraId="538B92BB" w14:textId="77777777" w:rsidR="00EE42AF" w:rsidRPr="00D17875" w:rsidRDefault="00EE42AF" w:rsidP="00203F75">
            <w:pPr>
              <w:spacing w:before="120" w:after="120"/>
              <w:jc w:val="center"/>
              <w:rPr>
                <w:rFonts w:ascii="Calibri" w:hAnsi="Calibri" w:cs="Calibri"/>
                <w:b/>
                <w:sz w:val="18"/>
                <w:szCs w:val="18"/>
              </w:rPr>
            </w:pPr>
            <w:r w:rsidRPr="00D17875">
              <w:rPr>
                <w:rFonts w:ascii="Calibri" w:hAnsi="Calibri" w:cs="Calibri"/>
                <w:b/>
                <w:sz w:val="18"/>
                <w:szCs w:val="18"/>
              </w:rPr>
              <w:t>Ano 2026</w:t>
            </w:r>
          </w:p>
        </w:tc>
        <w:tc>
          <w:tcPr>
            <w:tcW w:w="1695" w:type="dxa"/>
            <w:tcBorders>
              <w:left w:val="single" w:sz="4" w:space="0" w:color="FFFFFF" w:themeColor="background1"/>
            </w:tcBorders>
            <w:shd w:val="clear" w:color="auto" w:fill="95B3D7"/>
            <w:vAlign w:val="center"/>
          </w:tcPr>
          <w:p w14:paraId="2C8902F3" w14:textId="77777777" w:rsidR="00EE42AF" w:rsidRPr="00D17875" w:rsidRDefault="00EE42AF" w:rsidP="00203F75">
            <w:pPr>
              <w:spacing w:before="120" w:after="120"/>
              <w:jc w:val="center"/>
              <w:rPr>
                <w:rFonts w:ascii="Calibri" w:hAnsi="Calibri" w:cs="Calibri"/>
                <w:b/>
                <w:sz w:val="18"/>
                <w:szCs w:val="18"/>
              </w:rPr>
            </w:pPr>
            <w:r w:rsidRPr="00D17875">
              <w:rPr>
                <w:rFonts w:ascii="Calibri" w:hAnsi="Calibri" w:cs="Calibri"/>
                <w:b/>
                <w:sz w:val="18"/>
                <w:szCs w:val="18"/>
              </w:rPr>
              <w:t>Ano 2027</w:t>
            </w:r>
          </w:p>
        </w:tc>
      </w:tr>
      <w:tr w:rsidR="00EE42AF" w:rsidRPr="009732C0" w14:paraId="0A3FD06E" w14:textId="77777777" w:rsidTr="009732C0">
        <w:trPr>
          <w:trHeight w:hRule="exact" w:val="340"/>
        </w:trPr>
        <w:tc>
          <w:tcPr>
            <w:tcW w:w="3686" w:type="dxa"/>
            <w:tcBorders>
              <w:right w:val="single" w:sz="4" w:space="0" w:color="FFFFFF" w:themeColor="background1"/>
            </w:tcBorders>
            <w:shd w:val="clear" w:color="auto" w:fill="DEEAF6" w:themeFill="accent1" w:themeFillTint="33"/>
            <w:vAlign w:val="center"/>
          </w:tcPr>
          <w:p w14:paraId="67104298" w14:textId="77777777" w:rsidR="00EE42AF" w:rsidRPr="00FA14AD" w:rsidRDefault="00EE42AF" w:rsidP="00204A4A">
            <w:pPr>
              <w:jc w:val="both"/>
              <w:rPr>
                <w:rFonts w:ascii="Calibri" w:hAnsi="Calibri" w:cs="Calibri"/>
                <w:sz w:val="18"/>
                <w:szCs w:val="18"/>
              </w:rPr>
            </w:pPr>
            <w:r w:rsidRPr="009732C0">
              <w:rPr>
                <w:rFonts w:ascii="Calibri" w:hAnsi="Calibri" w:cs="Calibri"/>
                <w:sz w:val="18"/>
                <w:szCs w:val="18"/>
              </w:rPr>
              <w:t>Energia nas Instalaçõ</w:t>
            </w:r>
            <w:r w:rsidRPr="00FA14AD">
              <w:rPr>
                <w:rFonts w:ascii="Calibri" w:hAnsi="Calibri" w:cs="Calibri"/>
                <w:sz w:val="18"/>
                <w:szCs w:val="18"/>
              </w:rPr>
              <w:t>es</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vAlign w:val="center"/>
          </w:tcPr>
          <w:p w14:paraId="75D7C098" w14:textId="77777777" w:rsidR="00EE42AF" w:rsidRPr="00FA14AD" w:rsidRDefault="00EE42AF" w:rsidP="00296956">
            <w:pPr>
              <w:jc w:val="center"/>
              <w:rPr>
                <w:rFonts w:ascii="Calibri" w:hAnsi="Calibri" w:cs="Calibri"/>
                <w:sz w:val="18"/>
                <w:szCs w:val="18"/>
              </w:rPr>
            </w:pPr>
            <w:r w:rsidRPr="00FA14AD">
              <w:rPr>
                <w:rFonts w:ascii="Calibri" w:hAnsi="Calibri" w:cs="Calibri"/>
                <w:sz w:val="18"/>
                <w:szCs w:val="18"/>
              </w:rPr>
              <w:t>- 12%</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vAlign w:val="center"/>
          </w:tcPr>
          <w:p w14:paraId="71047F53" w14:textId="77777777" w:rsidR="00EE42AF" w:rsidRPr="00FA14AD" w:rsidRDefault="00EE42AF" w:rsidP="00296956">
            <w:pPr>
              <w:jc w:val="center"/>
              <w:rPr>
                <w:rFonts w:ascii="Calibri" w:hAnsi="Calibri" w:cs="Calibri"/>
                <w:sz w:val="18"/>
                <w:szCs w:val="18"/>
              </w:rPr>
            </w:pPr>
            <w:r w:rsidRPr="00FA14AD">
              <w:rPr>
                <w:rFonts w:ascii="Calibri" w:hAnsi="Calibri" w:cs="Calibri"/>
                <w:sz w:val="18"/>
                <w:szCs w:val="18"/>
              </w:rPr>
              <w:t>- 12%</w:t>
            </w:r>
          </w:p>
        </w:tc>
        <w:tc>
          <w:tcPr>
            <w:tcW w:w="1695" w:type="dxa"/>
            <w:tcBorders>
              <w:left w:val="single" w:sz="4" w:space="0" w:color="FFFFFF" w:themeColor="background1"/>
            </w:tcBorders>
            <w:shd w:val="clear" w:color="auto" w:fill="DBE5F1"/>
            <w:vAlign w:val="center"/>
          </w:tcPr>
          <w:p w14:paraId="549599F3" w14:textId="77777777" w:rsidR="00EE42AF" w:rsidRPr="00FA14AD" w:rsidRDefault="00EE42AF" w:rsidP="00296956">
            <w:pPr>
              <w:jc w:val="center"/>
              <w:rPr>
                <w:rFonts w:ascii="Calibri" w:hAnsi="Calibri" w:cs="Calibri"/>
                <w:sz w:val="18"/>
                <w:szCs w:val="18"/>
              </w:rPr>
            </w:pPr>
            <w:r w:rsidRPr="00FA14AD">
              <w:rPr>
                <w:rFonts w:ascii="Calibri" w:hAnsi="Calibri" w:cs="Calibri"/>
                <w:sz w:val="18"/>
                <w:szCs w:val="18"/>
              </w:rPr>
              <w:t>- 12%</w:t>
            </w:r>
          </w:p>
        </w:tc>
      </w:tr>
      <w:tr w:rsidR="00EE42AF" w:rsidRPr="00FA14AD" w14:paraId="1FF7ACA2" w14:textId="77777777" w:rsidTr="00204A4A">
        <w:trPr>
          <w:trHeight w:hRule="exact" w:val="340"/>
        </w:trPr>
        <w:tc>
          <w:tcPr>
            <w:tcW w:w="3686" w:type="dxa"/>
            <w:tcBorders>
              <w:right w:val="single" w:sz="4" w:space="0" w:color="FFFFFF" w:themeColor="background1"/>
            </w:tcBorders>
            <w:shd w:val="clear" w:color="auto" w:fill="DBE5F1"/>
            <w:vAlign w:val="center"/>
          </w:tcPr>
          <w:p w14:paraId="4D2BB492" w14:textId="77777777" w:rsidR="00EE42AF" w:rsidRPr="00FA14AD" w:rsidRDefault="00EE42AF" w:rsidP="00204A4A">
            <w:pPr>
              <w:jc w:val="both"/>
              <w:rPr>
                <w:rFonts w:ascii="Calibri" w:hAnsi="Calibri" w:cs="Calibri"/>
                <w:sz w:val="18"/>
                <w:szCs w:val="18"/>
              </w:rPr>
            </w:pPr>
            <w:r w:rsidRPr="00FA14AD">
              <w:rPr>
                <w:rFonts w:ascii="Calibri" w:hAnsi="Calibri" w:cs="Calibri"/>
                <w:sz w:val="18"/>
                <w:szCs w:val="18"/>
              </w:rPr>
              <w:t>Energia na Frota</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vAlign w:val="center"/>
          </w:tcPr>
          <w:p w14:paraId="20BB301D" w14:textId="77777777" w:rsidR="00EE42AF" w:rsidRPr="00FA14AD" w:rsidRDefault="00EE42AF" w:rsidP="00204A4A">
            <w:pPr>
              <w:jc w:val="center"/>
              <w:rPr>
                <w:rFonts w:ascii="Calibri" w:hAnsi="Calibri" w:cs="Calibri"/>
                <w:sz w:val="18"/>
                <w:szCs w:val="18"/>
              </w:rPr>
            </w:pPr>
            <w:r w:rsidRPr="00FA14AD">
              <w:rPr>
                <w:rFonts w:ascii="Calibri" w:hAnsi="Calibri" w:cs="Calibri"/>
                <w:sz w:val="18"/>
                <w:szCs w:val="18"/>
              </w:rPr>
              <w:t>- 3%</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vAlign w:val="center"/>
          </w:tcPr>
          <w:p w14:paraId="483191AA" w14:textId="77777777" w:rsidR="00EE42AF" w:rsidRPr="00FA14AD" w:rsidRDefault="00EE42AF" w:rsidP="00204A4A">
            <w:pPr>
              <w:jc w:val="center"/>
              <w:rPr>
                <w:rFonts w:ascii="Calibri" w:hAnsi="Calibri" w:cs="Calibri"/>
                <w:sz w:val="18"/>
                <w:szCs w:val="18"/>
              </w:rPr>
            </w:pPr>
            <w:r w:rsidRPr="00FA14AD">
              <w:rPr>
                <w:rFonts w:ascii="Calibri" w:hAnsi="Calibri" w:cs="Calibri"/>
                <w:sz w:val="18"/>
                <w:szCs w:val="18"/>
              </w:rPr>
              <w:t>- 3%</w:t>
            </w:r>
          </w:p>
        </w:tc>
        <w:tc>
          <w:tcPr>
            <w:tcW w:w="1695" w:type="dxa"/>
            <w:tcBorders>
              <w:left w:val="single" w:sz="4" w:space="0" w:color="FFFFFF" w:themeColor="background1"/>
            </w:tcBorders>
            <w:shd w:val="clear" w:color="auto" w:fill="DBE5F1"/>
            <w:vAlign w:val="center"/>
          </w:tcPr>
          <w:p w14:paraId="30AE0B63" w14:textId="77777777" w:rsidR="00EE42AF" w:rsidRPr="00FA14AD" w:rsidRDefault="00EE42AF" w:rsidP="00204A4A">
            <w:pPr>
              <w:jc w:val="center"/>
              <w:rPr>
                <w:rFonts w:ascii="Calibri" w:hAnsi="Calibri" w:cs="Calibri"/>
                <w:sz w:val="18"/>
                <w:szCs w:val="18"/>
              </w:rPr>
            </w:pPr>
            <w:r w:rsidRPr="00FA14AD">
              <w:rPr>
                <w:rFonts w:ascii="Calibri" w:hAnsi="Calibri" w:cs="Calibri"/>
                <w:sz w:val="18"/>
                <w:szCs w:val="18"/>
              </w:rPr>
              <w:t>- 3%</w:t>
            </w:r>
          </w:p>
        </w:tc>
      </w:tr>
      <w:tr w:rsidR="00EE42AF" w:rsidRPr="00FA14AD" w14:paraId="44767D6E" w14:textId="77777777" w:rsidTr="00204A4A">
        <w:trPr>
          <w:trHeight w:hRule="exact" w:val="340"/>
        </w:trPr>
        <w:tc>
          <w:tcPr>
            <w:tcW w:w="3686" w:type="dxa"/>
            <w:tcBorders>
              <w:right w:val="single" w:sz="4" w:space="0" w:color="FFFFFF" w:themeColor="background1"/>
            </w:tcBorders>
            <w:shd w:val="clear" w:color="auto" w:fill="DBE5F1"/>
            <w:vAlign w:val="center"/>
          </w:tcPr>
          <w:p w14:paraId="7BA68A41" w14:textId="77777777" w:rsidR="00EE42AF" w:rsidRPr="00FA14AD" w:rsidRDefault="00EE42AF" w:rsidP="00204A4A">
            <w:pPr>
              <w:jc w:val="both"/>
              <w:rPr>
                <w:rFonts w:ascii="Calibri" w:hAnsi="Calibri" w:cs="Calibri"/>
                <w:sz w:val="18"/>
                <w:szCs w:val="18"/>
              </w:rPr>
            </w:pPr>
            <w:r w:rsidRPr="00FA14AD">
              <w:rPr>
                <w:rFonts w:ascii="Calibri" w:hAnsi="Calibri" w:cs="Calibri"/>
                <w:sz w:val="18"/>
                <w:szCs w:val="18"/>
              </w:rPr>
              <w:t>Materiais (copos de uso único)</w:t>
            </w: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DBE5F1"/>
            <w:vAlign w:val="center"/>
          </w:tcPr>
          <w:p w14:paraId="3F12E3CA" w14:textId="77777777" w:rsidR="00EE42AF" w:rsidRPr="00FA14AD" w:rsidRDefault="00EE42AF" w:rsidP="00204A4A">
            <w:pPr>
              <w:jc w:val="center"/>
              <w:rPr>
                <w:rFonts w:ascii="Calibri" w:hAnsi="Calibri" w:cs="Calibri"/>
                <w:sz w:val="18"/>
                <w:szCs w:val="18"/>
              </w:rPr>
            </w:pPr>
            <w:r w:rsidRPr="00FA14AD">
              <w:rPr>
                <w:rFonts w:ascii="Calibri" w:hAnsi="Calibri" w:cs="Calibri"/>
                <w:sz w:val="18"/>
                <w:szCs w:val="18"/>
              </w:rPr>
              <w:t>- 100%</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DBE5F1"/>
            <w:vAlign w:val="center"/>
          </w:tcPr>
          <w:p w14:paraId="52B97FBE" w14:textId="77777777" w:rsidR="00EE42AF" w:rsidRPr="00FA14AD" w:rsidRDefault="00EE42AF" w:rsidP="00204A4A">
            <w:pPr>
              <w:jc w:val="center"/>
              <w:rPr>
                <w:rFonts w:ascii="Calibri" w:hAnsi="Calibri" w:cs="Calibri"/>
                <w:sz w:val="18"/>
                <w:szCs w:val="18"/>
              </w:rPr>
            </w:pPr>
            <w:r w:rsidRPr="00FA14AD">
              <w:rPr>
                <w:rFonts w:ascii="Calibri" w:hAnsi="Calibri" w:cs="Calibri"/>
                <w:sz w:val="18"/>
                <w:szCs w:val="18"/>
              </w:rPr>
              <w:t>- 100%</w:t>
            </w:r>
          </w:p>
        </w:tc>
        <w:tc>
          <w:tcPr>
            <w:tcW w:w="1695" w:type="dxa"/>
            <w:tcBorders>
              <w:left w:val="single" w:sz="4" w:space="0" w:color="FFFFFF" w:themeColor="background1"/>
            </w:tcBorders>
            <w:shd w:val="clear" w:color="auto" w:fill="DBE5F1"/>
            <w:vAlign w:val="center"/>
          </w:tcPr>
          <w:p w14:paraId="3166812E" w14:textId="77777777" w:rsidR="00EE42AF" w:rsidRPr="00FA14AD" w:rsidRDefault="00EE42AF" w:rsidP="00204A4A">
            <w:pPr>
              <w:jc w:val="center"/>
              <w:rPr>
                <w:rFonts w:ascii="Calibri" w:hAnsi="Calibri" w:cs="Calibri"/>
                <w:sz w:val="18"/>
                <w:szCs w:val="18"/>
              </w:rPr>
            </w:pPr>
            <w:r w:rsidRPr="00FA14AD">
              <w:rPr>
                <w:rFonts w:ascii="Calibri" w:hAnsi="Calibri" w:cs="Calibri"/>
                <w:sz w:val="18"/>
                <w:szCs w:val="18"/>
              </w:rPr>
              <w:t>- 100%</w:t>
            </w:r>
          </w:p>
        </w:tc>
      </w:tr>
    </w:tbl>
    <w:p w14:paraId="64454CC4" w14:textId="77777777" w:rsidR="00EE42AF" w:rsidRDefault="00EE42AF" w:rsidP="00906C14">
      <w:pPr>
        <w:pStyle w:val="efcorpodetextoRGS"/>
        <w:spacing w:line="240" w:lineRule="auto"/>
        <w:rPr>
          <w:rFonts w:eastAsia="Times New Roman"/>
          <w:kern w:val="0"/>
        </w:rPr>
      </w:pPr>
    </w:p>
    <w:p w14:paraId="597BE955" w14:textId="77777777" w:rsidR="00EE42AF" w:rsidRDefault="00EE42AF" w:rsidP="00906C14">
      <w:pPr>
        <w:pStyle w:val="efcorpodetextoRGS"/>
        <w:spacing w:line="240" w:lineRule="auto"/>
        <w:rPr>
          <w:rFonts w:eastAsia="Times New Roman"/>
          <w:kern w:val="0"/>
        </w:rPr>
      </w:pPr>
    </w:p>
    <w:p w14:paraId="413818A9" w14:textId="77777777" w:rsidR="006866A9" w:rsidRDefault="006866A9" w:rsidP="00351BC7">
      <w:pPr>
        <w:pStyle w:val="efcorpodetextoRGS"/>
        <w:spacing w:line="240" w:lineRule="auto"/>
      </w:pPr>
      <w:r>
        <w:t>Em 2025 os resultados alcançados foram os seguintes:</w:t>
      </w:r>
    </w:p>
    <w:p w14:paraId="2016D6A0" w14:textId="77777777" w:rsidR="006866A9" w:rsidRDefault="006866A9" w:rsidP="00351BC7">
      <w:pPr>
        <w:pStyle w:val="efcorpodetextoRGS"/>
        <w:spacing w:line="240" w:lineRule="auto"/>
      </w:pPr>
    </w:p>
    <w:tbl>
      <w:tblPr>
        <w:tblStyle w:val="TabelacomGrelha"/>
        <w:tblW w:w="8926" w:type="dxa"/>
        <w:tblLayout w:type="fixed"/>
        <w:tblLook w:val="04A0" w:firstRow="1" w:lastRow="0" w:firstColumn="1" w:lastColumn="0" w:noHBand="0" w:noVBand="1"/>
      </w:tblPr>
      <w:tblGrid>
        <w:gridCol w:w="1418"/>
        <w:gridCol w:w="1554"/>
        <w:gridCol w:w="1418"/>
        <w:gridCol w:w="1417"/>
        <w:gridCol w:w="1418"/>
        <w:gridCol w:w="1701"/>
      </w:tblGrid>
      <w:tr w:rsidR="006866A9" w:rsidRPr="00774E93" w14:paraId="438F2245" w14:textId="77777777" w:rsidTr="006866A9">
        <w:tc>
          <w:tcPr>
            <w:tcW w:w="2972" w:type="dxa"/>
            <w:gridSpan w:val="2"/>
            <w:tcBorders>
              <w:top w:val="nil"/>
              <w:left w:val="nil"/>
              <w:bottom w:val="nil"/>
              <w:right w:val="single" w:sz="4" w:space="0" w:color="FFFFFF" w:themeColor="background1"/>
            </w:tcBorders>
            <w:shd w:val="clear" w:color="auto" w:fill="95B3D7"/>
            <w:vAlign w:val="center"/>
          </w:tcPr>
          <w:p w14:paraId="273479B0" w14:textId="77777777" w:rsidR="006866A9" w:rsidRPr="006866A9" w:rsidRDefault="006866A9" w:rsidP="009732C0">
            <w:pPr>
              <w:tabs>
                <w:tab w:val="left" w:pos="0"/>
              </w:tabs>
              <w:jc w:val="center"/>
              <w:rPr>
                <w:rFonts w:ascii="Calibri" w:hAnsi="Calibri" w:cs="Calibri"/>
                <w:b/>
                <w:color w:val="000000" w:themeColor="text1"/>
                <w:sz w:val="18"/>
                <w:szCs w:val="18"/>
              </w:rPr>
            </w:pPr>
            <w:r w:rsidRPr="006866A9">
              <w:rPr>
                <w:rFonts w:ascii="Calibri" w:hAnsi="Calibri" w:cs="Calibri"/>
                <w:b/>
                <w:color w:val="000000" w:themeColor="text1"/>
                <w:sz w:val="18"/>
                <w:szCs w:val="18"/>
              </w:rPr>
              <w:t>Tipo de Consumo</w:t>
            </w:r>
          </w:p>
        </w:tc>
        <w:tc>
          <w:tcPr>
            <w:tcW w:w="1418" w:type="dxa"/>
            <w:tcBorders>
              <w:top w:val="nil"/>
              <w:left w:val="single" w:sz="4" w:space="0" w:color="FFFFFF" w:themeColor="background1"/>
              <w:bottom w:val="nil"/>
              <w:right w:val="single" w:sz="4" w:space="0" w:color="FFFFFF" w:themeColor="background1"/>
            </w:tcBorders>
            <w:shd w:val="clear" w:color="auto" w:fill="95B3D7"/>
          </w:tcPr>
          <w:p w14:paraId="232D2C4E" w14:textId="77777777" w:rsidR="006866A9" w:rsidRPr="006866A9" w:rsidRDefault="006866A9" w:rsidP="009732C0">
            <w:pPr>
              <w:tabs>
                <w:tab w:val="left" w:pos="0"/>
              </w:tabs>
              <w:jc w:val="center"/>
              <w:rPr>
                <w:rFonts w:ascii="Calibri" w:hAnsi="Calibri" w:cs="Calibri"/>
                <w:b/>
                <w:color w:val="000000" w:themeColor="text1"/>
                <w:sz w:val="18"/>
                <w:szCs w:val="18"/>
              </w:rPr>
            </w:pPr>
            <w:r w:rsidRPr="006866A9">
              <w:rPr>
                <w:rFonts w:ascii="Calibri" w:hAnsi="Calibri" w:cs="Calibri"/>
                <w:b/>
                <w:color w:val="000000" w:themeColor="text1"/>
                <w:sz w:val="18"/>
                <w:szCs w:val="18"/>
              </w:rPr>
              <w:t>Objetivo</w:t>
            </w:r>
          </w:p>
          <w:p w14:paraId="17097E3C" w14:textId="77777777" w:rsidR="006866A9" w:rsidRPr="006866A9" w:rsidRDefault="006866A9" w:rsidP="009732C0">
            <w:pPr>
              <w:tabs>
                <w:tab w:val="left" w:pos="0"/>
              </w:tabs>
              <w:jc w:val="center"/>
              <w:rPr>
                <w:rFonts w:ascii="Calibri" w:hAnsi="Calibri" w:cs="Calibri"/>
                <w:b/>
                <w:color w:val="000000" w:themeColor="text1"/>
                <w:sz w:val="18"/>
                <w:szCs w:val="18"/>
              </w:rPr>
            </w:pPr>
            <w:r w:rsidRPr="006866A9">
              <w:rPr>
                <w:rFonts w:ascii="Calibri" w:hAnsi="Calibri" w:cs="Calibri"/>
                <w:b/>
                <w:color w:val="000000" w:themeColor="text1"/>
                <w:sz w:val="18"/>
                <w:szCs w:val="18"/>
              </w:rPr>
              <w:t>de Redução</w:t>
            </w:r>
          </w:p>
          <w:p w14:paraId="623C8BBA" w14:textId="77777777" w:rsidR="006866A9" w:rsidRPr="006866A9" w:rsidRDefault="006866A9" w:rsidP="009732C0">
            <w:pPr>
              <w:tabs>
                <w:tab w:val="left" w:pos="0"/>
              </w:tabs>
              <w:jc w:val="center"/>
              <w:rPr>
                <w:rFonts w:ascii="Calibri" w:hAnsi="Calibri" w:cs="Calibri"/>
                <w:b/>
                <w:color w:val="000000" w:themeColor="text1"/>
                <w:sz w:val="18"/>
                <w:szCs w:val="18"/>
              </w:rPr>
            </w:pPr>
            <w:r w:rsidRPr="006866A9">
              <w:rPr>
                <w:rFonts w:ascii="Calibri" w:hAnsi="Calibri" w:cs="Calibri"/>
                <w:b/>
                <w:color w:val="000000" w:themeColor="text1"/>
                <w:sz w:val="18"/>
                <w:szCs w:val="18"/>
              </w:rPr>
              <w:t>2025 (%)</w:t>
            </w:r>
          </w:p>
        </w:tc>
        <w:tc>
          <w:tcPr>
            <w:tcW w:w="1417" w:type="dxa"/>
            <w:tcBorders>
              <w:top w:val="nil"/>
              <w:left w:val="single" w:sz="4" w:space="0" w:color="FFFFFF" w:themeColor="background1"/>
              <w:bottom w:val="nil"/>
              <w:right w:val="single" w:sz="4" w:space="0" w:color="FFFFFF" w:themeColor="background1"/>
            </w:tcBorders>
            <w:shd w:val="clear" w:color="auto" w:fill="95B3D7"/>
            <w:vAlign w:val="center"/>
          </w:tcPr>
          <w:p w14:paraId="47C946CC" w14:textId="77777777" w:rsidR="006866A9" w:rsidRPr="006866A9" w:rsidRDefault="006866A9" w:rsidP="009732C0">
            <w:pPr>
              <w:tabs>
                <w:tab w:val="left" w:pos="0"/>
              </w:tabs>
              <w:jc w:val="center"/>
              <w:rPr>
                <w:rFonts w:ascii="Calibri" w:hAnsi="Calibri" w:cs="Calibri"/>
                <w:b/>
                <w:color w:val="000000" w:themeColor="text1"/>
                <w:sz w:val="18"/>
                <w:szCs w:val="18"/>
              </w:rPr>
            </w:pPr>
            <w:r w:rsidRPr="006866A9">
              <w:rPr>
                <w:rFonts w:ascii="Calibri" w:hAnsi="Calibri" w:cs="Calibri"/>
                <w:b/>
                <w:color w:val="000000" w:themeColor="text1"/>
                <w:sz w:val="18"/>
                <w:szCs w:val="18"/>
              </w:rPr>
              <w:t>Consumo em 2023</w:t>
            </w:r>
          </w:p>
        </w:tc>
        <w:tc>
          <w:tcPr>
            <w:tcW w:w="1418" w:type="dxa"/>
            <w:tcBorders>
              <w:top w:val="nil"/>
              <w:left w:val="single" w:sz="4" w:space="0" w:color="FFFFFF" w:themeColor="background1"/>
              <w:bottom w:val="nil"/>
              <w:right w:val="single" w:sz="4" w:space="0" w:color="FFFFFF" w:themeColor="background1"/>
            </w:tcBorders>
            <w:shd w:val="clear" w:color="auto" w:fill="95B3D7"/>
            <w:vAlign w:val="center"/>
          </w:tcPr>
          <w:p w14:paraId="0FADCCFD" w14:textId="77777777" w:rsidR="006866A9" w:rsidRPr="006866A9" w:rsidRDefault="006866A9" w:rsidP="009732C0">
            <w:pPr>
              <w:tabs>
                <w:tab w:val="left" w:pos="0"/>
              </w:tabs>
              <w:jc w:val="center"/>
              <w:rPr>
                <w:rFonts w:ascii="Calibri" w:hAnsi="Calibri" w:cs="Calibri"/>
                <w:b/>
                <w:color w:val="000000" w:themeColor="text1"/>
                <w:sz w:val="18"/>
                <w:szCs w:val="18"/>
              </w:rPr>
            </w:pPr>
            <w:r w:rsidRPr="006866A9">
              <w:rPr>
                <w:rFonts w:ascii="Calibri" w:hAnsi="Calibri" w:cs="Calibri"/>
                <w:b/>
                <w:color w:val="000000" w:themeColor="text1"/>
                <w:sz w:val="18"/>
                <w:szCs w:val="18"/>
              </w:rPr>
              <w:t>Consumo em 2025</w:t>
            </w:r>
          </w:p>
        </w:tc>
        <w:tc>
          <w:tcPr>
            <w:tcW w:w="1701" w:type="dxa"/>
            <w:tcBorders>
              <w:top w:val="nil"/>
              <w:left w:val="single" w:sz="4" w:space="0" w:color="FFFFFF" w:themeColor="background1"/>
              <w:bottom w:val="nil"/>
              <w:right w:val="nil"/>
            </w:tcBorders>
            <w:shd w:val="clear" w:color="auto" w:fill="95B3D7"/>
            <w:vAlign w:val="center"/>
          </w:tcPr>
          <w:p w14:paraId="199DC753" w14:textId="77777777" w:rsidR="006866A9" w:rsidRPr="006866A9" w:rsidRDefault="006866A9" w:rsidP="009732C0">
            <w:pPr>
              <w:tabs>
                <w:tab w:val="left" w:pos="0"/>
              </w:tabs>
              <w:jc w:val="center"/>
              <w:rPr>
                <w:rFonts w:ascii="Calibri" w:hAnsi="Calibri" w:cs="Calibri"/>
                <w:b/>
                <w:color w:val="000000" w:themeColor="text1"/>
                <w:sz w:val="18"/>
                <w:szCs w:val="18"/>
              </w:rPr>
            </w:pPr>
            <w:r w:rsidRPr="006866A9">
              <w:rPr>
                <w:rFonts w:ascii="Calibri" w:hAnsi="Calibri" w:cs="Calibri"/>
                <w:b/>
                <w:color w:val="000000" w:themeColor="text1"/>
                <w:sz w:val="18"/>
                <w:szCs w:val="18"/>
              </w:rPr>
              <w:t>Redução Real</w:t>
            </w:r>
          </w:p>
          <w:p w14:paraId="54F48495" w14:textId="77777777" w:rsidR="006866A9" w:rsidRPr="006866A9" w:rsidRDefault="006866A9" w:rsidP="009732C0">
            <w:pPr>
              <w:tabs>
                <w:tab w:val="left" w:pos="0"/>
              </w:tabs>
              <w:jc w:val="center"/>
              <w:rPr>
                <w:rFonts w:ascii="Calibri" w:hAnsi="Calibri" w:cs="Calibri"/>
                <w:b/>
                <w:color w:val="000000" w:themeColor="text1"/>
                <w:sz w:val="18"/>
                <w:szCs w:val="18"/>
              </w:rPr>
            </w:pPr>
            <w:r w:rsidRPr="006866A9">
              <w:rPr>
                <w:rFonts w:ascii="Calibri" w:hAnsi="Calibri" w:cs="Calibri"/>
                <w:b/>
                <w:color w:val="000000" w:themeColor="text1"/>
                <w:sz w:val="18"/>
                <w:szCs w:val="18"/>
              </w:rPr>
              <w:t>2025 (%)</w:t>
            </w:r>
          </w:p>
        </w:tc>
      </w:tr>
      <w:tr w:rsidR="006866A9" w:rsidRPr="00774E93" w14:paraId="4291DA3B" w14:textId="77777777" w:rsidTr="009732C0">
        <w:trPr>
          <w:trHeight w:hRule="exact" w:val="340"/>
        </w:trPr>
        <w:tc>
          <w:tcPr>
            <w:tcW w:w="2972" w:type="dxa"/>
            <w:gridSpan w:val="2"/>
            <w:tcBorders>
              <w:top w:val="nil"/>
              <w:left w:val="nil"/>
              <w:bottom w:val="single" w:sz="4" w:space="0" w:color="FFFFFF" w:themeColor="background1"/>
              <w:right w:val="single" w:sz="4" w:space="0" w:color="FFFFFF" w:themeColor="background1"/>
            </w:tcBorders>
            <w:shd w:val="clear" w:color="auto" w:fill="DBE5F1"/>
            <w:vAlign w:val="center"/>
          </w:tcPr>
          <w:p w14:paraId="6522783F" w14:textId="77777777" w:rsidR="006866A9" w:rsidRPr="006866A9" w:rsidRDefault="006866A9" w:rsidP="009732C0">
            <w:pPr>
              <w:tabs>
                <w:tab w:val="left" w:pos="0"/>
              </w:tabs>
              <w:spacing w:line="360" w:lineRule="auto"/>
              <w:rPr>
                <w:rFonts w:ascii="Calibri" w:hAnsi="Calibri" w:cs="Calibri"/>
                <w:bCs/>
                <w:sz w:val="18"/>
                <w:szCs w:val="18"/>
              </w:rPr>
            </w:pPr>
            <w:r w:rsidRPr="006866A9">
              <w:rPr>
                <w:rFonts w:ascii="Calibri" w:hAnsi="Calibri" w:cs="Calibri"/>
                <w:bCs/>
                <w:sz w:val="18"/>
                <w:szCs w:val="18"/>
              </w:rPr>
              <w:t>Energia na Frota</w:t>
            </w:r>
          </w:p>
        </w:tc>
        <w:tc>
          <w:tcPr>
            <w:tcW w:w="1418" w:type="dxa"/>
            <w:tcBorders>
              <w:top w:val="nil"/>
              <w:left w:val="single" w:sz="4" w:space="0" w:color="FFFFFF" w:themeColor="background1"/>
              <w:bottom w:val="single" w:sz="4" w:space="0" w:color="FFFFFF" w:themeColor="background1"/>
              <w:right w:val="single" w:sz="4" w:space="0" w:color="FFFFFF" w:themeColor="background1"/>
            </w:tcBorders>
            <w:shd w:val="clear" w:color="auto" w:fill="DBE5F1"/>
            <w:vAlign w:val="center"/>
          </w:tcPr>
          <w:p w14:paraId="766BF827" w14:textId="77777777" w:rsidR="006866A9" w:rsidRPr="006866A9" w:rsidRDefault="006866A9" w:rsidP="009732C0">
            <w:pPr>
              <w:tabs>
                <w:tab w:val="left" w:pos="0"/>
              </w:tabs>
              <w:spacing w:line="360" w:lineRule="auto"/>
              <w:jc w:val="center"/>
              <w:rPr>
                <w:rFonts w:ascii="Calibri" w:hAnsi="Calibri" w:cs="Calibri"/>
                <w:bCs/>
                <w:sz w:val="18"/>
                <w:szCs w:val="18"/>
              </w:rPr>
            </w:pPr>
            <w:r w:rsidRPr="006866A9">
              <w:rPr>
                <w:rFonts w:ascii="Calibri" w:hAnsi="Calibri" w:cs="Calibri"/>
                <w:bCs/>
                <w:sz w:val="18"/>
                <w:szCs w:val="18"/>
              </w:rPr>
              <w:t>- 3%</w:t>
            </w:r>
          </w:p>
        </w:tc>
        <w:tc>
          <w:tcPr>
            <w:tcW w:w="1417" w:type="dxa"/>
            <w:tcBorders>
              <w:top w:val="nil"/>
              <w:left w:val="single" w:sz="4" w:space="0" w:color="FFFFFF" w:themeColor="background1"/>
              <w:bottom w:val="single" w:sz="4" w:space="0" w:color="FFFFFF" w:themeColor="background1"/>
              <w:right w:val="single" w:sz="4" w:space="0" w:color="FFFFFF" w:themeColor="background1"/>
            </w:tcBorders>
            <w:shd w:val="clear" w:color="auto" w:fill="DBE5F1"/>
            <w:vAlign w:val="center"/>
          </w:tcPr>
          <w:p w14:paraId="271BE642" w14:textId="77777777" w:rsidR="006866A9" w:rsidRPr="006866A9" w:rsidRDefault="006866A9" w:rsidP="009732C0">
            <w:pPr>
              <w:tabs>
                <w:tab w:val="left" w:pos="0"/>
              </w:tabs>
              <w:spacing w:line="360" w:lineRule="auto"/>
              <w:jc w:val="center"/>
              <w:rPr>
                <w:rFonts w:ascii="Calibri" w:hAnsi="Calibri" w:cs="Calibri"/>
                <w:bCs/>
                <w:sz w:val="18"/>
                <w:szCs w:val="18"/>
              </w:rPr>
            </w:pPr>
            <w:r w:rsidRPr="006866A9">
              <w:rPr>
                <w:rFonts w:ascii="Calibri" w:hAnsi="Calibri" w:cs="Calibri"/>
                <w:bCs/>
                <w:sz w:val="18"/>
                <w:szCs w:val="18"/>
              </w:rPr>
              <w:t>21 tep</w:t>
            </w:r>
          </w:p>
        </w:tc>
        <w:tc>
          <w:tcPr>
            <w:tcW w:w="1418" w:type="dxa"/>
            <w:tcBorders>
              <w:top w:val="nil"/>
              <w:left w:val="single" w:sz="4" w:space="0" w:color="FFFFFF" w:themeColor="background1"/>
              <w:bottom w:val="single" w:sz="4" w:space="0" w:color="FFFFFF" w:themeColor="background1"/>
              <w:right w:val="single" w:sz="4" w:space="0" w:color="FFFFFF" w:themeColor="background1"/>
            </w:tcBorders>
            <w:shd w:val="clear" w:color="auto" w:fill="DBE5F1"/>
            <w:vAlign w:val="center"/>
          </w:tcPr>
          <w:p w14:paraId="745D2FA4" w14:textId="77777777" w:rsidR="006866A9" w:rsidRPr="006866A9" w:rsidRDefault="006866A9" w:rsidP="009732C0">
            <w:pPr>
              <w:tabs>
                <w:tab w:val="left" w:pos="0"/>
              </w:tabs>
              <w:spacing w:line="360" w:lineRule="auto"/>
              <w:jc w:val="center"/>
              <w:rPr>
                <w:rFonts w:ascii="Calibri" w:hAnsi="Calibri" w:cs="Calibri"/>
                <w:bCs/>
                <w:sz w:val="18"/>
                <w:szCs w:val="18"/>
              </w:rPr>
            </w:pPr>
            <w:r w:rsidRPr="006866A9">
              <w:rPr>
                <w:rFonts w:ascii="Calibri" w:hAnsi="Calibri" w:cs="Calibri"/>
                <w:bCs/>
                <w:sz w:val="18"/>
                <w:szCs w:val="18"/>
              </w:rPr>
              <w:t>20,44 tep</w:t>
            </w:r>
          </w:p>
        </w:tc>
        <w:tc>
          <w:tcPr>
            <w:tcW w:w="1701" w:type="dxa"/>
            <w:tcBorders>
              <w:top w:val="nil"/>
              <w:left w:val="single" w:sz="4" w:space="0" w:color="FFFFFF" w:themeColor="background1"/>
              <w:bottom w:val="single" w:sz="4" w:space="0" w:color="FFFFFF" w:themeColor="background1"/>
              <w:right w:val="nil"/>
            </w:tcBorders>
            <w:shd w:val="clear" w:color="auto" w:fill="DBE5F1"/>
            <w:vAlign w:val="center"/>
          </w:tcPr>
          <w:p w14:paraId="35F9933A" w14:textId="77777777" w:rsidR="006866A9" w:rsidRPr="006866A9" w:rsidRDefault="006866A9" w:rsidP="009732C0">
            <w:pPr>
              <w:tabs>
                <w:tab w:val="left" w:pos="0"/>
              </w:tabs>
              <w:spacing w:line="360" w:lineRule="auto"/>
              <w:jc w:val="center"/>
              <w:rPr>
                <w:rFonts w:ascii="Calibri" w:hAnsi="Calibri" w:cs="Calibri"/>
                <w:bCs/>
                <w:sz w:val="18"/>
                <w:szCs w:val="18"/>
              </w:rPr>
            </w:pPr>
            <w:r w:rsidRPr="006866A9">
              <w:rPr>
                <w:rFonts w:ascii="Calibri" w:hAnsi="Calibri" w:cs="Calibri"/>
                <w:bCs/>
                <w:sz w:val="18"/>
                <w:szCs w:val="18"/>
              </w:rPr>
              <w:t>- 2,7%</w:t>
            </w:r>
          </w:p>
        </w:tc>
      </w:tr>
      <w:tr w:rsidR="006866A9" w:rsidRPr="00774E93" w14:paraId="305D1765" w14:textId="77777777" w:rsidTr="009732C0">
        <w:trPr>
          <w:trHeight w:hRule="exact" w:val="340"/>
        </w:trPr>
        <w:tc>
          <w:tcPr>
            <w:tcW w:w="2972" w:type="dxa"/>
            <w:gridSpan w:val="2"/>
            <w:tcBorders>
              <w:top w:val="single" w:sz="4" w:space="0" w:color="FFFFFF" w:themeColor="background1"/>
              <w:left w:val="nil"/>
              <w:bottom w:val="single" w:sz="4" w:space="0" w:color="FFFFFF" w:themeColor="background1"/>
              <w:right w:val="single" w:sz="4" w:space="0" w:color="FFFFFF" w:themeColor="background1"/>
            </w:tcBorders>
            <w:shd w:val="clear" w:color="auto" w:fill="DBE5F1"/>
            <w:vAlign w:val="center"/>
          </w:tcPr>
          <w:p w14:paraId="706DF22E" w14:textId="77777777" w:rsidR="006866A9" w:rsidRPr="006866A9" w:rsidRDefault="006866A9" w:rsidP="009732C0">
            <w:pPr>
              <w:tabs>
                <w:tab w:val="left" w:pos="0"/>
              </w:tabs>
              <w:spacing w:line="360" w:lineRule="auto"/>
              <w:rPr>
                <w:rFonts w:ascii="Calibri" w:hAnsi="Calibri" w:cs="Calibri"/>
                <w:bCs/>
                <w:sz w:val="18"/>
                <w:szCs w:val="18"/>
              </w:rPr>
            </w:pPr>
            <w:r w:rsidRPr="006866A9">
              <w:rPr>
                <w:rFonts w:ascii="Calibri" w:hAnsi="Calibri" w:cs="Calibri"/>
                <w:bCs/>
                <w:sz w:val="18"/>
                <w:szCs w:val="18"/>
              </w:rPr>
              <w:t>Energia nas Instalações</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vAlign w:val="center"/>
          </w:tcPr>
          <w:p w14:paraId="44F0CC5E" w14:textId="77777777" w:rsidR="006866A9" w:rsidRPr="006866A9" w:rsidRDefault="006866A9" w:rsidP="009732C0">
            <w:pPr>
              <w:tabs>
                <w:tab w:val="left" w:pos="0"/>
              </w:tabs>
              <w:spacing w:line="360" w:lineRule="auto"/>
              <w:jc w:val="center"/>
              <w:rPr>
                <w:rFonts w:ascii="Calibri" w:hAnsi="Calibri" w:cs="Calibri"/>
                <w:bCs/>
                <w:sz w:val="18"/>
                <w:szCs w:val="18"/>
              </w:rPr>
            </w:pPr>
            <w:r w:rsidRPr="006866A9">
              <w:rPr>
                <w:rFonts w:ascii="Calibri" w:hAnsi="Calibri" w:cs="Calibri"/>
                <w:bCs/>
                <w:sz w:val="18"/>
                <w:szCs w:val="18"/>
              </w:rPr>
              <w:t>- 12%</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vAlign w:val="center"/>
          </w:tcPr>
          <w:p w14:paraId="64DCFD26" w14:textId="77777777" w:rsidR="006866A9" w:rsidRPr="006866A9" w:rsidRDefault="006866A9" w:rsidP="009732C0">
            <w:pPr>
              <w:tabs>
                <w:tab w:val="left" w:pos="0"/>
              </w:tabs>
              <w:spacing w:line="360" w:lineRule="auto"/>
              <w:jc w:val="center"/>
              <w:rPr>
                <w:rFonts w:ascii="Calibri" w:hAnsi="Calibri" w:cs="Calibri"/>
                <w:bCs/>
                <w:sz w:val="18"/>
                <w:szCs w:val="18"/>
              </w:rPr>
            </w:pPr>
            <w:r w:rsidRPr="006866A9">
              <w:rPr>
                <w:rFonts w:ascii="Calibri" w:hAnsi="Calibri" w:cs="Calibri"/>
                <w:bCs/>
                <w:sz w:val="18"/>
                <w:szCs w:val="18"/>
              </w:rPr>
              <w:t>20,88 tep</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vAlign w:val="center"/>
          </w:tcPr>
          <w:p w14:paraId="0CE89431" w14:textId="77777777" w:rsidR="006866A9" w:rsidRPr="006866A9" w:rsidRDefault="006866A9" w:rsidP="009732C0">
            <w:pPr>
              <w:tabs>
                <w:tab w:val="left" w:pos="0"/>
              </w:tabs>
              <w:spacing w:line="360" w:lineRule="auto"/>
              <w:jc w:val="center"/>
              <w:rPr>
                <w:rFonts w:ascii="Calibri" w:hAnsi="Calibri" w:cs="Calibri"/>
                <w:bCs/>
                <w:sz w:val="18"/>
                <w:szCs w:val="18"/>
              </w:rPr>
            </w:pPr>
            <w:r w:rsidRPr="006866A9">
              <w:rPr>
                <w:rFonts w:ascii="Calibri" w:hAnsi="Calibri" w:cs="Calibri"/>
                <w:bCs/>
                <w:sz w:val="18"/>
                <w:szCs w:val="18"/>
              </w:rPr>
              <w:t>16,12 tep</w:t>
            </w:r>
          </w:p>
        </w:tc>
        <w:tc>
          <w:tcPr>
            <w:tcW w:w="1701" w:type="dxa"/>
            <w:tcBorders>
              <w:top w:val="single" w:sz="4" w:space="0" w:color="FFFFFF" w:themeColor="background1"/>
              <w:left w:val="single" w:sz="4" w:space="0" w:color="FFFFFF" w:themeColor="background1"/>
              <w:bottom w:val="single" w:sz="4" w:space="0" w:color="FFFFFF" w:themeColor="background1"/>
              <w:right w:val="nil"/>
            </w:tcBorders>
            <w:shd w:val="clear" w:color="auto" w:fill="DBE5F1"/>
            <w:vAlign w:val="center"/>
          </w:tcPr>
          <w:p w14:paraId="5189D92B" w14:textId="77777777" w:rsidR="006866A9" w:rsidRPr="006866A9" w:rsidRDefault="006866A9" w:rsidP="009732C0">
            <w:pPr>
              <w:tabs>
                <w:tab w:val="left" w:pos="0"/>
              </w:tabs>
              <w:spacing w:line="360" w:lineRule="auto"/>
              <w:jc w:val="center"/>
              <w:rPr>
                <w:rFonts w:ascii="Calibri" w:hAnsi="Calibri" w:cs="Calibri"/>
                <w:bCs/>
                <w:sz w:val="18"/>
                <w:szCs w:val="18"/>
              </w:rPr>
            </w:pPr>
            <w:r w:rsidRPr="006866A9">
              <w:rPr>
                <w:rFonts w:ascii="Calibri" w:hAnsi="Calibri" w:cs="Calibri"/>
                <w:bCs/>
                <w:sz w:val="18"/>
                <w:szCs w:val="18"/>
              </w:rPr>
              <w:t>- 23%</w:t>
            </w:r>
          </w:p>
        </w:tc>
      </w:tr>
      <w:tr w:rsidR="006866A9" w:rsidRPr="00774E93" w14:paraId="387BD598" w14:textId="77777777" w:rsidTr="009732C0">
        <w:trPr>
          <w:trHeight w:hRule="exact" w:val="340"/>
        </w:trPr>
        <w:tc>
          <w:tcPr>
            <w:tcW w:w="1418" w:type="dxa"/>
            <w:tcBorders>
              <w:top w:val="single" w:sz="4" w:space="0" w:color="FFFFFF" w:themeColor="background1"/>
              <w:left w:val="nil"/>
              <w:bottom w:val="nil"/>
              <w:right w:val="single" w:sz="4" w:space="0" w:color="FFFFFF" w:themeColor="background1"/>
            </w:tcBorders>
            <w:shd w:val="clear" w:color="auto" w:fill="DBE5F1"/>
            <w:vAlign w:val="center"/>
          </w:tcPr>
          <w:p w14:paraId="7E57502F" w14:textId="77777777" w:rsidR="006866A9" w:rsidRPr="006866A9" w:rsidRDefault="006866A9" w:rsidP="009732C0">
            <w:pPr>
              <w:tabs>
                <w:tab w:val="left" w:pos="0"/>
              </w:tabs>
              <w:spacing w:line="360" w:lineRule="auto"/>
              <w:rPr>
                <w:rFonts w:ascii="Calibri" w:hAnsi="Calibri" w:cs="Calibri"/>
                <w:bCs/>
                <w:sz w:val="18"/>
                <w:szCs w:val="18"/>
              </w:rPr>
            </w:pPr>
            <w:r w:rsidRPr="006866A9">
              <w:rPr>
                <w:rFonts w:ascii="Calibri" w:hAnsi="Calibri" w:cs="Calibri"/>
                <w:bCs/>
                <w:sz w:val="18"/>
                <w:szCs w:val="18"/>
              </w:rPr>
              <w:t>Materiais</w:t>
            </w:r>
          </w:p>
        </w:tc>
        <w:tc>
          <w:tcPr>
            <w:tcW w:w="1554" w:type="dxa"/>
            <w:tcBorders>
              <w:top w:val="single" w:sz="4" w:space="0" w:color="FFFFFF" w:themeColor="background1"/>
              <w:left w:val="single" w:sz="4" w:space="0" w:color="FFFFFF" w:themeColor="background1"/>
              <w:bottom w:val="nil"/>
              <w:right w:val="single" w:sz="4" w:space="0" w:color="FFFFFF" w:themeColor="background1"/>
            </w:tcBorders>
            <w:shd w:val="clear" w:color="auto" w:fill="DBE5F1"/>
            <w:vAlign w:val="center"/>
          </w:tcPr>
          <w:p w14:paraId="76AC1AC0" w14:textId="77777777" w:rsidR="006866A9" w:rsidRPr="006866A9" w:rsidRDefault="006866A9" w:rsidP="009732C0">
            <w:pPr>
              <w:tabs>
                <w:tab w:val="left" w:pos="0"/>
              </w:tabs>
              <w:spacing w:line="360" w:lineRule="auto"/>
              <w:rPr>
                <w:rFonts w:ascii="Calibri" w:hAnsi="Calibri" w:cs="Calibri"/>
                <w:bCs/>
                <w:sz w:val="18"/>
                <w:szCs w:val="18"/>
              </w:rPr>
            </w:pPr>
            <w:r w:rsidRPr="006866A9">
              <w:rPr>
                <w:rFonts w:ascii="Calibri" w:hAnsi="Calibri" w:cs="Calibri"/>
                <w:bCs/>
                <w:sz w:val="18"/>
                <w:szCs w:val="18"/>
              </w:rPr>
              <w:t>Copos</w:t>
            </w:r>
          </w:p>
        </w:tc>
        <w:tc>
          <w:tcPr>
            <w:tcW w:w="1418" w:type="dxa"/>
            <w:tcBorders>
              <w:top w:val="single" w:sz="4" w:space="0" w:color="FFFFFF" w:themeColor="background1"/>
              <w:left w:val="single" w:sz="4" w:space="0" w:color="FFFFFF" w:themeColor="background1"/>
              <w:bottom w:val="nil"/>
              <w:right w:val="single" w:sz="4" w:space="0" w:color="FFFFFF" w:themeColor="background1"/>
            </w:tcBorders>
            <w:shd w:val="clear" w:color="auto" w:fill="DBE5F1"/>
            <w:vAlign w:val="center"/>
          </w:tcPr>
          <w:p w14:paraId="438B255F" w14:textId="77777777" w:rsidR="006866A9" w:rsidRPr="006866A9" w:rsidRDefault="006866A9" w:rsidP="009732C0">
            <w:pPr>
              <w:tabs>
                <w:tab w:val="left" w:pos="0"/>
              </w:tabs>
              <w:spacing w:line="360" w:lineRule="auto"/>
              <w:jc w:val="center"/>
              <w:rPr>
                <w:rFonts w:ascii="Calibri" w:hAnsi="Calibri" w:cs="Calibri"/>
                <w:bCs/>
                <w:sz w:val="18"/>
                <w:szCs w:val="18"/>
              </w:rPr>
            </w:pPr>
            <w:r w:rsidRPr="006866A9">
              <w:rPr>
                <w:rFonts w:ascii="Calibri" w:hAnsi="Calibri" w:cs="Calibri"/>
                <w:bCs/>
                <w:sz w:val="18"/>
                <w:szCs w:val="18"/>
              </w:rPr>
              <w:t>- 100%</w:t>
            </w:r>
          </w:p>
        </w:tc>
        <w:tc>
          <w:tcPr>
            <w:tcW w:w="1417" w:type="dxa"/>
            <w:tcBorders>
              <w:top w:val="single" w:sz="4" w:space="0" w:color="FFFFFF" w:themeColor="background1"/>
              <w:left w:val="single" w:sz="4" w:space="0" w:color="FFFFFF" w:themeColor="background1"/>
              <w:bottom w:val="nil"/>
              <w:right w:val="single" w:sz="4" w:space="0" w:color="FFFFFF" w:themeColor="background1"/>
            </w:tcBorders>
            <w:shd w:val="clear" w:color="auto" w:fill="DBE5F1"/>
            <w:vAlign w:val="center"/>
          </w:tcPr>
          <w:p w14:paraId="4C257D76" w14:textId="77777777" w:rsidR="006866A9" w:rsidRPr="006866A9" w:rsidRDefault="006866A9" w:rsidP="009732C0">
            <w:pPr>
              <w:tabs>
                <w:tab w:val="left" w:pos="0"/>
              </w:tabs>
              <w:spacing w:line="360" w:lineRule="auto"/>
              <w:jc w:val="center"/>
              <w:rPr>
                <w:rFonts w:ascii="Calibri" w:hAnsi="Calibri" w:cs="Calibri"/>
                <w:bCs/>
                <w:sz w:val="18"/>
                <w:szCs w:val="18"/>
              </w:rPr>
            </w:pPr>
            <w:r w:rsidRPr="006866A9">
              <w:rPr>
                <w:rFonts w:ascii="Calibri" w:hAnsi="Calibri" w:cs="Calibri"/>
                <w:bCs/>
                <w:sz w:val="18"/>
                <w:szCs w:val="18"/>
              </w:rPr>
              <w:t>13.050</w:t>
            </w:r>
          </w:p>
        </w:tc>
        <w:tc>
          <w:tcPr>
            <w:tcW w:w="1418" w:type="dxa"/>
            <w:tcBorders>
              <w:top w:val="single" w:sz="4" w:space="0" w:color="FFFFFF" w:themeColor="background1"/>
              <w:left w:val="single" w:sz="4" w:space="0" w:color="FFFFFF" w:themeColor="background1"/>
              <w:bottom w:val="nil"/>
              <w:right w:val="single" w:sz="4" w:space="0" w:color="FFFFFF" w:themeColor="background1"/>
            </w:tcBorders>
            <w:shd w:val="clear" w:color="auto" w:fill="DBE5F1"/>
            <w:vAlign w:val="center"/>
          </w:tcPr>
          <w:p w14:paraId="554AEA70" w14:textId="77777777" w:rsidR="006866A9" w:rsidRPr="006866A9" w:rsidRDefault="006866A9" w:rsidP="009732C0">
            <w:pPr>
              <w:tabs>
                <w:tab w:val="left" w:pos="0"/>
              </w:tabs>
              <w:spacing w:line="360" w:lineRule="auto"/>
              <w:jc w:val="center"/>
              <w:rPr>
                <w:rFonts w:ascii="Calibri" w:hAnsi="Calibri" w:cs="Calibri"/>
                <w:bCs/>
                <w:sz w:val="18"/>
                <w:szCs w:val="18"/>
              </w:rPr>
            </w:pPr>
            <w:r w:rsidRPr="006866A9">
              <w:rPr>
                <w:rFonts w:ascii="Calibri" w:hAnsi="Calibri" w:cs="Calibri"/>
                <w:bCs/>
                <w:sz w:val="18"/>
                <w:szCs w:val="18"/>
              </w:rPr>
              <w:t>0</w:t>
            </w:r>
          </w:p>
        </w:tc>
        <w:tc>
          <w:tcPr>
            <w:tcW w:w="1701" w:type="dxa"/>
            <w:tcBorders>
              <w:top w:val="single" w:sz="4" w:space="0" w:color="FFFFFF" w:themeColor="background1"/>
              <w:left w:val="single" w:sz="4" w:space="0" w:color="FFFFFF" w:themeColor="background1"/>
              <w:bottom w:val="nil"/>
              <w:right w:val="nil"/>
            </w:tcBorders>
            <w:shd w:val="clear" w:color="auto" w:fill="DBE5F1"/>
            <w:vAlign w:val="center"/>
          </w:tcPr>
          <w:p w14:paraId="3610AAF9" w14:textId="77777777" w:rsidR="006866A9" w:rsidRPr="006866A9" w:rsidRDefault="006866A9" w:rsidP="009732C0">
            <w:pPr>
              <w:tabs>
                <w:tab w:val="left" w:pos="0"/>
              </w:tabs>
              <w:spacing w:line="360" w:lineRule="auto"/>
              <w:jc w:val="center"/>
              <w:rPr>
                <w:rFonts w:ascii="Calibri" w:hAnsi="Calibri" w:cs="Calibri"/>
                <w:bCs/>
                <w:sz w:val="18"/>
                <w:szCs w:val="18"/>
              </w:rPr>
            </w:pPr>
            <w:r w:rsidRPr="006866A9">
              <w:rPr>
                <w:rFonts w:ascii="Calibri" w:hAnsi="Calibri" w:cs="Calibri"/>
                <w:bCs/>
                <w:sz w:val="18"/>
                <w:szCs w:val="18"/>
              </w:rPr>
              <w:t>- 100%</w:t>
            </w:r>
          </w:p>
        </w:tc>
      </w:tr>
    </w:tbl>
    <w:p w14:paraId="01BDF879" w14:textId="77777777" w:rsidR="006866A9" w:rsidRDefault="006866A9" w:rsidP="006866A9">
      <w:pPr>
        <w:pStyle w:val="efcorpodetextoRGS"/>
      </w:pPr>
    </w:p>
    <w:p w14:paraId="6FF1DBAC" w14:textId="77777777" w:rsidR="006866A9" w:rsidRDefault="006866A9" w:rsidP="006866A9">
      <w:pPr>
        <w:pStyle w:val="efcorpodetextoRGS"/>
      </w:pPr>
    </w:p>
    <w:p w14:paraId="2C854BA6" w14:textId="77777777" w:rsidR="006866A9" w:rsidRPr="00351BC7" w:rsidRDefault="006866A9" w:rsidP="00351BC7">
      <w:pPr>
        <w:pStyle w:val="efcorpodetextoRGS"/>
        <w:spacing w:line="240" w:lineRule="auto"/>
        <w:rPr>
          <w:rFonts w:eastAsia="Times New Roman"/>
          <w:kern w:val="0"/>
        </w:rPr>
      </w:pPr>
      <w:r w:rsidRPr="00351BC7">
        <w:rPr>
          <w:rFonts w:eastAsia="Times New Roman"/>
          <w:kern w:val="0"/>
        </w:rPr>
        <w:t>Os resultados obtidos em 2025 evidenciam uma redução superior às metas definida no caso da energia nas instalações, sendo que no caso da energia consumida pela frota automóvel a redução fica um pouco aquém do objetivo.</w:t>
      </w:r>
    </w:p>
    <w:p w14:paraId="10B3FAF2" w14:textId="77777777" w:rsidR="006866A9" w:rsidRPr="00351BC7" w:rsidRDefault="006866A9" w:rsidP="00351BC7">
      <w:pPr>
        <w:pStyle w:val="efcorpodetextoRGS"/>
        <w:spacing w:line="240" w:lineRule="auto"/>
        <w:rPr>
          <w:rFonts w:eastAsia="Times New Roman"/>
          <w:kern w:val="0"/>
        </w:rPr>
      </w:pPr>
    </w:p>
    <w:p w14:paraId="63AECF02" w14:textId="77777777" w:rsidR="006866A9" w:rsidRPr="00351BC7" w:rsidRDefault="006866A9" w:rsidP="00351BC7">
      <w:pPr>
        <w:pStyle w:val="efcorpodetextoRGS"/>
        <w:spacing w:line="240" w:lineRule="auto"/>
        <w:rPr>
          <w:rFonts w:eastAsia="Times New Roman"/>
          <w:kern w:val="0"/>
        </w:rPr>
      </w:pPr>
      <w:r w:rsidRPr="00351BC7">
        <w:rPr>
          <w:rFonts w:eastAsia="Times New Roman"/>
          <w:kern w:val="0"/>
        </w:rPr>
        <w:t>Ao longo do tempo, a empresa tem promovido a doação de equipamento informático sem capacidade de utilização na empresa a Instituições de Solidariedade Social e a entrega para abate/reciclagem dos equipamentos obsoletos e sem possibilidade de utilização a empresas de gestão e reciclagem de resíduos.</w:t>
      </w:r>
    </w:p>
    <w:p w14:paraId="62250680" w14:textId="77777777" w:rsidR="006866A9" w:rsidRDefault="006866A9" w:rsidP="00C93B74">
      <w:pPr>
        <w:pStyle w:val="efcorpodetextoRGS"/>
        <w:spacing w:line="240" w:lineRule="auto"/>
        <w:rPr>
          <w:rFonts w:eastAsia="Times New Roman"/>
          <w:kern w:val="0"/>
        </w:rPr>
      </w:pPr>
    </w:p>
    <w:p w14:paraId="1C3E9AD3" w14:textId="77777777" w:rsidR="006866A9" w:rsidRDefault="006866A9" w:rsidP="00C93B74">
      <w:pPr>
        <w:pStyle w:val="efcorpodetextoRGS"/>
        <w:spacing w:line="240" w:lineRule="auto"/>
        <w:rPr>
          <w:rFonts w:eastAsia="Times New Roman"/>
          <w:kern w:val="0"/>
        </w:rPr>
      </w:pPr>
    </w:p>
    <w:p w14:paraId="591978B2" w14:textId="77777777" w:rsidR="006866A9" w:rsidRPr="00B94A89" w:rsidRDefault="006866A9" w:rsidP="00C93B74">
      <w:pPr>
        <w:pStyle w:val="efcorpodetextoRGS"/>
        <w:spacing w:line="240" w:lineRule="auto"/>
        <w:rPr>
          <w:rFonts w:eastAsia="Times New Roman"/>
          <w:kern w:val="0"/>
        </w:rPr>
      </w:pPr>
    </w:p>
    <w:p w14:paraId="1F5F586E" w14:textId="77777777" w:rsidR="00C93B74" w:rsidRDefault="00C93B74" w:rsidP="00C93B74">
      <w:pPr>
        <w:pStyle w:val="efcorpodetextoRGS"/>
        <w:spacing w:line="240" w:lineRule="auto"/>
        <w:rPr>
          <w:rFonts w:eastAsia="Times New Roman"/>
          <w:kern w:val="0"/>
        </w:rPr>
      </w:pPr>
    </w:p>
    <w:p w14:paraId="225817F1" w14:textId="77777777" w:rsidR="00D17875" w:rsidRDefault="00D17875" w:rsidP="00C93B74">
      <w:pPr>
        <w:rPr>
          <w:rFonts w:asciiTheme="minorHAnsi" w:hAnsiTheme="minorHAnsi" w:cstheme="minorHAnsi"/>
          <w:b/>
          <w:bCs/>
          <w:iCs/>
          <w:sz w:val="22"/>
          <w:szCs w:val="22"/>
          <w:lang w:eastAsia="en-US"/>
        </w:rPr>
      </w:pPr>
    </w:p>
    <w:p w14:paraId="289B4FEB" w14:textId="77777777" w:rsidR="00D17875" w:rsidRDefault="00D17875" w:rsidP="00D17875">
      <w:pPr>
        <w:pStyle w:val="efcorpodetextoRGS"/>
      </w:pPr>
    </w:p>
    <w:p w14:paraId="066D6DE5" w14:textId="77777777" w:rsidR="00D17875" w:rsidRDefault="00D17875" w:rsidP="00D17875">
      <w:pPr>
        <w:pStyle w:val="efcorpodetextoRGS"/>
      </w:pPr>
    </w:p>
    <w:p w14:paraId="7ACA3FB9" w14:textId="62EC67D4" w:rsidR="00C93B74" w:rsidRDefault="00C93B74" w:rsidP="00C93B74">
      <w:pPr>
        <w:rPr>
          <w:rFonts w:asciiTheme="minorHAnsi" w:hAnsiTheme="minorHAnsi" w:cstheme="minorHAnsi"/>
          <w:b/>
          <w:bCs/>
          <w:iCs/>
          <w:sz w:val="22"/>
          <w:szCs w:val="22"/>
          <w:lang w:eastAsia="en-US"/>
        </w:rPr>
      </w:pPr>
      <w:r>
        <w:rPr>
          <w:rFonts w:asciiTheme="minorHAnsi" w:hAnsiTheme="minorHAnsi" w:cstheme="minorHAnsi"/>
          <w:b/>
          <w:bCs/>
          <w:iCs/>
          <w:sz w:val="22"/>
          <w:szCs w:val="22"/>
          <w:lang w:eastAsia="en-US"/>
        </w:rPr>
        <w:br w:type="page"/>
      </w:r>
    </w:p>
    <w:p w14:paraId="3BFB91FF" w14:textId="77777777" w:rsidR="00C93B74" w:rsidRDefault="00C93B74" w:rsidP="00C93B74">
      <w:pPr>
        <w:rPr>
          <w:rFonts w:asciiTheme="minorHAnsi" w:hAnsiTheme="minorHAnsi" w:cstheme="minorHAnsi"/>
          <w:b/>
          <w:bCs/>
          <w:iCs/>
          <w:sz w:val="22"/>
          <w:szCs w:val="22"/>
          <w:lang w:eastAsia="en-US"/>
        </w:rPr>
      </w:pPr>
    </w:p>
    <w:p w14:paraId="3D1CABCB" w14:textId="3DF07D77" w:rsidR="00C93B74" w:rsidRPr="00CD0CD4" w:rsidRDefault="00C93B74" w:rsidP="00C93B74">
      <w:pPr>
        <w:pStyle w:val="Ttulo2"/>
        <w:tabs>
          <w:tab w:val="clear" w:pos="426"/>
          <w:tab w:val="clear" w:pos="567"/>
          <w:tab w:val="clear" w:pos="3969"/>
          <w:tab w:val="clear" w:pos="4962"/>
          <w:tab w:val="clear" w:pos="6096"/>
          <w:tab w:val="clear" w:pos="7230"/>
          <w:tab w:val="clear" w:pos="8222"/>
        </w:tabs>
        <w:ind w:left="0" w:right="-340" w:firstLine="0"/>
        <w:jc w:val="left"/>
        <w:rPr>
          <w:rFonts w:asciiTheme="minorHAnsi" w:hAnsiTheme="minorHAnsi" w:cstheme="minorHAnsi"/>
          <w:b w:val="0"/>
          <w:snapToGrid w:val="0"/>
          <w:color w:val="EE0000"/>
          <w:sz w:val="22"/>
          <w:szCs w:val="22"/>
          <w:highlight w:val="yellow"/>
        </w:rPr>
      </w:pPr>
      <w:bookmarkStart w:id="36" w:name="_Toc163060206"/>
      <w:bookmarkStart w:id="37" w:name="_Toc221618460"/>
      <w:bookmarkEnd w:id="34"/>
      <w:r>
        <w:rPr>
          <w:rFonts w:asciiTheme="minorHAnsi" w:hAnsiTheme="minorHAnsi" w:cstheme="minorHAnsi"/>
          <w:bCs/>
          <w:iCs/>
          <w:sz w:val="22"/>
          <w:szCs w:val="22"/>
        </w:rPr>
        <w:t>1</w:t>
      </w:r>
      <w:r w:rsidRPr="009A4D5D">
        <w:rPr>
          <w:rFonts w:asciiTheme="minorHAnsi" w:hAnsiTheme="minorHAnsi" w:cstheme="minorHAnsi"/>
          <w:bCs/>
          <w:iCs/>
          <w:sz w:val="22"/>
          <w:szCs w:val="22"/>
        </w:rPr>
        <w:t>.</w:t>
      </w:r>
      <w:r>
        <w:rPr>
          <w:rFonts w:asciiTheme="minorHAnsi" w:hAnsiTheme="minorHAnsi" w:cstheme="minorHAnsi"/>
          <w:bCs/>
          <w:iCs/>
          <w:sz w:val="22"/>
          <w:szCs w:val="22"/>
        </w:rPr>
        <w:t>6</w:t>
      </w:r>
      <w:r w:rsidRPr="009A4D5D">
        <w:rPr>
          <w:rFonts w:asciiTheme="minorHAnsi" w:hAnsiTheme="minorHAnsi" w:cstheme="minorHAnsi"/>
          <w:bCs/>
          <w:iCs/>
          <w:sz w:val="22"/>
          <w:szCs w:val="22"/>
        </w:rPr>
        <w:t xml:space="preserve"> Análise Financeira da Atividade</w:t>
      </w:r>
      <w:r>
        <w:rPr>
          <w:rFonts w:asciiTheme="minorHAnsi" w:hAnsiTheme="minorHAnsi" w:cstheme="minorHAnsi"/>
          <w:bCs/>
          <w:iCs/>
          <w:sz w:val="22"/>
          <w:szCs w:val="22"/>
        </w:rPr>
        <w:t xml:space="preserve"> Individual</w:t>
      </w:r>
      <w:bookmarkEnd w:id="36"/>
      <w:bookmarkEnd w:id="37"/>
      <w:r w:rsidR="00CD0CD4">
        <w:rPr>
          <w:rFonts w:asciiTheme="minorHAnsi" w:hAnsiTheme="minorHAnsi" w:cstheme="minorHAnsi"/>
          <w:bCs/>
          <w:iCs/>
          <w:sz w:val="22"/>
          <w:szCs w:val="22"/>
        </w:rPr>
        <w:t xml:space="preserve">     </w:t>
      </w:r>
    </w:p>
    <w:p w14:paraId="0FF76184" w14:textId="77777777" w:rsidR="00C93B74" w:rsidRPr="00CD0CD4" w:rsidRDefault="00C93B74" w:rsidP="00C93B74">
      <w:pPr>
        <w:rPr>
          <w:rFonts w:asciiTheme="minorHAnsi" w:hAnsiTheme="minorHAnsi" w:cstheme="minorHAnsi"/>
          <w:snapToGrid w:val="0"/>
          <w:color w:val="EE0000"/>
          <w:sz w:val="22"/>
          <w:szCs w:val="22"/>
          <w:highlight w:val="yellow"/>
          <w:lang w:eastAsia="en-US"/>
        </w:rPr>
      </w:pPr>
    </w:p>
    <w:p w14:paraId="2064C578" w14:textId="0D60C5AA" w:rsidR="00C93B74" w:rsidRDefault="00C93B74" w:rsidP="00C93B74">
      <w:pPr>
        <w:tabs>
          <w:tab w:val="left" w:pos="2552"/>
          <w:tab w:val="left" w:pos="3969"/>
          <w:tab w:val="left" w:pos="5387"/>
          <w:tab w:val="left" w:pos="6804"/>
          <w:tab w:val="left" w:pos="6946"/>
        </w:tabs>
        <w:jc w:val="both"/>
        <w:rPr>
          <w:rFonts w:asciiTheme="minorHAnsi" w:hAnsiTheme="minorHAnsi" w:cstheme="minorHAnsi"/>
          <w:b/>
          <w:snapToGrid w:val="0"/>
          <w:sz w:val="22"/>
          <w:szCs w:val="22"/>
          <w:lang w:eastAsia="en-US"/>
        </w:rPr>
      </w:pPr>
      <w:r w:rsidRPr="00AB1184">
        <w:rPr>
          <w:rFonts w:asciiTheme="minorHAnsi" w:hAnsiTheme="minorHAnsi" w:cstheme="minorHAnsi"/>
          <w:b/>
          <w:snapToGrid w:val="0"/>
          <w:sz w:val="22"/>
          <w:szCs w:val="22"/>
          <w:lang w:eastAsia="en-US"/>
        </w:rPr>
        <w:t>1.</w:t>
      </w:r>
      <w:r>
        <w:rPr>
          <w:rFonts w:asciiTheme="minorHAnsi" w:hAnsiTheme="minorHAnsi" w:cstheme="minorHAnsi"/>
          <w:b/>
          <w:snapToGrid w:val="0"/>
          <w:sz w:val="22"/>
          <w:szCs w:val="22"/>
          <w:lang w:eastAsia="en-US"/>
        </w:rPr>
        <w:t>6</w:t>
      </w:r>
      <w:r w:rsidRPr="00AB1184">
        <w:rPr>
          <w:rFonts w:asciiTheme="minorHAnsi" w:hAnsiTheme="minorHAnsi" w:cstheme="minorHAnsi"/>
          <w:b/>
          <w:snapToGrid w:val="0"/>
          <w:sz w:val="22"/>
          <w:szCs w:val="22"/>
          <w:lang w:eastAsia="en-US"/>
        </w:rPr>
        <w:t>.1 Resultados e Rendibilidade</w:t>
      </w:r>
      <w:r w:rsidR="00CD0CD4">
        <w:rPr>
          <w:rFonts w:asciiTheme="minorHAnsi" w:hAnsiTheme="minorHAnsi" w:cstheme="minorHAnsi"/>
          <w:b/>
          <w:snapToGrid w:val="0"/>
          <w:sz w:val="22"/>
          <w:szCs w:val="22"/>
          <w:lang w:eastAsia="en-US"/>
        </w:rPr>
        <w:t xml:space="preserve">   </w:t>
      </w:r>
    </w:p>
    <w:tbl>
      <w:tblPr>
        <w:tblW w:w="8364" w:type="dxa"/>
        <w:jc w:val="center"/>
        <w:tblLook w:val="04A0" w:firstRow="1" w:lastRow="0" w:firstColumn="1" w:lastColumn="0" w:noHBand="0" w:noVBand="1"/>
      </w:tblPr>
      <w:tblGrid>
        <w:gridCol w:w="4820"/>
        <w:gridCol w:w="1276"/>
        <w:gridCol w:w="1134"/>
        <w:gridCol w:w="1134"/>
      </w:tblGrid>
      <w:tr w:rsidR="00C93B74" w14:paraId="2ED584B6" w14:textId="77777777" w:rsidTr="00B36274">
        <w:trPr>
          <w:trHeight w:val="300"/>
          <w:tblHeader/>
          <w:jc w:val="center"/>
        </w:trPr>
        <w:tc>
          <w:tcPr>
            <w:tcW w:w="4820" w:type="dxa"/>
            <w:tcBorders>
              <w:top w:val="single" w:sz="8" w:space="0" w:color="FFFFFF"/>
              <w:left w:val="nil"/>
              <w:bottom w:val="single" w:sz="8" w:space="0" w:color="FFFFFF"/>
              <w:right w:val="nil"/>
            </w:tcBorders>
            <w:noWrap/>
            <w:vAlign w:val="bottom"/>
            <w:hideMark/>
          </w:tcPr>
          <w:p w14:paraId="54F84F21" w14:textId="77777777" w:rsidR="00C93B74" w:rsidRDefault="00C93B74" w:rsidP="00B36274">
            <w:pPr>
              <w:rPr>
                <w:sz w:val="20"/>
                <w:szCs w:val="20"/>
              </w:rPr>
            </w:pPr>
          </w:p>
        </w:tc>
        <w:tc>
          <w:tcPr>
            <w:tcW w:w="1276" w:type="dxa"/>
            <w:tcBorders>
              <w:top w:val="single" w:sz="8" w:space="0" w:color="FFFFFF"/>
              <w:left w:val="nil"/>
              <w:bottom w:val="single" w:sz="8" w:space="0" w:color="FFFFFF"/>
              <w:right w:val="nil"/>
            </w:tcBorders>
            <w:noWrap/>
            <w:vAlign w:val="bottom"/>
            <w:hideMark/>
          </w:tcPr>
          <w:p w14:paraId="55008A37" w14:textId="77777777" w:rsidR="00C93B74" w:rsidRDefault="00C93B74" w:rsidP="00B36274">
            <w:pPr>
              <w:rPr>
                <w:sz w:val="20"/>
                <w:szCs w:val="20"/>
              </w:rPr>
            </w:pPr>
          </w:p>
        </w:tc>
        <w:tc>
          <w:tcPr>
            <w:tcW w:w="2268" w:type="dxa"/>
            <w:gridSpan w:val="2"/>
            <w:tcBorders>
              <w:top w:val="single" w:sz="8" w:space="0" w:color="FFFFFF"/>
              <w:left w:val="nil"/>
              <w:bottom w:val="single" w:sz="8" w:space="0" w:color="FFFFFF"/>
            </w:tcBorders>
            <w:noWrap/>
            <w:vAlign w:val="bottom"/>
            <w:hideMark/>
          </w:tcPr>
          <w:p w14:paraId="10C34908" w14:textId="77777777" w:rsidR="00C93B74" w:rsidRPr="00A56DC7" w:rsidRDefault="00C93B74" w:rsidP="00B36274">
            <w:pPr>
              <w:jc w:val="right"/>
              <w:rPr>
                <w:rFonts w:ascii="Calibri" w:hAnsi="Calibri" w:cs="Calibri"/>
                <w:sz w:val="14"/>
                <w:szCs w:val="14"/>
              </w:rPr>
            </w:pPr>
            <w:r w:rsidRPr="00A56DC7">
              <w:rPr>
                <w:rFonts w:ascii="Calibri" w:hAnsi="Calibri" w:cs="Calibri"/>
                <w:sz w:val="14"/>
                <w:szCs w:val="14"/>
              </w:rPr>
              <w:t>Milhares de Euros</w:t>
            </w:r>
          </w:p>
        </w:tc>
      </w:tr>
      <w:tr w:rsidR="00C93B74" w:rsidRPr="00E51B89" w14:paraId="696CAD2E" w14:textId="77777777" w:rsidTr="00B36274">
        <w:trPr>
          <w:trHeight w:hRule="exact" w:val="686"/>
          <w:tblHeader/>
          <w:jc w:val="center"/>
        </w:trPr>
        <w:tc>
          <w:tcPr>
            <w:tcW w:w="4820" w:type="dxa"/>
            <w:tcBorders>
              <w:top w:val="single" w:sz="8" w:space="0" w:color="FFFFFF"/>
              <w:bottom w:val="single" w:sz="8" w:space="0" w:color="FFFFFF"/>
              <w:right w:val="nil"/>
            </w:tcBorders>
            <w:shd w:val="clear" w:color="auto" w:fill="8EAADB" w:themeFill="accent5" w:themeFillTint="99"/>
            <w:noWrap/>
            <w:vAlign w:val="center"/>
            <w:hideMark/>
          </w:tcPr>
          <w:p w14:paraId="5050F490" w14:textId="77777777" w:rsidR="00C93B74" w:rsidRPr="00A814D4" w:rsidRDefault="00C93B74" w:rsidP="00B36274">
            <w:pPr>
              <w:jc w:val="center"/>
              <w:rPr>
                <w:rFonts w:ascii="Calibri" w:hAnsi="Calibri" w:cs="Calibri"/>
                <w:b/>
                <w:bCs/>
                <w:sz w:val="18"/>
                <w:szCs w:val="18"/>
              </w:rPr>
            </w:pPr>
          </w:p>
        </w:tc>
        <w:tc>
          <w:tcPr>
            <w:tcW w:w="1276" w:type="dxa"/>
            <w:tcBorders>
              <w:top w:val="single" w:sz="8" w:space="0" w:color="FFFFFF"/>
              <w:left w:val="nil"/>
              <w:bottom w:val="single" w:sz="8" w:space="0" w:color="FFFFFF"/>
              <w:right w:val="nil"/>
            </w:tcBorders>
            <w:shd w:val="clear" w:color="auto" w:fill="8EAADB" w:themeFill="accent5" w:themeFillTint="99"/>
            <w:noWrap/>
            <w:vAlign w:val="center"/>
            <w:hideMark/>
          </w:tcPr>
          <w:p w14:paraId="4CC305DD" w14:textId="64DB7AF2" w:rsidR="00C93B74" w:rsidRPr="00F212E5" w:rsidRDefault="00C93B74" w:rsidP="00B36274">
            <w:pPr>
              <w:jc w:val="center"/>
              <w:rPr>
                <w:rFonts w:ascii="Calibri" w:hAnsi="Calibri" w:cs="Calibri"/>
                <w:b/>
                <w:bCs/>
                <w:sz w:val="18"/>
                <w:szCs w:val="18"/>
              </w:rPr>
            </w:pPr>
            <w:r w:rsidRPr="00A814D4">
              <w:rPr>
                <w:rFonts w:ascii="Calibri" w:hAnsi="Calibri" w:cs="Calibri"/>
                <w:b/>
                <w:bCs/>
                <w:sz w:val="18"/>
                <w:szCs w:val="18"/>
              </w:rPr>
              <w:t>202</w:t>
            </w:r>
            <w:r w:rsidR="001E4F8A">
              <w:rPr>
                <w:rFonts w:ascii="Calibri" w:hAnsi="Calibri" w:cs="Calibri"/>
                <w:b/>
                <w:bCs/>
                <w:sz w:val="18"/>
                <w:szCs w:val="18"/>
              </w:rPr>
              <w:t>5</w:t>
            </w:r>
          </w:p>
        </w:tc>
        <w:tc>
          <w:tcPr>
            <w:tcW w:w="1134" w:type="dxa"/>
            <w:tcBorders>
              <w:top w:val="single" w:sz="8" w:space="0" w:color="FFFFFF"/>
              <w:left w:val="nil"/>
              <w:bottom w:val="single" w:sz="8" w:space="0" w:color="FFFFFF"/>
              <w:right w:val="nil"/>
            </w:tcBorders>
            <w:shd w:val="clear" w:color="auto" w:fill="8EAADB" w:themeFill="accent5" w:themeFillTint="99"/>
            <w:noWrap/>
            <w:vAlign w:val="center"/>
            <w:hideMark/>
          </w:tcPr>
          <w:p w14:paraId="70C4C90C" w14:textId="26DD1334" w:rsidR="00C93B74" w:rsidRPr="00E51B89" w:rsidRDefault="00C93B74" w:rsidP="00B36274">
            <w:pPr>
              <w:jc w:val="center"/>
              <w:rPr>
                <w:rFonts w:ascii="Calibri" w:hAnsi="Calibri" w:cs="Calibri"/>
                <w:b/>
                <w:bCs/>
                <w:sz w:val="18"/>
                <w:szCs w:val="18"/>
              </w:rPr>
            </w:pPr>
            <w:r w:rsidRPr="00E51B89">
              <w:rPr>
                <w:rFonts w:ascii="Calibri" w:hAnsi="Calibri" w:cs="Calibri"/>
                <w:b/>
                <w:bCs/>
                <w:sz w:val="18"/>
                <w:szCs w:val="18"/>
              </w:rPr>
              <w:t>202</w:t>
            </w:r>
            <w:r w:rsidR="001E4F8A">
              <w:rPr>
                <w:rFonts w:ascii="Calibri" w:hAnsi="Calibri" w:cs="Calibri"/>
                <w:b/>
                <w:bCs/>
                <w:sz w:val="18"/>
                <w:szCs w:val="18"/>
              </w:rPr>
              <w:t>4</w:t>
            </w:r>
          </w:p>
        </w:tc>
        <w:tc>
          <w:tcPr>
            <w:tcW w:w="1134" w:type="dxa"/>
            <w:tcBorders>
              <w:top w:val="single" w:sz="8" w:space="0" w:color="FFFFFF"/>
              <w:left w:val="nil"/>
              <w:bottom w:val="single" w:sz="8" w:space="0" w:color="FFFFFF"/>
            </w:tcBorders>
            <w:shd w:val="clear" w:color="auto" w:fill="8EAADB" w:themeFill="accent5" w:themeFillTint="99"/>
            <w:noWrap/>
            <w:vAlign w:val="center"/>
            <w:hideMark/>
          </w:tcPr>
          <w:p w14:paraId="4861C26D" w14:textId="77777777" w:rsidR="00C93B74" w:rsidRPr="00E51B89" w:rsidRDefault="00C93B74" w:rsidP="00B36274">
            <w:pPr>
              <w:jc w:val="right"/>
              <w:rPr>
                <w:rFonts w:ascii="Calibri" w:hAnsi="Calibri" w:cs="Calibri"/>
                <w:sz w:val="18"/>
                <w:szCs w:val="18"/>
              </w:rPr>
            </w:pPr>
            <w:r w:rsidRPr="00E51B89">
              <w:rPr>
                <w:rFonts w:ascii="Calibri" w:hAnsi="Calibri" w:cs="Calibri"/>
                <w:b/>
                <w:bCs/>
                <w:sz w:val="18"/>
                <w:szCs w:val="18"/>
              </w:rPr>
              <w:t>Variação</w:t>
            </w:r>
          </w:p>
        </w:tc>
      </w:tr>
      <w:tr w:rsidR="00296956" w:rsidRPr="00B06CFB" w14:paraId="0181E2C2" w14:textId="77777777" w:rsidTr="00BE48C5">
        <w:trPr>
          <w:trHeight w:hRule="exact" w:val="255"/>
          <w:jc w:val="center"/>
        </w:trPr>
        <w:tc>
          <w:tcPr>
            <w:tcW w:w="4820" w:type="dxa"/>
            <w:tcBorders>
              <w:top w:val="single" w:sz="8" w:space="0" w:color="FFFFFF"/>
              <w:left w:val="nil"/>
              <w:bottom w:val="nil"/>
              <w:right w:val="nil"/>
            </w:tcBorders>
            <w:shd w:val="clear" w:color="auto" w:fill="D9E2F3" w:themeFill="accent5" w:themeFillTint="33"/>
            <w:vAlign w:val="bottom"/>
            <w:hideMark/>
          </w:tcPr>
          <w:p w14:paraId="093CB8E6" w14:textId="77777777" w:rsidR="00296956" w:rsidRPr="00B06CFB" w:rsidRDefault="00296956" w:rsidP="00296956">
            <w:pPr>
              <w:ind w:firstLineChars="100" w:firstLine="180"/>
              <w:rPr>
                <w:rFonts w:asciiTheme="minorHAnsi" w:hAnsiTheme="minorHAnsi" w:cstheme="minorHAnsi"/>
                <w:sz w:val="18"/>
                <w:szCs w:val="18"/>
              </w:rPr>
            </w:pPr>
            <w:r w:rsidRPr="00B06CFB">
              <w:rPr>
                <w:rFonts w:asciiTheme="minorHAnsi" w:hAnsiTheme="minorHAnsi" w:cstheme="minorHAnsi"/>
                <w:sz w:val="18"/>
                <w:szCs w:val="18"/>
              </w:rPr>
              <w:t>Vendas e serviços prestados</w:t>
            </w:r>
          </w:p>
        </w:tc>
        <w:tc>
          <w:tcPr>
            <w:tcW w:w="1276" w:type="dxa"/>
            <w:tcBorders>
              <w:top w:val="single" w:sz="8" w:space="0" w:color="FFFFFF"/>
              <w:left w:val="nil"/>
              <w:bottom w:val="nil"/>
              <w:right w:val="nil"/>
            </w:tcBorders>
            <w:shd w:val="clear" w:color="auto" w:fill="D9E2F3" w:themeFill="accent5" w:themeFillTint="33"/>
            <w:noWrap/>
            <w:vAlign w:val="center"/>
          </w:tcPr>
          <w:p w14:paraId="798DF457" w14:textId="0823BCEC" w:rsidR="00296956" w:rsidRPr="00E90A9E" w:rsidRDefault="00296956" w:rsidP="00296956">
            <w:pPr>
              <w:jc w:val="right"/>
              <w:rPr>
                <w:rFonts w:asciiTheme="minorHAnsi" w:hAnsiTheme="minorHAnsi" w:cstheme="minorHAnsi"/>
                <w:sz w:val="18"/>
                <w:szCs w:val="18"/>
                <w:highlight w:val="yellow"/>
              </w:rPr>
            </w:pPr>
            <w:r>
              <w:rPr>
                <w:rFonts w:ascii="Calibri" w:hAnsi="Calibri" w:cs="Calibri"/>
                <w:sz w:val="18"/>
                <w:szCs w:val="18"/>
              </w:rPr>
              <w:t>15 385</w:t>
            </w:r>
          </w:p>
        </w:tc>
        <w:tc>
          <w:tcPr>
            <w:tcW w:w="1134" w:type="dxa"/>
            <w:tcBorders>
              <w:top w:val="single" w:sz="8" w:space="0" w:color="FFFFFF"/>
              <w:left w:val="nil"/>
              <w:bottom w:val="nil"/>
              <w:right w:val="nil"/>
            </w:tcBorders>
            <w:shd w:val="clear" w:color="auto" w:fill="D9E2F3" w:themeFill="accent5" w:themeFillTint="33"/>
            <w:noWrap/>
            <w:vAlign w:val="center"/>
            <w:hideMark/>
          </w:tcPr>
          <w:p w14:paraId="55E3B4ED" w14:textId="29DA1C0C" w:rsidR="00296956" w:rsidRPr="00B06CFB" w:rsidRDefault="00296956" w:rsidP="00296956">
            <w:pPr>
              <w:jc w:val="right"/>
              <w:rPr>
                <w:rFonts w:asciiTheme="minorHAnsi" w:hAnsiTheme="minorHAnsi" w:cstheme="minorHAnsi"/>
                <w:sz w:val="18"/>
                <w:szCs w:val="18"/>
              </w:rPr>
            </w:pPr>
            <w:r>
              <w:rPr>
                <w:rFonts w:ascii="Calibri" w:hAnsi="Calibri" w:cs="Calibri"/>
                <w:sz w:val="18"/>
                <w:szCs w:val="18"/>
              </w:rPr>
              <w:t>11 486</w:t>
            </w:r>
          </w:p>
        </w:tc>
        <w:tc>
          <w:tcPr>
            <w:tcW w:w="1134" w:type="dxa"/>
            <w:tcBorders>
              <w:top w:val="single" w:sz="8" w:space="0" w:color="FFFFFF"/>
              <w:left w:val="nil"/>
              <w:bottom w:val="nil"/>
            </w:tcBorders>
            <w:shd w:val="clear" w:color="auto" w:fill="D9E2F3" w:themeFill="accent5" w:themeFillTint="33"/>
            <w:noWrap/>
            <w:vAlign w:val="center"/>
          </w:tcPr>
          <w:p w14:paraId="1BA0C3BD" w14:textId="60282087" w:rsidR="00296956" w:rsidRPr="00B06CFB" w:rsidRDefault="00296956" w:rsidP="00296956">
            <w:pPr>
              <w:jc w:val="right"/>
              <w:rPr>
                <w:rFonts w:asciiTheme="minorHAnsi" w:hAnsiTheme="minorHAnsi" w:cstheme="minorHAnsi"/>
                <w:sz w:val="18"/>
                <w:szCs w:val="18"/>
              </w:rPr>
            </w:pPr>
            <w:r>
              <w:rPr>
                <w:rFonts w:ascii="Calibri" w:hAnsi="Calibri" w:cs="Calibri"/>
                <w:sz w:val="18"/>
                <w:szCs w:val="18"/>
              </w:rPr>
              <w:t>3 899</w:t>
            </w:r>
          </w:p>
        </w:tc>
      </w:tr>
      <w:tr w:rsidR="00296956" w:rsidRPr="00B06CFB" w14:paraId="5E16AF8D" w14:textId="77777777" w:rsidTr="00BE48C5">
        <w:trPr>
          <w:trHeight w:hRule="exact" w:val="255"/>
          <w:jc w:val="center"/>
        </w:trPr>
        <w:tc>
          <w:tcPr>
            <w:tcW w:w="4820" w:type="dxa"/>
            <w:tcBorders>
              <w:top w:val="nil"/>
              <w:left w:val="nil"/>
              <w:bottom w:val="nil"/>
              <w:right w:val="nil"/>
            </w:tcBorders>
            <w:shd w:val="clear" w:color="auto" w:fill="D9E2F3" w:themeFill="accent5" w:themeFillTint="33"/>
            <w:noWrap/>
            <w:vAlign w:val="bottom"/>
            <w:hideMark/>
          </w:tcPr>
          <w:p w14:paraId="6EE4EFAF" w14:textId="77777777" w:rsidR="00296956" w:rsidRPr="00B06CFB" w:rsidRDefault="00296956" w:rsidP="00296956">
            <w:pPr>
              <w:ind w:firstLineChars="100" w:firstLine="180"/>
              <w:rPr>
                <w:rFonts w:asciiTheme="minorHAnsi" w:hAnsiTheme="minorHAnsi" w:cstheme="minorHAnsi"/>
                <w:sz w:val="18"/>
                <w:szCs w:val="18"/>
              </w:rPr>
            </w:pPr>
            <w:r w:rsidRPr="00B06CFB">
              <w:rPr>
                <w:rFonts w:asciiTheme="minorHAnsi" w:hAnsiTheme="minorHAnsi" w:cstheme="minorHAnsi"/>
                <w:sz w:val="18"/>
                <w:szCs w:val="18"/>
              </w:rPr>
              <w:t>Custo das </w:t>
            </w:r>
            <w:proofErr w:type="spellStart"/>
            <w:r w:rsidRPr="00B06CFB">
              <w:rPr>
                <w:rFonts w:asciiTheme="minorHAnsi" w:hAnsiTheme="minorHAnsi" w:cstheme="minorHAnsi"/>
                <w:sz w:val="18"/>
                <w:szCs w:val="18"/>
              </w:rPr>
              <w:t>merc</w:t>
            </w:r>
            <w:proofErr w:type="spellEnd"/>
            <w:r w:rsidRPr="00B06CFB">
              <w:rPr>
                <w:rFonts w:asciiTheme="minorHAnsi" w:hAnsiTheme="minorHAnsi" w:cstheme="minorHAnsi"/>
                <w:sz w:val="18"/>
                <w:szCs w:val="18"/>
              </w:rPr>
              <w:t>. vendidas e das matérias consumidas</w:t>
            </w:r>
          </w:p>
        </w:tc>
        <w:tc>
          <w:tcPr>
            <w:tcW w:w="1276" w:type="dxa"/>
            <w:tcBorders>
              <w:top w:val="nil"/>
              <w:left w:val="nil"/>
              <w:right w:val="nil"/>
            </w:tcBorders>
            <w:shd w:val="clear" w:color="auto" w:fill="D9E2F3" w:themeFill="accent5" w:themeFillTint="33"/>
            <w:noWrap/>
            <w:vAlign w:val="center"/>
          </w:tcPr>
          <w:p w14:paraId="5FCC0A27" w14:textId="6325DBE7" w:rsidR="00296956" w:rsidRPr="00E90A9E" w:rsidRDefault="00296956" w:rsidP="00296956">
            <w:pPr>
              <w:jc w:val="right"/>
              <w:rPr>
                <w:rFonts w:asciiTheme="minorHAnsi" w:hAnsiTheme="minorHAnsi" w:cstheme="minorHAnsi"/>
                <w:sz w:val="18"/>
                <w:szCs w:val="18"/>
                <w:highlight w:val="yellow"/>
              </w:rPr>
            </w:pPr>
            <w:r>
              <w:rPr>
                <w:rFonts w:ascii="Calibri" w:hAnsi="Calibri" w:cs="Calibri"/>
                <w:sz w:val="18"/>
                <w:szCs w:val="18"/>
              </w:rPr>
              <w:t>(10 315)</w:t>
            </w:r>
          </w:p>
        </w:tc>
        <w:tc>
          <w:tcPr>
            <w:tcW w:w="1134" w:type="dxa"/>
            <w:tcBorders>
              <w:top w:val="nil"/>
              <w:left w:val="nil"/>
              <w:right w:val="nil"/>
            </w:tcBorders>
            <w:shd w:val="clear" w:color="auto" w:fill="D9E2F3" w:themeFill="accent5" w:themeFillTint="33"/>
            <w:noWrap/>
            <w:vAlign w:val="center"/>
            <w:hideMark/>
          </w:tcPr>
          <w:p w14:paraId="31AE7008" w14:textId="3AD86B5A" w:rsidR="00296956" w:rsidRPr="00B06CFB" w:rsidRDefault="00296956" w:rsidP="00296956">
            <w:pPr>
              <w:jc w:val="right"/>
              <w:rPr>
                <w:rFonts w:asciiTheme="minorHAnsi" w:hAnsiTheme="minorHAnsi" w:cstheme="minorHAnsi"/>
                <w:sz w:val="18"/>
                <w:szCs w:val="18"/>
              </w:rPr>
            </w:pPr>
            <w:r>
              <w:rPr>
                <w:rFonts w:ascii="Calibri" w:hAnsi="Calibri" w:cs="Calibri"/>
                <w:sz w:val="18"/>
                <w:szCs w:val="18"/>
              </w:rPr>
              <w:t>(15 390)</w:t>
            </w:r>
          </w:p>
        </w:tc>
        <w:tc>
          <w:tcPr>
            <w:tcW w:w="1134" w:type="dxa"/>
            <w:tcBorders>
              <w:top w:val="nil"/>
              <w:left w:val="nil"/>
            </w:tcBorders>
            <w:shd w:val="clear" w:color="auto" w:fill="D9E2F3" w:themeFill="accent5" w:themeFillTint="33"/>
            <w:noWrap/>
            <w:vAlign w:val="center"/>
          </w:tcPr>
          <w:p w14:paraId="0C0CB209" w14:textId="2B02EA39" w:rsidR="00296956" w:rsidRPr="00B06CFB" w:rsidRDefault="00296956" w:rsidP="00296956">
            <w:pPr>
              <w:jc w:val="right"/>
              <w:rPr>
                <w:rFonts w:asciiTheme="minorHAnsi" w:hAnsiTheme="minorHAnsi" w:cstheme="minorHAnsi"/>
                <w:sz w:val="18"/>
                <w:szCs w:val="18"/>
              </w:rPr>
            </w:pPr>
            <w:r>
              <w:rPr>
                <w:rFonts w:ascii="Calibri" w:hAnsi="Calibri" w:cs="Calibri"/>
                <w:sz w:val="18"/>
                <w:szCs w:val="18"/>
              </w:rPr>
              <w:t>5 075</w:t>
            </w:r>
          </w:p>
        </w:tc>
      </w:tr>
      <w:tr w:rsidR="00296956" w:rsidRPr="00B06CFB" w14:paraId="351050D0" w14:textId="77777777" w:rsidTr="00BE48C5">
        <w:trPr>
          <w:trHeight w:hRule="exact" w:val="255"/>
          <w:jc w:val="center"/>
        </w:trPr>
        <w:tc>
          <w:tcPr>
            <w:tcW w:w="4820" w:type="dxa"/>
            <w:tcBorders>
              <w:top w:val="nil"/>
              <w:left w:val="nil"/>
              <w:bottom w:val="nil"/>
              <w:right w:val="nil"/>
            </w:tcBorders>
            <w:shd w:val="clear" w:color="auto" w:fill="D9E2F3" w:themeFill="accent5" w:themeFillTint="33"/>
            <w:vAlign w:val="bottom"/>
            <w:hideMark/>
          </w:tcPr>
          <w:p w14:paraId="27599B7A" w14:textId="77777777" w:rsidR="00296956" w:rsidRPr="00B06CFB" w:rsidRDefault="00296956" w:rsidP="00296956">
            <w:pPr>
              <w:ind w:firstLineChars="100" w:firstLine="180"/>
              <w:rPr>
                <w:rFonts w:asciiTheme="minorHAnsi" w:hAnsiTheme="minorHAnsi" w:cstheme="minorHAnsi"/>
                <w:sz w:val="18"/>
                <w:szCs w:val="18"/>
              </w:rPr>
            </w:pPr>
            <w:r w:rsidRPr="00B06CFB">
              <w:rPr>
                <w:rFonts w:asciiTheme="minorHAnsi" w:hAnsiTheme="minorHAnsi" w:cstheme="minorHAnsi"/>
                <w:sz w:val="18"/>
                <w:szCs w:val="18"/>
              </w:rPr>
              <w:t>Fornecimentos e serviços externos</w:t>
            </w:r>
          </w:p>
        </w:tc>
        <w:tc>
          <w:tcPr>
            <w:tcW w:w="1276" w:type="dxa"/>
            <w:tcBorders>
              <w:top w:val="nil"/>
              <w:left w:val="nil"/>
              <w:right w:val="nil"/>
            </w:tcBorders>
            <w:shd w:val="clear" w:color="auto" w:fill="D9E2F3" w:themeFill="accent5" w:themeFillTint="33"/>
            <w:noWrap/>
            <w:vAlign w:val="center"/>
          </w:tcPr>
          <w:p w14:paraId="33AE5656" w14:textId="1B95168A" w:rsidR="00296956" w:rsidRPr="00E90A9E" w:rsidRDefault="00296956" w:rsidP="00296956">
            <w:pPr>
              <w:jc w:val="right"/>
              <w:rPr>
                <w:rFonts w:asciiTheme="minorHAnsi" w:hAnsiTheme="minorHAnsi" w:cstheme="minorHAnsi"/>
                <w:sz w:val="18"/>
                <w:szCs w:val="18"/>
                <w:highlight w:val="yellow"/>
              </w:rPr>
            </w:pPr>
            <w:r>
              <w:rPr>
                <w:rFonts w:ascii="Calibri" w:hAnsi="Calibri" w:cs="Calibri"/>
                <w:sz w:val="18"/>
                <w:szCs w:val="18"/>
              </w:rPr>
              <w:t>(3 837)</w:t>
            </w:r>
          </w:p>
        </w:tc>
        <w:tc>
          <w:tcPr>
            <w:tcW w:w="1134" w:type="dxa"/>
            <w:tcBorders>
              <w:top w:val="nil"/>
              <w:left w:val="nil"/>
              <w:right w:val="nil"/>
            </w:tcBorders>
            <w:shd w:val="clear" w:color="auto" w:fill="D9E2F3" w:themeFill="accent5" w:themeFillTint="33"/>
            <w:noWrap/>
            <w:vAlign w:val="center"/>
            <w:hideMark/>
          </w:tcPr>
          <w:p w14:paraId="4232F1DD" w14:textId="12BF3E41" w:rsidR="00296956" w:rsidRPr="00B06CFB" w:rsidRDefault="00296956" w:rsidP="00296956">
            <w:pPr>
              <w:jc w:val="right"/>
              <w:rPr>
                <w:rFonts w:asciiTheme="minorHAnsi" w:hAnsiTheme="minorHAnsi" w:cstheme="minorHAnsi"/>
                <w:sz w:val="18"/>
                <w:szCs w:val="18"/>
              </w:rPr>
            </w:pPr>
            <w:r>
              <w:rPr>
                <w:rFonts w:ascii="Calibri" w:hAnsi="Calibri" w:cs="Calibri"/>
                <w:sz w:val="18"/>
                <w:szCs w:val="18"/>
              </w:rPr>
              <w:t>(4 203)</w:t>
            </w:r>
          </w:p>
        </w:tc>
        <w:tc>
          <w:tcPr>
            <w:tcW w:w="1134" w:type="dxa"/>
            <w:tcBorders>
              <w:top w:val="nil"/>
              <w:left w:val="nil"/>
            </w:tcBorders>
            <w:shd w:val="clear" w:color="auto" w:fill="D9E2F3" w:themeFill="accent5" w:themeFillTint="33"/>
            <w:noWrap/>
            <w:vAlign w:val="center"/>
          </w:tcPr>
          <w:p w14:paraId="37759635" w14:textId="73387006" w:rsidR="00296956" w:rsidRPr="00B06CFB" w:rsidRDefault="00296956" w:rsidP="00296956">
            <w:pPr>
              <w:jc w:val="right"/>
              <w:rPr>
                <w:rFonts w:asciiTheme="minorHAnsi" w:hAnsiTheme="minorHAnsi" w:cstheme="minorHAnsi"/>
                <w:sz w:val="18"/>
                <w:szCs w:val="18"/>
              </w:rPr>
            </w:pPr>
            <w:r>
              <w:rPr>
                <w:rFonts w:ascii="Calibri" w:hAnsi="Calibri" w:cs="Calibri"/>
                <w:sz w:val="18"/>
                <w:szCs w:val="18"/>
              </w:rPr>
              <w:t>366</w:t>
            </w:r>
          </w:p>
        </w:tc>
      </w:tr>
      <w:tr w:rsidR="00296956" w:rsidRPr="00B06CFB" w14:paraId="5A922B96" w14:textId="77777777" w:rsidTr="00BE48C5">
        <w:trPr>
          <w:trHeight w:hRule="exact" w:val="255"/>
          <w:jc w:val="center"/>
        </w:trPr>
        <w:tc>
          <w:tcPr>
            <w:tcW w:w="4820" w:type="dxa"/>
            <w:tcBorders>
              <w:top w:val="nil"/>
              <w:left w:val="nil"/>
              <w:bottom w:val="nil"/>
              <w:right w:val="nil"/>
            </w:tcBorders>
            <w:shd w:val="clear" w:color="auto" w:fill="D9E2F3" w:themeFill="accent5" w:themeFillTint="33"/>
            <w:vAlign w:val="bottom"/>
            <w:hideMark/>
          </w:tcPr>
          <w:p w14:paraId="4DF90212" w14:textId="77777777" w:rsidR="00296956" w:rsidRPr="00B06CFB" w:rsidRDefault="00296956" w:rsidP="00296956">
            <w:pPr>
              <w:ind w:firstLineChars="100" w:firstLine="180"/>
              <w:rPr>
                <w:rFonts w:asciiTheme="minorHAnsi" w:hAnsiTheme="minorHAnsi" w:cstheme="minorHAnsi"/>
                <w:sz w:val="18"/>
                <w:szCs w:val="18"/>
              </w:rPr>
            </w:pPr>
            <w:r w:rsidRPr="00B06CFB">
              <w:rPr>
                <w:rFonts w:asciiTheme="minorHAnsi" w:hAnsiTheme="minorHAnsi" w:cstheme="minorHAnsi"/>
                <w:sz w:val="18"/>
                <w:szCs w:val="18"/>
              </w:rPr>
              <w:t>Gastos com o pessoal</w:t>
            </w:r>
          </w:p>
        </w:tc>
        <w:tc>
          <w:tcPr>
            <w:tcW w:w="1276" w:type="dxa"/>
            <w:tcBorders>
              <w:top w:val="nil"/>
              <w:left w:val="nil"/>
              <w:bottom w:val="nil"/>
              <w:right w:val="nil"/>
            </w:tcBorders>
            <w:shd w:val="clear" w:color="auto" w:fill="D9E2F3" w:themeFill="accent5" w:themeFillTint="33"/>
            <w:noWrap/>
            <w:vAlign w:val="center"/>
          </w:tcPr>
          <w:p w14:paraId="64D14374" w14:textId="2E945EA6" w:rsidR="00296956" w:rsidRPr="00E90A9E" w:rsidRDefault="00296956" w:rsidP="00296956">
            <w:pPr>
              <w:jc w:val="right"/>
              <w:rPr>
                <w:rFonts w:asciiTheme="minorHAnsi" w:hAnsiTheme="minorHAnsi" w:cstheme="minorHAnsi"/>
                <w:sz w:val="18"/>
                <w:szCs w:val="18"/>
                <w:highlight w:val="yellow"/>
              </w:rPr>
            </w:pPr>
            <w:r>
              <w:rPr>
                <w:rFonts w:ascii="Calibri" w:hAnsi="Calibri" w:cs="Calibri"/>
                <w:sz w:val="18"/>
                <w:szCs w:val="18"/>
              </w:rPr>
              <w:t>(5 228)</w:t>
            </w:r>
          </w:p>
        </w:tc>
        <w:tc>
          <w:tcPr>
            <w:tcW w:w="1134" w:type="dxa"/>
            <w:tcBorders>
              <w:top w:val="nil"/>
              <w:left w:val="nil"/>
              <w:bottom w:val="nil"/>
              <w:right w:val="nil"/>
            </w:tcBorders>
            <w:shd w:val="clear" w:color="auto" w:fill="D9E2F3" w:themeFill="accent5" w:themeFillTint="33"/>
            <w:noWrap/>
            <w:vAlign w:val="center"/>
            <w:hideMark/>
          </w:tcPr>
          <w:p w14:paraId="4B15ADF4" w14:textId="4A7B5456" w:rsidR="00296956" w:rsidRPr="00B06CFB" w:rsidRDefault="00296956" w:rsidP="00296956">
            <w:pPr>
              <w:jc w:val="right"/>
              <w:rPr>
                <w:rFonts w:asciiTheme="minorHAnsi" w:hAnsiTheme="minorHAnsi" w:cstheme="minorHAnsi"/>
                <w:sz w:val="18"/>
                <w:szCs w:val="18"/>
              </w:rPr>
            </w:pPr>
            <w:r>
              <w:rPr>
                <w:rFonts w:ascii="Calibri" w:hAnsi="Calibri" w:cs="Calibri"/>
                <w:sz w:val="18"/>
                <w:szCs w:val="18"/>
              </w:rPr>
              <w:t>(4 794)</w:t>
            </w:r>
          </w:p>
        </w:tc>
        <w:tc>
          <w:tcPr>
            <w:tcW w:w="1134" w:type="dxa"/>
            <w:tcBorders>
              <w:top w:val="nil"/>
              <w:left w:val="nil"/>
              <w:bottom w:val="nil"/>
            </w:tcBorders>
            <w:shd w:val="clear" w:color="auto" w:fill="D9E2F3" w:themeFill="accent5" w:themeFillTint="33"/>
            <w:noWrap/>
            <w:vAlign w:val="center"/>
          </w:tcPr>
          <w:p w14:paraId="19BF4A4D" w14:textId="787EBDBD" w:rsidR="00296956" w:rsidRPr="00B06CFB" w:rsidRDefault="00296956" w:rsidP="00296956">
            <w:pPr>
              <w:jc w:val="right"/>
              <w:rPr>
                <w:rFonts w:asciiTheme="minorHAnsi" w:hAnsiTheme="minorHAnsi" w:cstheme="minorHAnsi"/>
                <w:sz w:val="18"/>
                <w:szCs w:val="18"/>
              </w:rPr>
            </w:pPr>
            <w:r>
              <w:rPr>
                <w:rFonts w:ascii="Calibri" w:hAnsi="Calibri" w:cs="Calibri"/>
                <w:sz w:val="18"/>
                <w:szCs w:val="18"/>
              </w:rPr>
              <w:t>(434)</w:t>
            </w:r>
          </w:p>
        </w:tc>
      </w:tr>
      <w:tr w:rsidR="00296956" w:rsidRPr="00B06CFB" w14:paraId="699BDD50" w14:textId="77777777" w:rsidTr="00BE48C5">
        <w:trPr>
          <w:trHeight w:hRule="exact" w:val="255"/>
          <w:jc w:val="center"/>
        </w:trPr>
        <w:tc>
          <w:tcPr>
            <w:tcW w:w="4820" w:type="dxa"/>
            <w:tcBorders>
              <w:top w:val="nil"/>
              <w:left w:val="nil"/>
              <w:bottom w:val="nil"/>
              <w:right w:val="nil"/>
            </w:tcBorders>
            <w:shd w:val="clear" w:color="auto" w:fill="D9E2F3" w:themeFill="accent5" w:themeFillTint="33"/>
            <w:vAlign w:val="bottom"/>
            <w:hideMark/>
          </w:tcPr>
          <w:p w14:paraId="349EFB80" w14:textId="77777777" w:rsidR="00296956" w:rsidRPr="00B06CFB" w:rsidRDefault="00296956" w:rsidP="00296956">
            <w:pPr>
              <w:ind w:firstLineChars="100" w:firstLine="180"/>
              <w:rPr>
                <w:rFonts w:asciiTheme="minorHAnsi" w:hAnsiTheme="minorHAnsi" w:cstheme="minorHAnsi"/>
                <w:sz w:val="18"/>
                <w:szCs w:val="18"/>
              </w:rPr>
            </w:pPr>
            <w:r w:rsidRPr="00B06CFB">
              <w:rPr>
                <w:rFonts w:asciiTheme="minorHAnsi" w:hAnsiTheme="minorHAnsi" w:cstheme="minorHAnsi"/>
                <w:sz w:val="18"/>
                <w:szCs w:val="18"/>
              </w:rPr>
              <w:t>Provisões e perdas por imparidade</w:t>
            </w:r>
          </w:p>
        </w:tc>
        <w:tc>
          <w:tcPr>
            <w:tcW w:w="1276" w:type="dxa"/>
            <w:tcBorders>
              <w:top w:val="nil"/>
              <w:left w:val="nil"/>
              <w:bottom w:val="nil"/>
              <w:right w:val="nil"/>
            </w:tcBorders>
            <w:shd w:val="clear" w:color="auto" w:fill="D9E2F3" w:themeFill="accent5" w:themeFillTint="33"/>
            <w:noWrap/>
            <w:vAlign w:val="center"/>
          </w:tcPr>
          <w:p w14:paraId="52232774" w14:textId="4A70EA27" w:rsidR="00296956" w:rsidRPr="00E90A9E" w:rsidRDefault="00296956" w:rsidP="00296956">
            <w:pPr>
              <w:jc w:val="right"/>
              <w:rPr>
                <w:rFonts w:asciiTheme="minorHAnsi" w:hAnsiTheme="minorHAnsi" w:cstheme="minorHAnsi"/>
                <w:sz w:val="18"/>
                <w:szCs w:val="18"/>
                <w:highlight w:val="yellow"/>
              </w:rPr>
            </w:pPr>
            <w:r>
              <w:rPr>
                <w:rFonts w:ascii="Calibri" w:hAnsi="Calibri" w:cs="Calibri"/>
                <w:sz w:val="18"/>
                <w:szCs w:val="18"/>
              </w:rPr>
              <w:t>(25 114)</w:t>
            </w:r>
          </w:p>
        </w:tc>
        <w:tc>
          <w:tcPr>
            <w:tcW w:w="1134" w:type="dxa"/>
            <w:tcBorders>
              <w:top w:val="nil"/>
              <w:left w:val="nil"/>
              <w:bottom w:val="nil"/>
              <w:right w:val="nil"/>
            </w:tcBorders>
            <w:shd w:val="clear" w:color="auto" w:fill="D9E2F3" w:themeFill="accent5" w:themeFillTint="33"/>
            <w:noWrap/>
            <w:vAlign w:val="center"/>
            <w:hideMark/>
          </w:tcPr>
          <w:p w14:paraId="29AD71B2" w14:textId="1F06475F" w:rsidR="00296956" w:rsidRPr="00B06CFB" w:rsidRDefault="00296956" w:rsidP="00296956">
            <w:pPr>
              <w:jc w:val="right"/>
              <w:rPr>
                <w:rFonts w:asciiTheme="minorHAnsi" w:hAnsiTheme="minorHAnsi" w:cstheme="minorHAnsi"/>
                <w:sz w:val="18"/>
                <w:szCs w:val="18"/>
              </w:rPr>
            </w:pPr>
            <w:r>
              <w:rPr>
                <w:rFonts w:ascii="Calibri" w:hAnsi="Calibri" w:cs="Calibri"/>
                <w:sz w:val="18"/>
                <w:szCs w:val="18"/>
              </w:rPr>
              <w:t>39 272</w:t>
            </w:r>
          </w:p>
        </w:tc>
        <w:tc>
          <w:tcPr>
            <w:tcW w:w="1134" w:type="dxa"/>
            <w:tcBorders>
              <w:top w:val="nil"/>
              <w:left w:val="nil"/>
              <w:bottom w:val="nil"/>
            </w:tcBorders>
            <w:shd w:val="clear" w:color="auto" w:fill="D9E2F3" w:themeFill="accent5" w:themeFillTint="33"/>
            <w:noWrap/>
            <w:vAlign w:val="center"/>
          </w:tcPr>
          <w:p w14:paraId="7DEF8A5C" w14:textId="6DE4CA04" w:rsidR="00296956" w:rsidRPr="00B06CFB" w:rsidRDefault="00296956" w:rsidP="00296956">
            <w:pPr>
              <w:jc w:val="right"/>
              <w:rPr>
                <w:rFonts w:asciiTheme="minorHAnsi" w:hAnsiTheme="minorHAnsi" w:cstheme="minorHAnsi"/>
                <w:sz w:val="18"/>
                <w:szCs w:val="18"/>
              </w:rPr>
            </w:pPr>
            <w:r>
              <w:rPr>
                <w:rFonts w:ascii="Calibri" w:hAnsi="Calibri" w:cs="Calibri"/>
                <w:sz w:val="18"/>
                <w:szCs w:val="18"/>
              </w:rPr>
              <w:t>(64 386)</w:t>
            </w:r>
          </w:p>
        </w:tc>
      </w:tr>
      <w:tr w:rsidR="00296956" w:rsidRPr="00B06CFB" w14:paraId="6632ACFF" w14:textId="77777777" w:rsidTr="00BE48C5">
        <w:trPr>
          <w:trHeight w:hRule="exact" w:val="255"/>
          <w:jc w:val="center"/>
        </w:trPr>
        <w:tc>
          <w:tcPr>
            <w:tcW w:w="4820" w:type="dxa"/>
            <w:tcBorders>
              <w:top w:val="nil"/>
              <w:left w:val="nil"/>
              <w:bottom w:val="nil"/>
              <w:right w:val="nil"/>
            </w:tcBorders>
            <w:shd w:val="clear" w:color="auto" w:fill="D9E2F3" w:themeFill="accent5" w:themeFillTint="33"/>
            <w:vAlign w:val="bottom"/>
            <w:hideMark/>
          </w:tcPr>
          <w:p w14:paraId="1B862380" w14:textId="77777777" w:rsidR="00296956" w:rsidRPr="00B06CFB" w:rsidRDefault="00296956" w:rsidP="00296956">
            <w:pPr>
              <w:ind w:left="176" w:firstLineChars="2" w:firstLine="4"/>
              <w:rPr>
                <w:rFonts w:asciiTheme="minorHAnsi" w:hAnsiTheme="minorHAnsi" w:cstheme="minorHAnsi"/>
                <w:sz w:val="18"/>
                <w:szCs w:val="18"/>
              </w:rPr>
            </w:pPr>
            <w:proofErr w:type="spellStart"/>
            <w:r w:rsidRPr="00B06CFB">
              <w:rPr>
                <w:rFonts w:asciiTheme="minorHAnsi" w:hAnsiTheme="minorHAnsi" w:cstheme="minorHAnsi"/>
                <w:sz w:val="18"/>
                <w:szCs w:val="18"/>
              </w:rPr>
              <w:t>Res</w:t>
            </w:r>
            <w:proofErr w:type="spellEnd"/>
            <w:r>
              <w:rPr>
                <w:rFonts w:asciiTheme="minorHAnsi" w:hAnsiTheme="minorHAnsi" w:cstheme="minorHAnsi"/>
                <w:sz w:val="18"/>
                <w:szCs w:val="18"/>
              </w:rPr>
              <w:t>.</w:t>
            </w:r>
            <w:r w:rsidRPr="00B06CFB">
              <w:rPr>
                <w:rFonts w:asciiTheme="minorHAnsi" w:hAnsiTheme="minorHAnsi" w:cstheme="minorHAnsi"/>
                <w:sz w:val="18"/>
                <w:szCs w:val="18"/>
              </w:rPr>
              <w:t xml:space="preserve"> em ativos </w:t>
            </w:r>
            <w:proofErr w:type="spellStart"/>
            <w:r w:rsidRPr="00B06CFB">
              <w:rPr>
                <w:rFonts w:asciiTheme="minorHAnsi" w:hAnsiTheme="minorHAnsi" w:cstheme="minorHAnsi"/>
                <w:sz w:val="18"/>
                <w:szCs w:val="18"/>
              </w:rPr>
              <w:t>financ</w:t>
            </w:r>
            <w:proofErr w:type="spellEnd"/>
            <w:r>
              <w:rPr>
                <w:rFonts w:asciiTheme="minorHAnsi" w:hAnsiTheme="minorHAnsi" w:cstheme="minorHAnsi"/>
                <w:sz w:val="18"/>
                <w:szCs w:val="18"/>
              </w:rPr>
              <w:t xml:space="preserve">. </w:t>
            </w:r>
            <w:r w:rsidRPr="00B06CFB">
              <w:rPr>
                <w:rFonts w:asciiTheme="minorHAnsi" w:hAnsiTheme="minorHAnsi" w:cstheme="minorHAnsi"/>
                <w:sz w:val="18"/>
                <w:szCs w:val="18"/>
              </w:rPr>
              <w:t xml:space="preserve">ao justo valor através </w:t>
            </w:r>
            <w:r>
              <w:rPr>
                <w:rFonts w:asciiTheme="minorHAnsi" w:hAnsiTheme="minorHAnsi" w:cstheme="minorHAnsi"/>
                <w:sz w:val="18"/>
                <w:szCs w:val="18"/>
              </w:rPr>
              <w:t xml:space="preserve">de </w:t>
            </w:r>
            <w:r w:rsidRPr="00B06CFB">
              <w:rPr>
                <w:rFonts w:asciiTheme="minorHAnsi" w:hAnsiTheme="minorHAnsi" w:cstheme="minorHAnsi"/>
                <w:sz w:val="18"/>
                <w:szCs w:val="18"/>
              </w:rPr>
              <w:t>resultados</w:t>
            </w:r>
          </w:p>
        </w:tc>
        <w:tc>
          <w:tcPr>
            <w:tcW w:w="1276" w:type="dxa"/>
            <w:tcBorders>
              <w:top w:val="nil"/>
              <w:left w:val="nil"/>
              <w:bottom w:val="nil"/>
              <w:right w:val="nil"/>
            </w:tcBorders>
            <w:shd w:val="clear" w:color="auto" w:fill="D9E2F3" w:themeFill="accent5" w:themeFillTint="33"/>
            <w:noWrap/>
            <w:vAlign w:val="center"/>
          </w:tcPr>
          <w:p w14:paraId="040CAC63" w14:textId="5863B24D" w:rsidR="00296956" w:rsidRPr="00E90A9E" w:rsidRDefault="00296956" w:rsidP="00296956">
            <w:pPr>
              <w:jc w:val="right"/>
              <w:rPr>
                <w:rFonts w:asciiTheme="minorHAnsi" w:hAnsiTheme="minorHAnsi" w:cstheme="minorHAnsi"/>
                <w:sz w:val="18"/>
                <w:szCs w:val="18"/>
                <w:highlight w:val="yellow"/>
              </w:rPr>
            </w:pPr>
            <w:r>
              <w:rPr>
                <w:rFonts w:ascii="Calibri" w:hAnsi="Calibri" w:cs="Calibri"/>
                <w:sz w:val="18"/>
                <w:szCs w:val="18"/>
              </w:rPr>
              <w:t>11 644</w:t>
            </w:r>
          </w:p>
        </w:tc>
        <w:tc>
          <w:tcPr>
            <w:tcW w:w="1134" w:type="dxa"/>
            <w:tcBorders>
              <w:top w:val="nil"/>
              <w:left w:val="nil"/>
              <w:bottom w:val="nil"/>
              <w:right w:val="nil"/>
            </w:tcBorders>
            <w:shd w:val="clear" w:color="auto" w:fill="D9E2F3" w:themeFill="accent5" w:themeFillTint="33"/>
            <w:noWrap/>
            <w:vAlign w:val="center"/>
            <w:hideMark/>
          </w:tcPr>
          <w:p w14:paraId="753DFEFE" w14:textId="62A99C5E" w:rsidR="00296956" w:rsidRPr="00B06CFB" w:rsidRDefault="00296956" w:rsidP="00296956">
            <w:pPr>
              <w:jc w:val="right"/>
              <w:rPr>
                <w:rFonts w:asciiTheme="minorHAnsi" w:hAnsiTheme="minorHAnsi" w:cstheme="minorHAnsi"/>
                <w:sz w:val="18"/>
                <w:szCs w:val="18"/>
              </w:rPr>
            </w:pPr>
            <w:r>
              <w:rPr>
                <w:rFonts w:ascii="Calibri" w:hAnsi="Calibri" w:cs="Calibri"/>
                <w:sz w:val="18"/>
                <w:szCs w:val="18"/>
              </w:rPr>
              <w:t>12 369</w:t>
            </w:r>
          </w:p>
        </w:tc>
        <w:tc>
          <w:tcPr>
            <w:tcW w:w="1134" w:type="dxa"/>
            <w:tcBorders>
              <w:top w:val="nil"/>
              <w:left w:val="nil"/>
              <w:bottom w:val="nil"/>
            </w:tcBorders>
            <w:shd w:val="clear" w:color="auto" w:fill="D9E2F3" w:themeFill="accent5" w:themeFillTint="33"/>
            <w:noWrap/>
            <w:vAlign w:val="center"/>
          </w:tcPr>
          <w:p w14:paraId="666C5CD8" w14:textId="09B2A938" w:rsidR="00296956" w:rsidRPr="00B06CFB" w:rsidRDefault="00296956" w:rsidP="00296956">
            <w:pPr>
              <w:jc w:val="right"/>
              <w:rPr>
                <w:rFonts w:asciiTheme="minorHAnsi" w:hAnsiTheme="minorHAnsi" w:cstheme="minorHAnsi"/>
                <w:sz w:val="18"/>
                <w:szCs w:val="18"/>
              </w:rPr>
            </w:pPr>
            <w:r>
              <w:rPr>
                <w:rFonts w:ascii="Calibri" w:hAnsi="Calibri" w:cs="Calibri"/>
                <w:sz w:val="18"/>
                <w:szCs w:val="18"/>
              </w:rPr>
              <w:t>(725)</w:t>
            </w:r>
          </w:p>
        </w:tc>
      </w:tr>
      <w:tr w:rsidR="00296956" w:rsidRPr="00B06CFB" w14:paraId="35F0674A" w14:textId="77777777" w:rsidTr="00BE48C5">
        <w:trPr>
          <w:trHeight w:hRule="exact" w:val="255"/>
          <w:jc w:val="center"/>
        </w:trPr>
        <w:tc>
          <w:tcPr>
            <w:tcW w:w="4820" w:type="dxa"/>
            <w:tcBorders>
              <w:top w:val="nil"/>
              <w:left w:val="nil"/>
              <w:bottom w:val="nil"/>
              <w:right w:val="nil"/>
            </w:tcBorders>
            <w:shd w:val="clear" w:color="auto" w:fill="D9E2F3" w:themeFill="accent5" w:themeFillTint="33"/>
            <w:vAlign w:val="bottom"/>
            <w:hideMark/>
          </w:tcPr>
          <w:p w14:paraId="4123AD5F" w14:textId="77777777" w:rsidR="00296956" w:rsidRPr="00B06CFB" w:rsidRDefault="00296956" w:rsidP="00296956">
            <w:pPr>
              <w:ind w:firstLineChars="100" w:firstLine="180"/>
              <w:rPr>
                <w:rFonts w:asciiTheme="minorHAnsi" w:hAnsiTheme="minorHAnsi" w:cstheme="minorHAnsi"/>
                <w:sz w:val="18"/>
                <w:szCs w:val="18"/>
              </w:rPr>
            </w:pPr>
            <w:r w:rsidRPr="00B06CFB">
              <w:rPr>
                <w:rFonts w:asciiTheme="minorHAnsi" w:hAnsiTheme="minorHAnsi" w:cstheme="minorHAnsi"/>
                <w:sz w:val="18"/>
                <w:szCs w:val="18"/>
              </w:rPr>
              <w:t>Outros rendimentos e ganhos</w:t>
            </w:r>
          </w:p>
        </w:tc>
        <w:tc>
          <w:tcPr>
            <w:tcW w:w="1276" w:type="dxa"/>
            <w:tcBorders>
              <w:top w:val="nil"/>
              <w:left w:val="nil"/>
              <w:bottom w:val="nil"/>
              <w:right w:val="nil"/>
            </w:tcBorders>
            <w:shd w:val="clear" w:color="auto" w:fill="D9E2F3" w:themeFill="accent5" w:themeFillTint="33"/>
            <w:noWrap/>
            <w:vAlign w:val="center"/>
          </w:tcPr>
          <w:p w14:paraId="10BEDD39" w14:textId="2FDDC3DB" w:rsidR="00296956" w:rsidRPr="00E90A9E" w:rsidRDefault="00296956" w:rsidP="00296956">
            <w:pPr>
              <w:jc w:val="right"/>
              <w:rPr>
                <w:rFonts w:asciiTheme="minorHAnsi" w:hAnsiTheme="minorHAnsi" w:cstheme="minorHAnsi"/>
                <w:sz w:val="18"/>
                <w:szCs w:val="18"/>
                <w:highlight w:val="yellow"/>
              </w:rPr>
            </w:pPr>
            <w:r>
              <w:rPr>
                <w:rFonts w:ascii="Calibri" w:hAnsi="Calibri" w:cs="Calibri"/>
                <w:sz w:val="18"/>
                <w:szCs w:val="18"/>
              </w:rPr>
              <w:t>68 526</w:t>
            </w:r>
          </w:p>
        </w:tc>
        <w:tc>
          <w:tcPr>
            <w:tcW w:w="1134" w:type="dxa"/>
            <w:tcBorders>
              <w:top w:val="nil"/>
              <w:left w:val="nil"/>
              <w:bottom w:val="nil"/>
              <w:right w:val="nil"/>
            </w:tcBorders>
            <w:shd w:val="clear" w:color="auto" w:fill="D9E2F3" w:themeFill="accent5" w:themeFillTint="33"/>
            <w:noWrap/>
            <w:vAlign w:val="center"/>
            <w:hideMark/>
          </w:tcPr>
          <w:p w14:paraId="053980AB" w14:textId="0CDF9818" w:rsidR="00296956" w:rsidRPr="00B06CFB" w:rsidRDefault="00296956" w:rsidP="00296956">
            <w:pPr>
              <w:jc w:val="right"/>
              <w:rPr>
                <w:rFonts w:asciiTheme="minorHAnsi" w:hAnsiTheme="minorHAnsi" w:cstheme="minorHAnsi"/>
                <w:sz w:val="18"/>
                <w:szCs w:val="18"/>
              </w:rPr>
            </w:pPr>
            <w:r>
              <w:rPr>
                <w:rFonts w:ascii="Calibri" w:hAnsi="Calibri" w:cs="Calibri"/>
                <w:sz w:val="18"/>
                <w:szCs w:val="18"/>
              </w:rPr>
              <w:t>56 001</w:t>
            </w:r>
          </w:p>
        </w:tc>
        <w:tc>
          <w:tcPr>
            <w:tcW w:w="1134" w:type="dxa"/>
            <w:tcBorders>
              <w:top w:val="nil"/>
              <w:left w:val="nil"/>
              <w:bottom w:val="nil"/>
            </w:tcBorders>
            <w:shd w:val="clear" w:color="auto" w:fill="D9E2F3" w:themeFill="accent5" w:themeFillTint="33"/>
            <w:noWrap/>
            <w:vAlign w:val="center"/>
          </w:tcPr>
          <w:p w14:paraId="0A09D300" w14:textId="70CC5251" w:rsidR="00296956" w:rsidRPr="00B06CFB" w:rsidRDefault="00296956" w:rsidP="00296956">
            <w:pPr>
              <w:jc w:val="right"/>
              <w:rPr>
                <w:rFonts w:asciiTheme="minorHAnsi" w:hAnsiTheme="minorHAnsi" w:cstheme="minorHAnsi"/>
                <w:sz w:val="18"/>
                <w:szCs w:val="18"/>
              </w:rPr>
            </w:pPr>
            <w:r>
              <w:rPr>
                <w:rFonts w:ascii="Calibri" w:hAnsi="Calibri" w:cs="Calibri"/>
                <w:sz w:val="18"/>
                <w:szCs w:val="18"/>
              </w:rPr>
              <w:t>12 525</w:t>
            </w:r>
          </w:p>
        </w:tc>
      </w:tr>
      <w:tr w:rsidR="00296956" w:rsidRPr="00B06CFB" w14:paraId="248C00F4" w14:textId="77777777" w:rsidTr="00BE48C5">
        <w:trPr>
          <w:trHeight w:hRule="exact" w:val="255"/>
          <w:jc w:val="center"/>
        </w:trPr>
        <w:tc>
          <w:tcPr>
            <w:tcW w:w="4820" w:type="dxa"/>
            <w:tcBorders>
              <w:top w:val="nil"/>
              <w:left w:val="nil"/>
              <w:bottom w:val="nil"/>
              <w:right w:val="nil"/>
            </w:tcBorders>
            <w:shd w:val="clear" w:color="auto" w:fill="D9E2F3" w:themeFill="accent5" w:themeFillTint="33"/>
            <w:vAlign w:val="bottom"/>
            <w:hideMark/>
          </w:tcPr>
          <w:p w14:paraId="62B755E0" w14:textId="77777777" w:rsidR="00296956" w:rsidRPr="00B06CFB" w:rsidRDefault="00296956" w:rsidP="00296956">
            <w:pPr>
              <w:ind w:firstLineChars="100" w:firstLine="180"/>
              <w:rPr>
                <w:rFonts w:asciiTheme="minorHAnsi" w:hAnsiTheme="minorHAnsi" w:cstheme="minorHAnsi"/>
                <w:sz w:val="18"/>
                <w:szCs w:val="18"/>
              </w:rPr>
            </w:pPr>
            <w:r w:rsidRPr="00B06CFB">
              <w:rPr>
                <w:rFonts w:asciiTheme="minorHAnsi" w:hAnsiTheme="minorHAnsi" w:cstheme="minorHAnsi"/>
                <w:sz w:val="18"/>
                <w:szCs w:val="18"/>
              </w:rPr>
              <w:t>Outros custos operacionais</w:t>
            </w:r>
          </w:p>
        </w:tc>
        <w:tc>
          <w:tcPr>
            <w:tcW w:w="1276" w:type="dxa"/>
            <w:tcBorders>
              <w:top w:val="nil"/>
              <w:left w:val="nil"/>
              <w:bottom w:val="single" w:sz="8" w:space="0" w:color="FFFFFF"/>
              <w:right w:val="nil"/>
            </w:tcBorders>
            <w:shd w:val="clear" w:color="auto" w:fill="D9E2F3" w:themeFill="accent5" w:themeFillTint="33"/>
            <w:noWrap/>
            <w:vAlign w:val="center"/>
          </w:tcPr>
          <w:p w14:paraId="2E6663F8" w14:textId="459189AF" w:rsidR="00296956" w:rsidRPr="00E90A9E" w:rsidRDefault="00296956" w:rsidP="00296956">
            <w:pPr>
              <w:jc w:val="right"/>
              <w:rPr>
                <w:rFonts w:asciiTheme="minorHAnsi" w:hAnsiTheme="minorHAnsi" w:cstheme="minorHAnsi"/>
                <w:sz w:val="18"/>
                <w:szCs w:val="18"/>
                <w:highlight w:val="yellow"/>
              </w:rPr>
            </w:pPr>
            <w:r>
              <w:rPr>
                <w:rFonts w:ascii="Calibri" w:hAnsi="Calibri" w:cs="Calibri"/>
                <w:sz w:val="18"/>
                <w:szCs w:val="18"/>
              </w:rPr>
              <w:t>(44 721)</w:t>
            </w:r>
          </w:p>
        </w:tc>
        <w:tc>
          <w:tcPr>
            <w:tcW w:w="1134" w:type="dxa"/>
            <w:tcBorders>
              <w:top w:val="nil"/>
              <w:left w:val="nil"/>
              <w:bottom w:val="single" w:sz="8" w:space="0" w:color="FFFFFF"/>
              <w:right w:val="nil"/>
            </w:tcBorders>
            <w:shd w:val="clear" w:color="auto" w:fill="D9E2F3" w:themeFill="accent5" w:themeFillTint="33"/>
            <w:noWrap/>
            <w:vAlign w:val="center"/>
            <w:hideMark/>
          </w:tcPr>
          <w:p w14:paraId="2915E2A8" w14:textId="0CDAD412" w:rsidR="00296956" w:rsidRPr="00B06CFB" w:rsidRDefault="00296956" w:rsidP="00296956">
            <w:pPr>
              <w:jc w:val="right"/>
              <w:rPr>
                <w:rFonts w:asciiTheme="minorHAnsi" w:hAnsiTheme="minorHAnsi" w:cstheme="minorHAnsi"/>
                <w:sz w:val="18"/>
                <w:szCs w:val="18"/>
              </w:rPr>
            </w:pPr>
            <w:r>
              <w:rPr>
                <w:rFonts w:ascii="Calibri" w:hAnsi="Calibri" w:cs="Calibri"/>
                <w:sz w:val="18"/>
                <w:szCs w:val="18"/>
              </w:rPr>
              <w:t>(20 537)</w:t>
            </w:r>
          </w:p>
        </w:tc>
        <w:tc>
          <w:tcPr>
            <w:tcW w:w="1134" w:type="dxa"/>
            <w:tcBorders>
              <w:top w:val="nil"/>
              <w:left w:val="nil"/>
              <w:bottom w:val="single" w:sz="8" w:space="0" w:color="FFFFFF"/>
            </w:tcBorders>
            <w:shd w:val="clear" w:color="auto" w:fill="D9E2F3" w:themeFill="accent5" w:themeFillTint="33"/>
            <w:noWrap/>
            <w:vAlign w:val="center"/>
          </w:tcPr>
          <w:p w14:paraId="47A51E66" w14:textId="0E3D092D" w:rsidR="00296956" w:rsidRPr="00B06CFB" w:rsidRDefault="00296956" w:rsidP="00296956">
            <w:pPr>
              <w:jc w:val="right"/>
              <w:rPr>
                <w:rFonts w:asciiTheme="minorHAnsi" w:hAnsiTheme="minorHAnsi" w:cstheme="minorHAnsi"/>
                <w:sz w:val="18"/>
                <w:szCs w:val="18"/>
              </w:rPr>
            </w:pPr>
            <w:r>
              <w:rPr>
                <w:rFonts w:ascii="Calibri" w:hAnsi="Calibri" w:cs="Calibri"/>
                <w:sz w:val="18"/>
                <w:szCs w:val="18"/>
              </w:rPr>
              <w:t>(24 184)</w:t>
            </w:r>
          </w:p>
        </w:tc>
      </w:tr>
      <w:tr w:rsidR="00296956" w:rsidRPr="00B06CFB" w14:paraId="3FD6A8ED" w14:textId="77777777" w:rsidTr="00BE48C5">
        <w:trPr>
          <w:trHeight w:hRule="exact" w:val="255"/>
          <w:jc w:val="center"/>
        </w:trPr>
        <w:tc>
          <w:tcPr>
            <w:tcW w:w="4820" w:type="dxa"/>
            <w:tcBorders>
              <w:top w:val="nil"/>
              <w:left w:val="nil"/>
              <w:bottom w:val="nil"/>
              <w:right w:val="nil"/>
            </w:tcBorders>
            <w:shd w:val="clear" w:color="auto" w:fill="D9E2F3" w:themeFill="accent5" w:themeFillTint="33"/>
            <w:vAlign w:val="bottom"/>
            <w:hideMark/>
          </w:tcPr>
          <w:p w14:paraId="2A0D5893" w14:textId="77777777" w:rsidR="00296956" w:rsidRPr="00B06CFB" w:rsidRDefault="00296956" w:rsidP="00296956">
            <w:pPr>
              <w:rPr>
                <w:rFonts w:asciiTheme="minorHAnsi" w:hAnsiTheme="minorHAnsi" w:cstheme="minorHAnsi"/>
                <w:b/>
                <w:bCs/>
                <w:sz w:val="18"/>
                <w:szCs w:val="18"/>
              </w:rPr>
            </w:pPr>
            <w:r w:rsidRPr="00B06CFB">
              <w:rPr>
                <w:rFonts w:asciiTheme="minorHAnsi" w:hAnsiTheme="minorHAnsi" w:cstheme="minorHAnsi"/>
                <w:b/>
                <w:bCs/>
                <w:sz w:val="18"/>
                <w:szCs w:val="18"/>
              </w:rPr>
              <w:t> </w:t>
            </w:r>
          </w:p>
        </w:tc>
        <w:tc>
          <w:tcPr>
            <w:tcW w:w="1276" w:type="dxa"/>
            <w:tcBorders>
              <w:top w:val="nil"/>
              <w:left w:val="nil"/>
              <w:bottom w:val="nil"/>
              <w:right w:val="nil"/>
            </w:tcBorders>
            <w:shd w:val="clear" w:color="auto" w:fill="D9E2F3" w:themeFill="accent5" w:themeFillTint="33"/>
            <w:noWrap/>
            <w:vAlign w:val="center"/>
          </w:tcPr>
          <w:p w14:paraId="5D0BC143" w14:textId="494B860C" w:rsidR="00296956" w:rsidRPr="00E90A9E" w:rsidRDefault="00296956" w:rsidP="00296956">
            <w:pPr>
              <w:jc w:val="right"/>
              <w:rPr>
                <w:rFonts w:asciiTheme="minorHAnsi" w:hAnsiTheme="minorHAnsi" w:cstheme="minorHAnsi"/>
                <w:b/>
                <w:bCs/>
                <w:sz w:val="18"/>
                <w:szCs w:val="18"/>
                <w:highlight w:val="yellow"/>
              </w:rPr>
            </w:pPr>
            <w:r>
              <w:rPr>
                <w:rFonts w:ascii="Calibri" w:hAnsi="Calibri" w:cs="Calibri"/>
                <w:b/>
                <w:bCs/>
                <w:sz w:val="18"/>
                <w:szCs w:val="18"/>
              </w:rPr>
              <w:t>6 340</w:t>
            </w:r>
          </w:p>
        </w:tc>
        <w:tc>
          <w:tcPr>
            <w:tcW w:w="1134" w:type="dxa"/>
            <w:tcBorders>
              <w:top w:val="nil"/>
              <w:left w:val="nil"/>
              <w:bottom w:val="nil"/>
              <w:right w:val="nil"/>
            </w:tcBorders>
            <w:shd w:val="clear" w:color="auto" w:fill="D9E2F3" w:themeFill="accent5" w:themeFillTint="33"/>
            <w:noWrap/>
            <w:vAlign w:val="center"/>
            <w:hideMark/>
          </w:tcPr>
          <w:p w14:paraId="27021A95" w14:textId="64EBB2B2" w:rsidR="00296956" w:rsidRPr="00B06CFB" w:rsidRDefault="00296956" w:rsidP="00296956">
            <w:pPr>
              <w:jc w:val="right"/>
              <w:rPr>
                <w:rFonts w:asciiTheme="minorHAnsi" w:hAnsiTheme="minorHAnsi" w:cstheme="minorHAnsi"/>
                <w:b/>
                <w:bCs/>
                <w:sz w:val="18"/>
                <w:szCs w:val="18"/>
              </w:rPr>
            </w:pPr>
            <w:r>
              <w:rPr>
                <w:rFonts w:ascii="Calibri" w:hAnsi="Calibri" w:cs="Calibri"/>
                <w:b/>
                <w:bCs/>
                <w:sz w:val="18"/>
                <w:szCs w:val="18"/>
              </w:rPr>
              <w:t>74 204</w:t>
            </w:r>
          </w:p>
        </w:tc>
        <w:tc>
          <w:tcPr>
            <w:tcW w:w="1134" w:type="dxa"/>
            <w:tcBorders>
              <w:top w:val="nil"/>
              <w:left w:val="nil"/>
              <w:bottom w:val="nil"/>
            </w:tcBorders>
            <w:shd w:val="clear" w:color="auto" w:fill="D9E2F3" w:themeFill="accent5" w:themeFillTint="33"/>
            <w:noWrap/>
            <w:vAlign w:val="center"/>
          </w:tcPr>
          <w:p w14:paraId="16C2878B" w14:textId="6833E45B" w:rsidR="00296956" w:rsidRPr="00B06CFB" w:rsidRDefault="00296956" w:rsidP="00296956">
            <w:pPr>
              <w:jc w:val="right"/>
              <w:rPr>
                <w:rFonts w:asciiTheme="minorHAnsi" w:hAnsiTheme="minorHAnsi" w:cstheme="minorHAnsi"/>
                <w:b/>
                <w:bCs/>
                <w:sz w:val="18"/>
                <w:szCs w:val="18"/>
              </w:rPr>
            </w:pPr>
            <w:r>
              <w:rPr>
                <w:rFonts w:ascii="Calibri" w:hAnsi="Calibri" w:cs="Calibri"/>
                <w:b/>
                <w:bCs/>
                <w:sz w:val="18"/>
                <w:szCs w:val="18"/>
              </w:rPr>
              <w:t>(67 864)</w:t>
            </w:r>
          </w:p>
        </w:tc>
      </w:tr>
      <w:tr w:rsidR="00296956" w:rsidRPr="00B06CFB" w14:paraId="0639751D" w14:textId="77777777" w:rsidTr="00BE48C5">
        <w:trPr>
          <w:trHeight w:hRule="exact" w:val="255"/>
          <w:jc w:val="center"/>
        </w:trPr>
        <w:tc>
          <w:tcPr>
            <w:tcW w:w="4820" w:type="dxa"/>
            <w:tcBorders>
              <w:top w:val="nil"/>
              <w:left w:val="nil"/>
              <w:bottom w:val="nil"/>
              <w:right w:val="nil"/>
            </w:tcBorders>
            <w:shd w:val="clear" w:color="auto" w:fill="D9E2F3" w:themeFill="accent5" w:themeFillTint="33"/>
            <w:vAlign w:val="bottom"/>
            <w:hideMark/>
          </w:tcPr>
          <w:p w14:paraId="291B663D" w14:textId="77777777" w:rsidR="00296956" w:rsidRPr="00B06CFB" w:rsidRDefault="00296956" w:rsidP="00296956">
            <w:pPr>
              <w:ind w:firstLineChars="100" w:firstLine="180"/>
              <w:rPr>
                <w:rFonts w:asciiTheme="minorHAnsi" w:hAnsiTheme="minorHAnsi" w:cstheme="minorHAnsi"/>
                <w:sz w:val="18"/>
                <w:szCs w:val="18"/>
              </w:rPr>
            </w:pPr>
            <w:r w:rsidRPr="00B06CFB">
              <w:rPr>
                <w:rFonts w:asciiTheme="minorHAnsi" w:hAnsiTheme="minorHAnsi" w:cstheme="minorHAnsi"/>
                <w:sz w:val="18"/>
                <w:szCs w:val="18"/>
              </w:rPr>
              <w:t>Rendimentos e ganhos financeiros</w:t>
            </w:r>
          </w:p>
        </w:tc>
        <w:tc>
          <w:tcPr>
            <w:tcW w:w="1276" w:type="dxa"/>
            <w:tcBorders>
              <w:top w:val="nil"/>
              <w:left w:val="nil"/>
              <w:bottom w:val="nil"/>
              <w:right w:val="nil"/>
            </w:tcBorders>
            <w:shd w:val="clear" w:color="auto" w:fill="D9E2F3" w:themeFill="accent5" w:themeFillTint="33"/>
            <w:noWrap/>
            <w:vAlign w:val="center"/>
          </w:tcPr>
          <w:p w14:paraId="1B2DF958" w14:textId="200E84CC" w:rsidR="00296956" w:rsidRPr="00E90A9E" w:rsidRDefault="00296956" w:rsidP="00296956">
            <w:pPr>
              <w:jc w:val="right"/>
              <w:rPr>
                <w:rFonts w:asciiTheme="minorHAnsi" w:hAnsiTheme="minorHAnsi" w:cstheme="minorHAnsi"/>
                <w:sz w:val="18"/>
                <w:szCs w:val="18"/>
                <w:highlight w:val="yellow"/>
              </w:rPr>
            </w:pPr>
            <w:r>
              <w:rPr>
                <w:rFonts w:ascii="Calibri" w:hAnsi="Calibri" w:cs="Calibri"/>
                <w:sz w:val="18"/>
                <w:szCs w:val="18"/>
              </w:rPr>
              <w:t>8 058</w:t>
            </w:r>
          </w:p>
        </w:tc>
        <w:tc>
          <w:tcPr>
            <w:tcW w:w="1134" w:type="dxa"/>
            <w:tcBorders>
              <w:top w:val="nil"/>
              <w:left w:val="nil"/>
              <w:bottom w:val="nil"/>
              <w:right w:val="nil"/>
            </w:tcBorders>
            <w:shd w:val="clear" w:color="auto" w:fill="D9E2F3" w:themeFill="accent5" w:themeFillTint="33"/>
            <w:noWrap/>
            <w:vAlign w:val="center"/>
            <w:hideMark/>
          </w:tcPr>
          <w:p w14:paraId="4DC36DE0" w14:textId="450A0021" w:rsidR="00296956" w:rsidRPr="00B06CFB" w:rsidRDefault="00296956" w:rsidP="00296956">
            <w:pPr>
              <w:jc w:val="right"/>
              <w:rPr>
                <w:rFonts w:asciiTheme="minorHAnsi" w:hAnsiTheme="minorHAnsi" w:cstheme="minorHAnsi"/>
                <w:sz w:val="18"/>
                <w:szCs w:val="18"/>
              </w:rPr>
            </w:pPr>
            <w:r>
              <w:rPr>
                <w:rFonts w:ascii="Calibri" w:hAnsi="Calibri" w:cs="Calibri"/>
                <w:sz w:val="18"/>
                <w:szCs w:val="18"/>
              </w:rPr>
              <w:t>10 452</w:t>
            </w:r>
          </w:p>
        </w:tc>
        <w:tc>
          <w:tcPr>
            <w:tcW w:w="1134" w:type="dxa"/>
            <w:tcBorders>
              <w:top w:val="nil"/>
              <w:left w:val="nil"/>
              <w:bottom w:val="nil"/>
            </w:tcBorders>
            <w:shd w:val="clear" w:color="auto" w:fill="D9E2F3" w:themeFill="accent5" w:themeFillTint="33"/>
            <w:noWrap/>
            <w:vAlign w:val="center"/>
          </w:tcPr>
          <w:p w14:paraId="5D5AFA19" w14:textId="2C5D0D27" w:rsidR="00296956" w:rsidRPr="00B06CFB" w:rsidRDefault="00296956" w:rsidP="00296956">
            <w:pPr>
              <w:jc w:val="right"/>
              <w:rPr>
                <w:rFonts w:asciiTheme="minorHAnsi" w:hAnsiTheme="minorHAnsi" w:cstheme="minorHAnsi"/>
                <w:sz w:val="18"/>
                <w:szCs w:val="18"/>
              </w:rPr>
            </w:pPr>
            <w:r>
              <w:rPr>
                <w:rFonts w:ascii="Calibri" w:hAnsi="Calibri" w:cs="Calibri"/>
                <w:sz w:val="18"/>
                <w:szCs w:val="18"/>
              </w:rPr>
              <w:t>(2 394)</w:t>
            </w:r>
          </w:p>
        </w:tc>
      </w:tr>
      <w:tr w:rsidR="00296956" w:rsidRPr="00B06CFB" w14:paraId="59C4CCC4" w14:textId="77777777" w:rsidTr="00BE48C5">
        <w:trPr>
          <w:trHeight w:hRule="exact" w:val="255"/>
          <w:jc w:val="center"/>
        </w:trPr>
        <w:tc>
          <w:tcPr>
            <w:tcW w:w="4820" w:type="dxa"/>
            <w:tcBorders>
              <w:top w:val="nil"/>
              <w:left w:val="nil"/>
              <w:bottom w:val="nil"/>
              <w:right w:val="nil"/>
            </w:tcBorders>
            <w:shd w:val="clear" w:color="auto" w:fill="D9E2F3" w:themeFill="accent5" w:themeFillTint="33"/>
            <w:vAlign w:val="bottom"/>
            <w:hideMark/>
          </w:tcPr>
          <w:p w14:paraId="654E9FD1" w14:textId="77777777" w:rsidR="00296956" w:rsidRPr="00B06CFB" w:rsidRDefault="00296956" w:rsidP="00296956">
            <w:pPr>
              <w:ind w:firstLineChars="100" w:firstLine="180"/>
              <w:rPr>
                <w:rFonts w:asciiTheme="minorHAnsi" w:hAnsiTheme="minorHAnsi" w:cstheme="minorHAnsi"/>
                <w:sz w:val="18"/>
                <w:szCs w:val="18"/>
              </w:rPr>
            </w:pPr>
            <w:r w:rsidRPr="00B06CFB">
              <w:rPr>
                <w:rFonts w:asciiTheme="minorHAnsi" w:hAnsiTheme="minorHAnsi" w:cstheme="minorHAnsi"/>
                <w:sz w:val="18"/>
                <w:szCs w:val="18"/>
              </w:rPr>
              <w:t>Gastos e perdas financeiras</w:t>
            </w:r>
          </w:p>
        </w:tc>
        <w:tc>
          <w:tcPr>
            <w:tcW w:w="1276" w:type="dxa"/>
            <w:tcBorders>
              <w:top w:val="nil"/>
              <w:left w:val="nil"/>
              <w:bottom w:val="single" w:sz="8" w:space="0" w:color="FFFFFF"/>
              <w:right w:val="nil"/>
            </w:tcBorders>
            <w:shd w:val="clear" w:color="auto" w:fill="D9E2F3" w:themeFill="accent5" w:themeFillTint="33"/>
            <w:noWrap/>
            <w:vAlign w:val="center"/>
          </w:tcPr>
          <w:p w14:paraId="1455FD4E" w14:textId="7156841F" w:rsidR="00296956" w:rsidRPr="00E90A9E" w:rsidRDefault="00296956" w:rsidP="00296956">
            <w:pPr>
              <w:jc w:val="right"/>
              <w:rPr>
                <w:rFonts w:asciiTheme="minorHAnsi" w:hAnsiTheme="minorHAnsi" w:cstheme="minorHAnsi"/>
                <w:sz w:val="18"/>
                <w:szCs w:val="18"/>
                <w:highlight w:val="yellow"/>
              </w:rPr>
            </w:pPr>
            <w:r>
              <w:rPr>
                <w:rFonts w:ascii="Calibri" w:hAnsi="Calibri" w:cs="Calibri"/>
                <w:sz w:val="18"/>
                <w:szCs w:val="18"/>
              </w:rPr>
              <w:t>(66 576)</w:t>
            </w:r>
          </w:p>
        </w:tc>
        <w:tc>
          <w:tcPr>
            <w:tcW w:w="1134" w:type="dxa"/>
            <w:tcBorders>
              <w:top w:val="nil"/>
              <w:left w:val="nil"/>
              <w:bottom w:val="single" w:sz="8" w:space="0" w:color="FFFFFF"/>
              <w:right w:val="nil"/>
            </w:tcBorders>
            <w:shd w:val="clear" w:color="auto" w:fill="D9E2F3" w:themeFill="accent5" w:themeFillTint="33"/>
            <w:noWrap/>
            <w:vAlign w:val="center"/>
            <w:hideMark/>
          </w:tcPr>
          <w:p w14:paraId="41E34DC9" w14:textId="64F4982B" w:rsidR="00296956" w:rsidRPr="00B06CFB" w:rsidRDefault="00296956" w:rsidP="00296956">
            <w:pPr>
              <w:jc w:val="right"/>
              <w:rPr>
                <w:rFonts w:asciiTheme="minorHAnsi" w:hAnsiTheme="minorHAnsi" w:cstheme="minorHAnsi"/>
                <w:sz w:val="18"/>
                <w:szCs w:val="18"/>
              </w:rPr>
            </w:pPr>
            <w:r>
              <w:rPr>
                <w:rFonts w:ascii="Calibri" w:hAnsi="Calibri" w:cs="Calibri"/>
                <w:sz w:val="18"/>
                <w:szCs w:val="18"/>
              </w:rPr>
              <w:t>(68 135)</w:t>
            </w:r>
          </w:p>
        </w:tc>
        <w:tc>
          <w:tcPr>
            <w:tcW w:w="1134" w:type="dxa"/>
            <w:tcBorders>
              <w:top w:val="nil"/>
              <w:left w:val="nil"/>
              <w:bottom w:val="single" w:sz="8" w:space="0" w:color="FFFFFF"/>
            </w:tcBorders>
            <w:shd w:val="clear" w:color="auto" w:fill="D9E2F3" w:themeFill="accent5" w:themeFillTint="33"/>
            <w:noWrap/>
            <w:vAlign w:val="center"/>
          </w:tcPr>
          <w:p w14:paraId="482BF78E" w14:textId="11E7509D" w:rsidR="00296956" w:rsidRPr="00B06CFB" w:rsidRDefault="00296956" w:rsidP="00296956">
            <w:pPr>
              <w:jc w:val="right"/>
              <w:rPr>
                <w:rFonts w:asciiTheme="minorHAnsi" w:hAnsiTheme="minorHAnsi" w:cstheme="minorHAnsi"/>
                <w:sz w:val="18"/>
                <w:szCs w:val="18"/>
              </w:rPr>
            </w:pPr>
            <w:r>
              <w:rPr>
                <w:rFonts w:ascii="Calibri" w:hAnsi="Calibri" w:cs="Calibri"/>
                <w:sz w:val="18"/>
                <w:szCs w:val="18"/>
              </w:rPr>
              <w:t>1 559</w:t>
            </w:r>
          </w:p>
        </w:tc>
      </w:tr>
      <w:tr w:rsidR="00296956" w:rsidRPr="00B06CFB" w14:paraId="6E15729E" w14:textId="77777777" w:rsidTr="00BE48C5">
        <w:trPr>
          <w:trHeight w:hRule="exact" w:val="255"/>
          <w:jc w:val="center"/>
        </w:trPr>
        <w:tc>
          <w:tcPr>
            <w:tcW w:w="4820" w:type="dxa"/>
            <w:tcBorders>
              <w:top w:val="nil"/>
              <w:left w:val="nil"/>
              <w:bottom w:val="nil"/>
              <w:right w:val="nil"/>
            </w:tcBorders>
            <w:shd w:val="clear" w:color="auto" w:fill="D9E2F3" w:themeFill="accent5" w:themeFillTint="33"/>
            <w:noWrap/>
            <w:vAlign w:val="center"/>
            <w:hideMark/>
          </w:tcPr>
          <w:p w14:paraId="6DF04E4C" w14:textId="77777777" w:rsidR="00296956" w:rsidRPr="00B06CFB" w:rsidRDefault="00296956" w:rsidP="00296956">
            <w:pPr>
              <w:rPr>
                <w:rFonts w:asciiTheme="minorHAnsi" w:hAnsiTheme="minorHAnsi" w:cstheme="minorHAnsi"/>
                <w:sz w:val="18"/>
                <w:szCs w:val="18"/>
              </w:rPr>
            </w:pPr>
            <w:r w:rsidRPr="00B06CFB">
              <w:rPr>
                <w:rFonts w:asciiTheme="minorHAnsi" w:hAnsiTheme="minorHAnsi" w:cstheme="minorHAnsi"/>
                <w:sz w:val="18"/>
                <w:szCs w:val="18"/>
              </w:rPr>
              <w:t> </w:t>
            </w:r>
          </w:p>
        </w:tc>
        <w:tc>
          <w:tcPr>
            <w:tcW w:w="1276" w:type="dxa"/>
            <w:tcBorders>
              <w:top w:val="nil"/>
              <w:left w:val="nil"/>
              <w:bottom w:val="nil"/>
              <w:right w:val="nil"/>
            </w:tcBorders>
            <w:shd w:val="clear" w:color="auto" w:fill="D9E2F3" w:themeFill="accent5" w:themeFillTint="33"/>
            <w:noWrap/>
            <w:vAlign w:val="center"/>
          </w:tcPr>
          <w:p w14:paraId="36F8A44F" w14:textId="605649F0" w:rsidR="00296956" w:rsidRPr="00E90A9E" w:rsidRDefault="00296956" w:rsidP="00296956">
            <w:pPr>
              <w:jc w:val="right"/>
              <w:rPr>
                <w:rFonts w:asciiTheme="minorHAnsi" w:hAnsiTheme="minorHAnsi" w:cstheme="minorHAnsi"/>
                <w:b/>
                <w:bCs/>
                <w:sz w:val="18"/>
                <w:szCs w:val="18"/>
                <w:highlight w:val="yellow"/>
              </w:rPr>
            </w:pPr>
            <w:r>
              <w:rPr>
                <w:rFonts w:ascii="Calibri" w:hAnsi="Calibri" w:cs="Calibri"/>
                <w:b/>
                <w:bCs/>
                <w:sz w:val="18"/>
                <w:szCs w:val="18"/>
              </w:rPr>
              <w:t>(58 518)</w:t>
            </w:r>
          </w:p>
        </w:tc>
        <w:tc>
          <w:tcPr>
            <w:tcW w:w="1134" w:type="dxa"/>
            <w:tcBorders>
              <w:top w:val="nil"/>
              <w:left w:val="nil"/>
              <w:bottom w:val="nil"/>
              <w:right w:val="nil"/>
            </w:tcBorders>
            <w:shd w:val="clear" w:color="auto" w:fill="D9E2F3" w:themeFill="accent5" w:themeFillTint="33"/>
            <w:noWrap/>
            <w:vAlign w:val="center"/>
            <w:hideMark/>
          </w:tcPr>
          <w:p w14:paraId="7BC43759" w14:textId="0979DBF6" w:rsidR="00296956" w:rsidRPr="00B06CFB" w:rsidRDefault="00296956" w:rsidP="00296956">
            <w:pPr>
              <w:jc w:val="right"/>
              <w:rPr>
                <w:rFonts w:asciiTheme="minorHAnsi" w:hAnsiTheme="minorHAnsi" w:cstheme="minorHAnsi"/>
                <w:b/>
                <w:bCs/>
                <w:sz w:val="18"/>
                <w:szCs w:val="18"/>
              </w:rPr>
            </w:pPr>
            <w:r>
              <w:rPr>
                <w:rFonts w:ascii="Calibri" w:hAnsi="Calibri" w:cs="Calibri"/>
                <w:b/>
                <w:bCs/>
                <w:sz w:val="18"/>
                <w:szCs w:val="18"/>
              </w:rPr>
              <w:t>(57 683)</w:t>
            </w:r>
          </w:p>
        </w:tc>
        <w:tc>
          <w:tcPr>
            <w:tcW w:w="1134" w:type="dxa"/>
            <w:tcBorders>
              <w:top w:val="nil"/>
              <w:left w:val="nil"/>
              <w:bottom w:val="nil"/>
            </w:tcBorders>
            <w:shd w:val="clear" w:color="auto" w:fill="D9E2F3" w:themeFill="accent5" w:themeFillTint="33"/>
            <w:noWrap/>
            <w:vAlign w:val="center"/>
          </w:tcPr>
          <w:p w14:paraId="318C4A91" w14:textId="229D0225" w:rsidR="00296956" w:rsidRPr="00B06CFB" w:rsidRDefault="00296956" w:rsidP="00296956">
            <w:pPr>
              <w:jc w:val="right"/>
              <w:rPr>
                <w:rFonts w:asciiTheme="minorHAnsi" w:hAnsiTheme="minorHAnsi" w:cstheme="minorHAnsi"/>
                <w:b/>
                <w:bCs/>
                <w:sz w:val="18"/>
                <w:szCs w:val="18"/>
              </w:rPr>
            </w:pPr>
            <w:r>
              <w:rPr>
                <w:rFonts w:ascii="Calibri" w:hAnsi="Calibri" w:cs="Calibri"/>
                <w:b/>
                <w:bCs/>
                <w:sz w:val="18"/>
                <w:szCs w:val="18"/>
              </w:rPr>
              <w:t>(835)</w:t>
            </w:r>
          </w:p>
        </w:tc>
      </w:tr>
      <w:tr w:rsidR="00296956" w:rsidRPr="00B06CFB" w14:paraId="6DCEA68D" w14:textId="77777777" w:rsidTr="00BE48C5">
        <w:trPr>
          <w:trHeight w:hRule="exact" w:val="255"/>
          <w:jc w:val="center"/>
        </w:trPr>
        <w:tc>
          <w:tcPr>
            <w:tcW w:w="4820" w:type="dxa"/>
            <w:tcBorders>
              <w:top w:val="nil"/>
              <w:left w:val="nil"/>
              <w:bottom w:val="nil"/>
              <w:right w:val="nil"/>
            </w:tcBorders>
            <w:shd w:val="clear" w:color="auto" w:fill="D9E2F3" w:themeFill="accent5" w:themeFillTint="33"/>
            <w:vAlign w:val="bottom"/>
            <w:hideMark/>
          </w:tcPr>
          <w:p w14:paraId="47DAFE5A" w14:textId="77777777" w:rsidR="00296956" w:rsidRPr="00B06CFB" w:rsidRDefault="00296956" w:rsidP="00296956">
            <w:pPr>
              <w:ind w:firstLineChars="100" w:firstLine="180"/>
              <w:rPr>
                <w:rFonts w:asciiTheme="minorHAnsi" w:hAnsiTheme="minorHAnsi" w:cstheme="minorHAnsi"/>
                <w:sz w:val="18"/>
                <w:szCs w:val="18"/>
              </w:rPr>
            </w:pPr>
            <w:r w:rsidRPr="00B06CFB">
              <w:rPr>
                <w:rFonts w:asciiTheme="minorHAnsi" w:hAnsiTheme="minorHAnsi" w:cstheme="minorHAnsi"/>
                <w:sz w:val="18"/>
                <w:szCs w:val="18"/>
              </w:rPr>
              <w:t>Amortizações do exercício</w:t>
            </w:r>
          </w:p>
        </w:tc>
        <w:tc>
          <w:tcPr>
            <w:tcW w:w="1276" w:type="dxa"/>
            <w:tcBorders>
              <w:top w:val="nil"/>
              <w:left w:val="nil"/>
              <w:bottom w:val="nil"/>
              <w:right w:val="nil"/>
            </w:tcBorders>
            <w:shd w:val="clear" w:color="auto" w:fill="D9E2F3" w:themeFill="accent5" w:themeFillTint="33"/>
            <w:noWrap/>
            <w:vAlign w:val="center"/>
          </w:tcPr>
          <w:p w14:paraId="375C8C5A" w14:textId="3E5A434C" w:rsidR="00296956" w:rsidRPr="00E90A9E" w:rsidRDefault="00296956" w:rsidP="00296956">
            <w:pPr>
              <w:jc w:val="right"/>
              <w:rPr>
                <w:rFonts w:asciiTheme="minorHAnsi" w:hAnsiTheme="minorHAnsi" w:cstheme="minorHAnsi"/>
                <w:sz w:val="18"/>
                <w:szCs w:val="18"/>
                <w:highlight w:val="yellow"/>
              </w:rPr>
            </w:pPr>
            <w:r>
              <w:rPr>
                <w:rFonts w:ascii="Calibri" w:hAnsi="Calibri" w:cs="Calibri"/>
                <w:sz w:val="18"/>
                <w:szCs w:val="18"/>
              </w:rPr>
              <w:t>(295)</w:t>
            </w:r>
          </w:p>
        </w:tc>
        <w:tc>
          <w:tcPr>
            <w:tcW w:w="1134" w:type="dxa"/>
            <w:tcBorders>
              <w:top w:val="nil"/>
              <w:left w:val="nil"/>
              <w:bottom w:val="nil"/>
              <w:right w:val="nil"/>
            </w:tcBorders>
            <w:shd w:val="clear" w:color="auto" w:fill="D9E2F3" w:themeFill="accent5" w:themeFillTint="33"/>
            <w:noWrap/>
            <w:vAlign w:val="center"/>
            <w:hideMark/>
          </w:tcPr>
          <w:p w14:paraId="7481215F" w14:textId="22EDBED4" w:rsidR="00296956" w:rsidRPr="00B06CFB" w:rsidRDefault="00296956" w:rsidP="00296956">
            <w:pPr>
              <w:jc w:val="right"/>
              <w:rPr>
                <w:rFonts w:asciiTheme="minorHAnsi" w:hAnsiTheme="minorHAnsi" w:cstheme="minorHAnsi"/>
                <w:sz w:val="18"/>
                <w:szCs w:val="18"/>
              </w:rPr>
            </w:pPr>
            <w:r>
              <w:rPr>
                <w:rFonts w:ascii="Calibri" w:hAnsi="Calibri" w:cs="Calibri"/>
                <w:sz w:val="18"/>
                <w:szCs w:val="18"/>
              </w:rPr>
              <w:t>(292)</w:t>
            </w:r>
          </w:p>
        </w:tc>
        <w:tc>
          <w:tcPr>
            <w:tcW w:w="1134" w:type="dxa"/>
            <w:tcBorders>
              <w:top w:val="nil"/>
              <w:left w:val="nil"/>
              <w:bottom w:val="nil"/>
            </w:tcBorders>
            <w:shd w:val="clear" w:color="auto" w:fill="D9E2F3" w:themeFill="accent5" w:themeFillTint="33"/>
            <w:noWrap/>
            <w:vAlign w:val="center"/>
          </w:tcPr>
          <w:p w14:paraId="18EA410F" w14:textId="4B04170B" w:rsidR="00296956" w:rsidRPr="00B06CFB" w:rsidRDefault="00296956" w:rsidP="00296956">
            <w:pPr>
              <w:jc w:val="right"/>
              <w:rPr>
                <w:rFonts w:asciiTheme="minorHAnsi" w:hAnsiTheme="minorHAnsi" w:cstheme="minorHAnsi"/>
                <w:sz w:val="18"/>
                <w:szCs w:val="18"/>
              </w:rPr>
            </w:pPr>
            <w:r>
              <w:rPr>
                <w:rFonts w:ascii="Calibri" w:hAnsi="Calibri" w:cs="Calibri"/>
                <w:sz w:val="18"/>
                <w:szCs w:val="18"/>
              </w:rPr>
              <w:t>(3)</w:t>
            </w:r>
          </w:p>
        </w:tc>
      </w:tr>
      <w:tr w:rsidR="00296956" w:rsidRPr="00B06CFB" w14:paraId="20022D3D" w14:textId="77777777" w:rsidTr="00BE48C5">
        <w:trPr>
          <w:trHeight w:hRule="exact" w:val="255"/>
          <w:jc w:val="center"/>
        </w:trPr>
        <w:tc>
          <w:tcPr>
            <w:tcW w:w="4820" w:type="dxa"/>
            <w:tcBorders>
              <w:top w:val="nil"/>
              <w:left w:val="nil"/>
              <w:bottom w:val="nil"/>
              <w:right w:val="nil"/>
            </w:tcBorders>
            <w:shd w:val="clear" w:color="auto" w:fill="D9E2F3" w:themeFill="accent5" w:themeFillTint="33"/>
            <w:vAlign w:val="center"/>
            <w:hideMark/>
          </w:tcPr>
          <w:p w14:paraId="2BD861B7" w14:textId="77777777" w:rsidR="00296956" w:rsidRPr="00B06CFB" w:rsidRDefault="00296956" w:rsidP="00296956">
            <w:pPr>
              <w:jc w:val="center"/>
              <w:rPr>
                <w:rFonts w:asciiTheme="minorHAnsi" w:hAnsiTheme="minorHAnsi" w:cstheme="minorHAnsi"/>
                <w:b/>
                <w:bCs/>
                <w:sz w:val="18"/>
                <w:szCs w:val="18"/>
              </w:rPr>
            </w:pPr>
            <w:r w:rsidRPr="00B06CFB">
              <w:rPr>
                <w:rFonts w:asciiTheme="minorHAnsi" w:hAnsiTheme="minorHAnsi" w:cstheme="minorHAnsi"/>
                <w:b/>
                <w:bCs/>
                <w:sz w:val="18"/>
                <w:szCs w:val="18"/>
              </w:rPr>
              <w:t>Resultado antes de impostos</w:t>
            </w:r>
          </w:p>
        </w:tc>
        <w:tc>
          <w:tcPr>
            <w:tcW w:w="1276" w:type="dxa"/>
            <w:tcBorders>
              <w:top w:val="single" w:sz="12" w:space="0" w:color="FFFFFF"/>
              <w:left w:val="nil"/>
              <w:bottom w:val="single" w:sz="12" w:space="0" w:color="FFFFFF"/>
              <w:right w:val="nil"/>
            </w:tcBorders>
            <w:shd w:val="clear" w:color="auto" w:fill="D9E2F3" w:themeFill="accent5" w:themeFillTint="33"/>
            <w:noWrap/>
            <w:vAlign w:val="center"/>
          </w:tcPr>
          <w:p w14:paraId="272971F0" w14:textId="2CDD7A00" w:rsidR="00296956" w:rsidRPr="00E90A9E" w:rsidRDefault="00296956" w:rsidP="00296956">
            <w:pPr>
              <w:jc w:val="right"/>
              <w:rPr>
                <w:rFonts w:asciiTheme="minorHAnsi" w:hAnsiTheme="minorHAnsi" w:cstheme="minorHAnsi"/>
                <w:b/>
                <w:bCs/>
                <w:sz w:val="18"/>
                <w:szCs w:val="18"/>
                <w:highlight w:val="yellow"/>
              </w:rPr>
            </w:pPr>
            <w:r>
              <w:rPr>
                <w:rFonts w:ascii="Calibri" w:hAnsi="Calibri" w:cs="Calibri"/>
                <w:b/>
                <w:bCs/>
                <w:sz w:val="18"/>
                <w:szCs w:val="18"/>
              </w:rPr>
              <w:t>(52 473)</w:t>
            </w:r>
          </w:p>
        </w:tc>
        <w:tc>
          <w:tcPr>
            <w:tcW w:w="1134" w:type="dxa"/>
            <w:tcBorders>
              <w:top w:val="single" w:sz="12" w:space="0" w:color="FFFFFF"/>
              <w:left w:val="nil"/>
              <w:bottom w:val="single" w:sz="12" w:space="0" w:color="FFFFFF"/>
              <w:right w:val="nil"/>
            </w:tcBorders>
            <w:shd w:val="clear" w:color="auto" w:fill="D9E2F3" w:themeFill="accent5" w:themeFillTint="33"/>
            <w:noWrap/>
            <w:vAlign w:val="center"/>
            <w:hideMark/>
          </w:tcPr>
          <w:p w14:paraId="7C04D076" w14:textId="1586DC83" w:rsidR="00296956" w:rsidRPr="00B06CFB" w:rsidRDefault="00296956" w:rsidP="00296956">
            <w:pPr>
              <w:jc w:val="right"/>
              <w:rPr>
                <w:rFonts w:asciiTheme="minorHAnsi" w:hAnsiTheme="minorHAnsi" w:cstheme="minorHAnsi"/>
                <w:b/>
                <w:bCs/>
                <w:sz w:val="18"/>
                <w:szCs w:val="18"/>
              </w:rPr>
            </w:pPr>
            <w:r>
              <w:rPr>
                <w:rFonts w:ascii="Calibri" w:hAnsi="Calibri" w:cs="Calibri"/>
                <w:b/>
                <w:bCs/>
                <w:sz w:val="18"/>
                <w:szCs w:val="18"/>
              </w:rPr>
              <w:t>16 229</w:t>
            </w:r>
          </w:p>
        </w:tc>
        <w:tc>
          <w:tcPr>
            <w:tcW w:w="1134" w:type="dxa"/>
            <w:tcBorders>
              <w:top w:val="single" w:sz="12" w:space="0" w:color="FFFFFF"/>
              <w:left w:val="nil"/>
              <w:bottom w:val="single" w:sz="12" w:space="0" w:color="FFFFFF"/>
            </w:tcBorders>
            <w:shd w:val="clear" w:color="auto" w:fill="D9E2F3" w:themeFill="accent5" w:themeFillTint="33"/>
            <w:noWrap/>
            <w:vAlign w:val="center"/>
          </w:tcPr>
          <w:p w14:paraId="5FBE3B9F" w14:textId="5D7BBDB1" w:rsidR="00296956" w:rsidRPr="00B06CFB" w:rsidRDefault="00296956" w:rsidP="00296956">
            <w:pPr>
              <w:jc w:val="right"/>
              <w:rPr>
                <w:rFonts w:asciiTheme="minorHAnsi" w:hAnsiTheme="minorHAnsi" w:cstheme="minorHAnsi"/>
                <w:b/>
                <w:bCs/>
                <w:sz w:val="18"/>
                <w:szCs w:val="18"/>
              </w:rPr>
            </w:pPr>
            <w:r>
              <w:rPr>
                <w:rFonts w:ascii="Calibri" w:hAnsi="Calibri" w:cs="Calibri"/>
                <w:b/>
                <w:bCs/>
                <w:sz w:val="18"/>
                <w:szCs w:val="18"/>
              </w:rPr>
              <w:t>(68 702)</w:t>
            </w:r>
          </w:p>
        </w:tc>
      </w:tr>
      <w:tr w:rsidR="00296956" w:rsidRPr="00B06CFB" w14:paraId="5FAB9844" w14:textId="77777777" w:rsidTr="00BE48C5">
        <w:trPr>
          <w:trHeight w:hRule="exact" w:val="255"/>
          <w:jc w:val="center"/>
        </w:trPr>
        <w:tc>
          <w:tcPr>
            <w:tcW w:w="4820" w:type="dxa"/>
            <w:tcBorders>
              <w:top w:val="nil"/>
              <w:left w:val="nil"/>
              <w:bottom w:val="nil"/>
              <w:right w:val="nil"/>
            </w:tcBorders>
            <w:shd w:val="clear" w:color="auto" w:fill="D9E2F3" w:themeFill="accent5" w:themeFillTint="33"/>
            <w:vAlign w:val="bottom"/>
            <w:hideMark/>
          </w:tcPr>
          <w:p w14:paraId="0E8E34E9" w14:textId="77777777" w:rsidR="00296956" w:rsidRPr="00B06CFB" w:rsidRDefault="00296956" w:rsidP="00296956">
            <w:pPr>
              <w:ind w:firstLineChars="100" w:firstLine="180"/>
              <w:rPr>
                <w:rFonts w:asciiTheme="minorHAnsi" w:hAnsiTheme="minorHAnsi" w:cstheme="minorHAnsi"/>
                <w:sz w:val="18"/>
                <w:szCs w:val="18"/>
              </w:rPr>
            </w:pPr>
            <w:r w:rsidRPr="00B06CFB">
              <w:rPr>
                <w:rFonts w:asciiTheme="minorHAnsi" w:hAnsiTheme="minorHAnsi" w:cstheme="minorHAnsi"/>
                <w:sz w:val="18"/>
                <w:szCs w:val="18"/>
              </w:rPr>
              <w:t>Imposto sobre o rendimento do exercício</w:t>
            </w:r>
          </w:p>
        </w:tc>
        <w:tc>
          <w:tcPr>
            <w:tcW w:w="1276" w:type="dxa"/>
            <w:tcBorders>
              <w:top w:val="nil"/>
              <w:left w:val="nil"/>
              <w:bottom w:val="nil"/>
              <w:right w:val="nil"/>
            </w:tcBorders>
            <w:shd w:val="clear" w:color="auto" w:fill="D9E2F3" w:themeFill="accent5" w:themeFillTint="33"/>
            <w:noWrap/>
            <w:vAlign w:val="center"/>
          </w:tcPr>
          <w:p w14:paraId="00908785" w14:textId="1655E479" w:rsidR="00296956" w:rsidRPr="00E90A9E" w:rsidRDefault="00296956" w:rsidP="00296956">
            <w:pPr>
              <w:jc w:val="right"/>
              <w:rPr>
                <w:rFonts w:asciiTheme="minorHAnsi" w:hAnsiTheme="minorHAnsi" w:cstheme="minorHAnsi"/>
                <w:sz w:val="18"/>
                <w:szCs w:val="18"/>
                <w:highlight w:val="yellow"/>
              </w:rPr>
            </w:pPr>
            <w:r>
              <w:rPr>
                <w:rFonts w:ascii="Calibri" w:hAnsi="Calibri" w:cs="Calibri"/>
                <w:sz w:val="18"/>
                <w:szCs w:val="18"/>
              </w:rPr>
              <w:t>(6 204)</w:t>
            </w:r>
          </w:p>
        </w:tc>
        <w:tc>
          <w:tcPr>
            <w:tcW w:w="1134" w:type="dxa"/>
            <w:tcBorders>
              <w:top w:val="nil"/>
              <w:left w:val="nil"/>
              <w:bottom w:val="nil"/>
              <w:right w:val="nil"/>
            </w:tcBorders>
            <w:shd w:val="clear" w:color="auto" w:fill="D9E2F3" w:themeFill="accent5" w:themeFillTint="33"/>
            <w:noWrap/>
            <w:vAlign w:val="center"/>
            <w:hideMark/>
          </w:tcPr>
          <w:p w14:paraId="43ABA79F" w14:textId="1B78AD8C" w:rsidR="00296956" w:rsidRPr="00B06CFB" w:rsidRDefault="00296956" w:rsidP="00296956">
            <w:pPr>
              <w:jc w:val="right"/>
              <w:rPr>
                <w:rFonts w:asciiTheme="minorHAnsi" w:hAnsiTheme="minorHAnsi" w:cstheme="minorHAnsi"/>
                <w:sz w:val="18"/>
                <w:szCs w:val="18"/>
              </w:rPr>
            </w:pPr>
            <w:r>
              <w:rPr>
                <w:rFonts w:ascii="Calibri" w:hAnsi="Calibri" w:cs="Calibri"/>
                <w:sz w:val="18"/>
                <w:szCs w:val="18"/>
              </w:rPr>
              <w:t>(2 404)</w:t>
            </w:r>
          </w:p>
        </w:tc>
        <w:tc>
          <w:tcPr>
            <w:tcW w:w="1134" w:type="dxa"/>
            <w:tcBorders>
              <w:top w:val="nil"/>
              <w:left w:val="nil"/>
              <w:bottom w:val="nil"/>
            </w:tcBorders>
            <w:shd w:val="clear" w:color="auto" w:fill="D9E2F3" w:themeFill="accent5" w:themeFillTint="33"/>
            <w:noWrap/>
            <w:vAlign w:val="center"/>
          </w:tcPr>
          <w:p w14:paraId="2B4A6258" w14:textId="320D46A4" w:rsidR="00296956" w:rsidRPr="00B06CFB" w:rsidRDefault="00296956" w:rsidP="00296956">
            <w:pPr>
              <w:jc w:val="right"/>
              <w:rPr>
                <w:rFonts w:asciiTheme="minorHAnsi" w:hAnsiTheme="minorHAnsi" w:cstheme="minorHAnsi"/>
                <w:sz w:val="18"/>
                <w:szCs w:val="18"/>
              </w:rPr>
            </w:pPr>
            <w:r>
              <w:rPr>
                <w:rFonts w:ascii="Calibri" w:hAnsi="Calibri" w:cs="Calibri"/>
                <w:sz w:val="18"/>
                <w:szCs w:val="18"/>
              </w:rPr>
              <w:t>(3 800)</w:t>
            </w:r>
          </w:p>
        </w:tc>
      </w:tr>
      <w:tr w:rsidR="00296956" w:rsidRPr="00B06CFB" w14:paraId="53BC600C" w14:textId="77777777" w:rsidTr="00BE48C5">
        <w:trPr>
          <w:trHeight w:hRule="exact" w:val="255"/>
          <w:jc w:val="center"/>
        </w:trPr>
        <w:tc>
          <w:tcPr>
            <w:tcW w:w="4820" w:type="dxa"/>
            <w:tcBorders>
              <w:top w:val="nil"/>
              <w:left w:val="nil"/>
              <w:bottom w:val="single" w:sz="12" w:space="0" w:color="FFFFFF"/>
              <w:right w:val="nil"/>
            </w:tcBorders>
            <w:shd w:val="clear" w:color="auto" w:fill="D9E2F3" w:themeFill="accent5" w:themeFillTint="33"/>
            <w:vAlign w:val="center"/>
            <w:hideMark/>
          </w:tcPr>
          <w:p w14:paraId="54FD61C9" w14:textId="77777777" w:rsidR="00296956" w:rsidRPr="00B06CFB" w:rsidRDefault="00296956" w:rsidP="00296956">
            <w:pPr>
              <w:jc w:val="center"/>
              <w:rPr>
                <w:rFonts w:asciiTheme="minorHAnsi" w:hAnsiTheme="minorHAnsi" w:cstheme="minorHAnsi"/>
                <w:b/>
                <w:bCs/>
                <w:sz w:val="18"/>
                <w:szCs w:val="18"/>
              </w:rPr>
            </w:pPr>
            <w:r w:rsidRPr="00B06CFB">
              <w:rPr>
                <w:rFonts w:asciiTheme="minorHAnsi" w:hAnsiTheme="minorHAnsi" w:cstheme="minorHAnsi"/>
                <w:b/>
                <w:bCs/>
                <w:sz w:val="18"/>
                <w:szCs w:val="18"/>
              </w:rPr>
              <w:t>Resultado líquido do exercício</w:t>
            </w:r>
          </w:p>
        </w:tc>
        <w:tc>
          <w:tcPr>
            <w:tcW w:w="1276" w:type="dxa"/>
            <w:tcBorders>
              <w:top w:val="single" w:sz="12" w:space="0" w:color="FFFFFF"/>
              <w:left w:val="nil"/>
              <w:bottom w:val="single" w:sz="12" w:space="0" w:color="FFFFFF"/>
              <w:right w:val="nil"/>
            </w:tcBorders>
            <w:shd w:val="clear" w:color="auto" w:fill="D9E2F3" w:themeFill="accent5" w:themeFillTint="33"/>
            <w:noWrap/>
            <w:vAlign w:val="center"/>
          </w:tcPr>
          <w:p w14:paraId="179D4A3E" w14:textId="5690857A" w:rsidR="00296956" w:rsidRPr="00F212E5" w:rsidRDefault="00296956" w:rsidP="00296956">
            <w:pPr>
              <w:jc w:val="right"/>
              <w:rPr>
                <w:rFonts w:asciiTheme="minorHAnsi" w:hAnsiTheme="minorHAnsi" w:cstheme="minorHAnsi"/>
                <w:b/>
                <w:bCs/>
                <w:sz w:val="18"/>
                <w:szCs w:val="18"/>
                <w:highlight w:val="yellow"/>
              </w:rPr>
            </w:pPr>
            <w:r>
              <w:rPr>
                <w:rFonts w:ascii="Calibri" w:hAnsi="Calibri" w:cs="Calibri"/>
                <w:b/>
                <w:bCs/>
                <w:sz w:val="18"/>
                <w:szCs w:val="18"/>
              </w:rPr>
              <w:t>(58 677)</w:t>
            </w:r>
          </w:p>
        </w:tc>
        <w:tc>
          <w:tcPr>
            <w:tcW w:w="1134" w:type="dxa"/>
            <w:tcBorders>
              <w:top w:val="single" w:sz="12" w:space="0" w:color="FFFFFF"/>
              <w:left w:val="nil"/>
              <w:bottom w:val="single" w:sz="12" w:space="0" w:color="FFFFFF"/>
              <w:right w:val="nil"/>
            </w:tcBorders>
            <w:shd w:val="clear" w:color="auto" w:fill="D9E2F3" w:themeFill="accent5" w:themeFillTint="33"/>
            <w:noWrap/>
            <w:vAlign w:val="center"/>
            <w:hideMark/>
          </w:tcPr>
          <w:p w14:paraId="0835E76C" w14:textId="7A3170E4" w:rsidR="00296956" w:rsidRPr="00B06CFB" w:rsidRDefault="00296956" w:rsidP="00296956">
            <w:pPr>
              <w:jc w:val="right"/>
              <w:rPr>
                <w:rFonts w:asciiTheme="minorHAnsi" w:hAnsiTheme="minorHAnsi" w:cstheme="minorHAnsi"/>
                <w:b/>
                <w:bCs/>
                <w:sz w:val="18"/>
                <w:szCs w:val="18"/>
              </w:rPr>
            </w:pPr>
            <w:r>
              <w:rPr>
                <w:rFonts w:ascii="Calibri" w:hAnsi="Calibri" w:cs="Calibri"/>
                <w:b/>
                <w:bCs/>
                <w:sz w:val="18"/>
                <w:szCs w:val="18"/>
              </w:rPr>
              <w:t>13 825</w:t>
            </w:r>
          </w:p>
        </w:tc>
        <w:tc>
          <w:tcPr>
            <w:tcW w:w="1134" w:type="dxa"/>
            <w:tcBorders>
              <w:top w:val="single" w:sz="12" w:space="0" w:color="FFFFFF"/>
              <w:left w:val="nil"/>
              <w:bottom w:val="single" w:sz="12" w:space="0" w:color="FFFFFF"/>
            </w:tcBorders>
            <w:shd w:val="clear" w:color="auto" w:fill="D9E2F3" w:themeFill="accent5" w:themeFillTint="33"/>
            <w:noWrap/>
            <w:vAlign w:val="center"/>
          </w:tcPr>
          <w:p w14:paraId="16FBC4DF" w14:textId="78FA42E2" w:rsidR="00296956" w:rsidRPr="00B06CFB" w:rsidRDefault="00296956" w:rsidP="00296956">
            <w:pPr>
              <w:jc w:val="right"/>
              <w:rPr>
                <w:rFonts w:asciiTheme="minorHAnsi" w:hAnsiTheme="minorHAnsi" w:cstheme="minorHAnsi"/>
                <w:b/>
                <w:bCs/>
                <w:sz w:val="18"/>
                <w:szCs w:val="18"/>
              </w:rPr>
            </w:pPr>
            <w:r>
              <w:rPr>
                <w:rFonts w:ascii="Calibri" w:hAnsi="Calibri" w:cs="Calibri"/>
                <w:b/>
                <w:bCs/>
                <w:sz w:val="18"/>
                <w:szCs w:val="18"/>
              </w:rPr>
              <w:t>(72 502)</w:t>
            </w:r>
          </w:p>
        </w:tc>
      </w:tr>
    </w:tbl>
    <w:p w14:paraId="7CBD9FAC" w14:textId="77777777" w:rsidR="00C93B74" w:rsidRDefault="00C93B74" w:rsidP="00C93B74">
      <w:pPr>
        <w:jc w:val="both"/>
        <w:rPr>
          <w:rFonts w:asciiTheme="minorHAnsi" w:eastAsiaTheme="minorHAnsi" w:hAnsiTheme="minorHAnsi" w:cstheme="minorHAnsi"/>
          <w:sz w:val="22"/>
          <w:szCs w:val="22"/>
          <w:lang w:eastAsia="en-US"/>
        </w:rPr>
      </w:pPr>
    </w:p>
    <w:p w14:paraId="7BD85445" w14:textId="77777777" w:rsidR="00D524A0" w:rsidRDefault="00D524A0" w:rsidP="00C93B74">
      <w:pPr>
        <w:jc w:val="both"/>
        <w:rPr>
          <w:rFonts w:asciiTheme="minorHAnsi" w:eastAsiaTheme="minorHAnsi" w:hAnsiTheme="minorHAnsi" w:cstheme="minorHAnsi"/>
          <w:sz w:val="22"/>
          <w:szCs w:val="22"/>
          <w:lang w:eastAsia="en-US"/>
        </w:rPr>
      </w:pPr>
    </w:p>
    <w:p w14:paraId="35A8F1FC" w14:textId="3206DF94" w:rsidR="00B8433F" w:rsidRDefault="00C93B74" w:rsidP="00B8433F">
      <w:pPr>
        <w:jc w:val="both"/>
        <w:rPr>
          <w:rFonts w:asciiTheme="minorHAnsi" w:eastAsiaTheme="minorHAnsi" w:hAnsiTheme="minorHAnsi" w:cstheme="minorHAnsi"/>
          <w:sz w:val="22"/>
          <w:szCs w:val="22"/>
          <w:lang w:eastAsia="en-US"/>
        </w:rPr>
      </w:pPr>
      <w:r w:rsidRPr="00997825">
        <w:rPr>
          <w:rFonts w:asciiTheme="minorHAnsi" w:eastAsiaTheme="minorHAnsi" w:hAnsiTheme="minorHAnsi" w:cstheme="minorHAnsi"/>
          <w:sz w:val="22"/>
          <w:szCs w:val="22"/>
          <w:lang w:eastAsia="en-US"/>
        </w:rPr>
        <w:t>No final do exercício de 202</w:t>
      </w:r>
      <w:r w:rsidR="00B11FEE" w:rsidRPr="00997825">
        <w:rPr>
          <w:rFonts w:asciiTheme="minorHAnsi" w:eastAsiaTheme="minorHAnsi" w:hAnsiTheme="minorHAnsi" w:cstheme="minorHAnsi"/>
          <w:sz w:val="22"/>
          <w:szCs w:val="22"/>
          <w:lang w:eastAsia="en-US"/>
        </w:rPr>
        <w:t>5</w:t>
      </w:r>
      <w:r w:rsidRPr="00997825">
        <w:rPr>
          <w:rFonts w:asciiTheme="minorHAnsi" w:eastAsiaTheme="minorHAnsi" w:hAnsiTheme="minorHAnsi" w:cstheme="minorHAnsi"/>
          <w:sz w:val="22"/>
          <w:szCs w:val="22"/>
          <w:lang w:eastAsia="en-US"/>
        </w:rPr>
        <w:t xml:space="preserve">, o Resultado </w:t>
      </w:r>
      <w:r w:rsidR="00256CC7" w:rsidRPr="00997825">
        <w:rPr>
          <w:rFonts w:asciiTheme="minorHAnsi" w:eastAsiaTheme="minorHAnsi" w:hAnsiTheme="minorHAnsi" w:cstheme="minorHAnsi"/>
          <w:sz w:val="22"/>
          <w:szCs w:val="22"/>
          <w:lang w:eastAsia="en-US"/>
        </w:rPr>
        <w:t>líquido</w:t>
      </w:r>
      <w:r w:rsidR="00C07F70" w:rsidRPr="00997825">
        <w:rPr>
          <w:rFonts w:asciiTheme="minorHAnsi" w:eastAsiaTheme="minorHAnsi" w:hAnsiTheme="minorHAnsi" w:cstheme="minorHAnsi"/>
          <w:sz w:val="22"/>
          <w:szCs w:val="22"/>
          <w:lang w:eastAsia="en-US"/>
        </w:rPr>
        <w:t xml:space="preserve"> da </w:t>
      </w:r>
      <w:r w:rsidR="00256CC7" w:rsidRPr="00997825">
        <w:rPr>
          <w:rFonts w:asciiTheme="minorHAnsi" w:eastAsiaTheme="minorHAnsi" w:hAnsiTheme="minorHAnsi" w:cstheme="minorHAnsi"/>
          <w:sz w:val="22"/>
          <w:szCs w:val="22"/>
          <w:lang w:eastAsia="en-US"/>
        </w:rPr>
        <w:t>PARVALOREM</w:t>
      </w:r>
      <w:r w:rsidRPr="00997825">
        <w:rPr>
          <w:rFonts w:asciiTheme="minorHAnsi" w:eastAsiaTheme="minorHAnsi" w:hAnsiTheme="minorHAnsi" w:cstheme="minorHAnsi"/>
          <w:sz w:val="22"/>
          <w:szCs w:val="22"/>
          <w:lang w:eastAsia="en-US"/>
        </w:rPr>
        <w:t xml:space="preserve"> </w:t>
      </w:r>
      <w:r w:rsidR="00A814D4" w:rsidRPr="00997825">
        <w:rPr>
          <w:rFonts w:asciiTheme="minorHAnsi" w:eastAsiaTheme="minorHAnsi" w:hAnsiTheme="minorHAnsi" w:cstheme="minorHAnsi"/>
          <w:sz w:val="22"/>
          <w:szCs w:val="22"/>
          <w:lang w:eastAsia="en-US"/>
        </w:rPr>
        <w:t xml:space="preserve">registou um </w:t>
      </w:r>
      <w:r w:rsidR="00B11FEE" w:rsidRPr="00997825">
        <w:rPr>
          <w:rFonts w:asciiTheme="minorHAnsi" w:eastAsiaTheme="minorHAnsi" w:hAnsiTheme="minorHAnsi" w:cstheme="minorHAnsi"/>
          <w:sz w:val="22"/>
          <w:szCs w:val="22"/>
          <w:lang w:eastAsia="en-US"/>
        </w:rPr>
        <w:t>prejuízo</w:t>
      </w:r>
      <w:r w:rsidR="00C07F70" w:rsidRPr="00997825">
        <w:rPr>
          <w:rFonts w:asciiTheme="minorHAnsi" w:eastAsiaTheme="minorHAnsi" w:hAnsiTheme="minorHAnsi" w:cstheme="minorHAnsi"/>
          <w:sz w:val="22"/>
          <w:szCs w:val="22"/>
          <w:lang w:eastAsia="en-US"/>
        </w:rPr>
        <w:t xml:space="preserve"> de </w:t>
      </w:r>
      <w:r w:rsidR="00565D16" w:rsidRPr="00997825">
        <w:rPr>
          <w:rFonts w:asciiTheme="minorHAnsi" w:eastAsiaTheme="minorHAnsi" w:hAnsiTheme="minorHAnsi" w:cstheme="minorHAnsi"/>
          <w:sz w:val="22"/>
          <w:szCs w:val="22"/>
          <w:lang w:eastAsia="en-US"/>
        </w:rPr>
        <w:t xml:space="preserve">€ </w:t>
      </w:r>
      <w:r w:rsidR="00B11FEE" w:rsidRPr="00997825">
        <w:rPr>
          <w:rFonts w:asciiTheme="minorHAnsi" w:eastAsiaTheme="minorHAnsi" w:hAnsiTheme="minorHAnsi" w:cstheme="minorHAnsi"/>
          <w:sz w:val="22"/>
          <w:szCs w:val="22"/>
          <w:lang w:eastAsia="en-US"/>
        </w:rPr>
        <w:t>5</w:t>
      </w:r>
      <w:r w:rsidR="00830029" w:rsidRPr="00997825">
        <w:rPr>
          <w:rFonts w:asciiTheme="minorHAnsi" w:eastAsiaTheme="minorHAnsi" w:hAnsiTheme="minorHAnsi" w:cstheme="minorHAnsi"/>
          <w:sz w:val="22"/>
          <w:szCs w:val="22"/>
          <w:lang w:eastAsia="en-US"/>
        </w:rPr>
        <w:t>8</w:t>
      </w:r>
      <w:r w:rsidR="00B11FEE" w:rsidRPr="00997825">
        <w:rPr>
          <w:rFonts w:asciiTheme="minorHAnsi" w:eastAsiaTheme="minorHAnsi" w:hAnsiTheme="minorHAnsi" w:cstheme="minorHAnsi"/>
          <w:sz w:val="22"/>
          <w:szCs w:val="22"/>
          <w:lang w:eastAsia="en-US"/>
        </w:rPr>
        <w:t>,</w:t>
      </w:r>
      <w:r w:rsidR="00296956">
        <w:rPr>
          <w:rFonts w:asciiTheme="minorHAnsi" w:eastAsiaTheme="minorHAnsi" w:hAnsiTheme="minorHAnsi" w:cstheme="minorHAnsi"/>
          <w:sz w:val="22"/>
          <w:szCs w:val="22"/>
          <w:lang w:eastAsia="en-US"/>
        </w:rPr>
        <w:t>7</w:t>
      </w:r>
      <w:r w:rsidR="00565D16" w:rsidRPr="00997825">
        <w:rPr>
          <w:rFonts w:asciiTheme="minorHAnsi" w:eastAsiaTheme="minorHAnsi" w:hAnsiTheme="minorHAnsi" w:cstheme="minorHAnsi"/>
          <w:sz w:val="22"/>
          <w:szCs w:val="22"/>
          <w:lang w:eastAsia="en-US"/>
        </w:rPr>
        <w:t xml:space="preserve"> milhões</w:t>
      </w:r>
      <w:r w:rsidR="00B8433F">
        <w:rPr>
          <w:rFonts w:asciiTheme="minorHAnsi" w:eastAsiaTheme="minorHAnsi" w:hAnsiTheme="minorHAnsi" w:cstheme="minorHAnsi"/>
          <w:sz w:val="22"/>
          <w:szCs w:val="22"/>
          <w:lang w:eastAsia="en-US"/>
        </w:rPr>
        <w:t xml:space="preserve">, tendo o Resultado operacional sido </w:t>
      </w:r>
      <w:r w:rsidR="00B8433F" w:rsidRPr="00997825">
        <w:rPr>
          <w:rFonts w:asciiTheme="minorHAnsi" w:eastAsiaTheme="minorHAnsi" w:hAnsiTheme="minorHAnsi" w:cstheme="minorHAnsi"/>
          <w:sz w:val="22"/>
          <w:szCs w:val="22"/>
          <w:lang w:eastAsia="en-US"/>
        </w:rPr>
        <w:t>positivo em € 6,3 milhões</w:t>
      </w:r>
      <w:r w:rsidR="00B8433F">
        <w:rPr>
          <w:rFonts w:asciiTheme="minorHAnsi" w:eastAsiaTheme="minorHAnsi" w:hAnsiTheme="minorHAnsi" w:cstheme="minorHAnsi"/>
          <w:sz w:val="22"/>
          <w:szCs w:val="22"/>
          <w:lang w:eastAsia="en-US"/>
        </w:rPr>
        <w:t>.</w:t>
      </w:r>
    </w:p>
    <w:p w14:paraId="0D0883D2" w14:textId="34599BA7" w:rsidR="00B8433F" w:rsidRPr="00D827D5" w:rsidRDefault="00B8433F" w:rsidP="00B8433F">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 </w:t>
      </w:r>
    </w:p>
    <w:p w14:paraId="559EF884" w14:textId="0E4A04E0" w:rsidR="00B8433F" w:rsidRDefault="00B8433F" w:rsidP="00C93B74">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Estes resultados incorporam um reforço de imparidades e provisões no exercício de € 25,1 milhões relativos a:</w:t>
      </w:r>
    </w:p>
    <w:p w14:paraId="6F97A99B" w14:textId="3010F33A" w:rsidR="00B8433F" w:rsidRDefault="00B8433F" w:rsidP="00C93B74">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 </w:t>
      </w:r>
      <w:proofErr w:type="gramStart"/>
      <w:r>
        <w:rPr>
          <w:rFonts w:asciiTheme="minorHAnsi" w:eastAsiaTheme="minorHAnsi" w:hAnsiTheme="minorHAnsi" w:cstheme="minorHAnsi"/>
          <w:sz w:val="22"/>
          <w:szCs w:val="22"/>
          <w:lang w:eastAsia="en-US"/>
        </w:rPr>
        <w:t>imparidade</w:t>
      </w:r>
      <w:proofErr w:type="gramEnd"/>
      <w:r>
        <w:rPr>
          <w:rFonts w:asciiTheme="minorHAnsi" w:eastAsiaTheme="minorHAnsi" w:hAnsiTheme="minorHAnsi" w:cstheme="minorHAnsi"/>
          <w:sz w:val="22"/>
          <w:szCs w:val="22"/>
          <w:lang w:eastAsia="en-US"/>
        </w:rPr>
        <w:t xml:space="preserve"> d</w:t>
      </w:r>
      <w:r w:rsidR="00232165">
        <w:rPr>
          <w:rFonts w:asciiTheme="minorHAnsi" w:eastAsiaTheme="minorHAnsi" w:hAnsiTheme="minorHAnsi" w:cstheme="minorHAnsi"/>
          <w:sz w:val="22"/>
          <w:szCs w:val="22"/>
          <w:lang w:eastAsia="en-US"/>
        </w:rPr>
        <w:t>a carteira de crédito</w:t>
      </w:r>
      <w:r>
        <w:rPr>
          <w:rFonts w:asciiTheme="minorHAnsi" w:eastAsiaTheme="minorHAnsi" w:hAnsiTheme="minorHAnsi" w:cstheme="minorHAnsi"/>
          <w:sz w:val="22"/>
          <w:szCs w:val="22"/>
          <w:lang w:eastAsia="en-US"/>
        </w:rPr>
        <w:t xml:space="preserve"> (€ 13,5 milhões);</w:t>
      </w:r>
    </w:p>
    <w:p w14:paraId="3F7928E8" w14:textId="79ABA02D" w:rsidR="001C7EAE" w:rsidRDefault="001C7EAE" w:rsidP="00C93B74">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 </w:t>
      </w:r>
      <w:proofErr w:type="gramStart"/>
      <w:r>
        <w:rPr>
          <w:rFonts w:asciiTheme="minorHAnsi" w:eastAsiaTheme="minorHAnsi" w:hAnsiTheme="minorHAnsi" w:cstheme="minorHAnsi"/>
          <w:sz w:val="22"/>
          <w:szCs w:val="22"/>
          <w:lang w:eastAsia="en-US"/>
        </w:rPr>
        <w:t>provisões</w:t>
      </w:r>
      <w:proofErr w:type="gramEnd"/>
      <w:r>
        <w:rPr>
          <w:rFonts w:asciiTheme="minorHAnsi" w:eastAsiaTheme="minorHAnsi" w:hAnsiTheme="minorHAnsi" w:cstheme="minorHAnsi"/>
          <w:sz w:val="22"/>
          <w:szCs w:val="22"/>
          <w:lang w:eastAsia="en-US"/>
        </w:rPr>
        <w:t xml:space="preserve"> para processos judiciais em curso (€ 8,5 milhões);</w:t>
      </w:r>
    </w:p>
    <w:p w14:paraId="4DE5AB92" w14:textId="7A4809B2" w:rsidR="001C7EAE" w:rsidRDefault="001C7EAE" w:rsidP="00C93B74">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 </w:t>
      </w:r>
      <w:proofErr w:type="gramStart"/>
      <w:r>
        <w:rPr>
          <w:rFonts w:asciiTheme="minorHAnsi" w:eastAsiaTheme="minorHAnsi" w:hAnsiTheme="minorHAnsi" w:cstheme="minorHAnsi"/>
          <w:sz w:val="22"/>
          <w:szCs w:val="22"/>
          <w:lang w:eastAsia="en-US"/>
        </w:rPr>
        <w:t>reversão</w:t>
      </w:r>
      <w:proofErr w:type="gramEnd"/>
      <w:r>
        <w:rPr>
          <w:rFonts w:asciiTheme="minorHAnsi" w:eastAsiaTheme="minorHAnsi" w:hAnsiTheme="minorHAnsi" w:cstheme="minorHAnsi"/>
          <w:sz w:val="22"/>
          <w:szCs w:val="22"/>
          <w:lang w:eastAsia="en-US"/>
        </w:rPr>
        <w:t xml:space="preserve"> de imparidades para contingências fi</w:t>
      </w:r>
      <w:r w:rsidR="00232165">
        <w:rPr>
          <w:rFonts w:asciiTheme="minorHAnsi" w:eastAsiaTheme="minorHAnsi" w:hAnsiTheme="minorHAnsi" w:cstheme="minorHAnsi"/>
          <w:sz w:val="22"/>
          <w:szCs w:val="22"/>
          <w:lang w:eastAsia="en-US"/>
        </w:rPr>
        <w:t>s</w:t>
      </w:r>
      <w:r>
        <w:rPr>
          <w:rFonts w:asciiTheme="minorHAnsi" w:eastAsiaTheme="minorHAnsi" w:hAnsiTheme="minorHAnsi" w:cstheme="minorHAnsi"/>
          <w:sz w:val="22"/>
          <w:szCs w:val="22"/>
          <w:lang w:eastAsia="en-US"/>
        </w:rPr>
        <w:t xml:space="preserve">cais </w:t>
      </w:r>
      <w:r w:rsidR="00671DAB">
        <w:rPr>
          <w:rFonts w:asciiTheme="minorHAnsi" w:eastAsiaTheme="minorHAnsi" w:hAnsiTheme="minorHAnsi" w:cstheme="minorHAnsi"/>
          <w:sz w:val="22"/>
          <w:szCs w:val="22"/>
          <w:lang w:eastAsia="en-US"/>
        </w:rPr>
        <w:t xml:space="preserve">por extinção das mesmas </w:t>
      </w:r>
      <w:r>
        <w:rPr>
          <w:rFonts w:asciiTheme="minorHAnsi" w:eastAsiaTheme="minorHAnsi" w:hAnsiTheme="minorHAnsi" w:cstheme="minorHAnsi"/>
          <w:sz w:val="22"/>
          <w:szCs w:val="22"/>
          <w:lang w:eastAsia="en-US"/>
        </w:rPr>
        <w:t>(€ 2,5 milhões);</w:t>
      </w:r>
    </w:p>
    <w:p w14:paraId="1857B0AD" w14:textId="38BC784B" w:rsidR="00B8433F" w:rsidRDefault="00B8433F" w:rsidP="00C93B74">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 </w:t>
      </w:r>
      <w:proofErr w:type="gramStart"/>
      <w:r w:rsidR="001C7EAE">
        <w:rPr>
          <w:rFonts w:asciiTheme="minorHAnsi" w:eastAsiaTheme="minorHAnsi" w:hAnsiTheme="minorHAnsi" w:cstheme="minorHAnsi"/>
          <w:sz w:val="22"/>
          <w:szCs w:val="22"/>
          <w:lang w:eastAsia="en-US"/>
        </w:rPr>
        <w:t>reversão</w:t>
      </w:r>
      <w:proofErr w:type="gramEnd"/>
      <w:r w:rsidR="001C7EAE">
        <w:rPr>
          <w:rFonts w:asciiTheme="minorHAnsi" w:eastAsiaTheme="minorHAnsi" w:hAnsiTheme="minorHAnsi" w:cstheme="minorHAnsi"/>
          <w:sz w:val="22"/>
          <w:szCs w:val="22"/>
          <w:lang w:eastAsia="en-US"/>
        </w:rPr>
        <w:t xml:space="preserve"> de imparidades dos imóveis (€ 5,8 milhões);</w:t>
      </w:r>
    </w:p>
    <w:p w14:paraId="66B9E71D" w14:textId="5839ED93" w:rsidR="00232165" w:rsidRDefault="00232165" w:rsidP="00C93B74">
      <w:pPr>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 </w:t>
      </w:r>
      <w:proofErr w:type="gramStart"/>
      <w:r>
        <w:rPr>
          <w:rFonts w:asciiTheme="minorHAnsi" w:eastAsiaTheme="minorHAnsi" w:hAnsiTheme="minorHAnsi" w:cstheme="minorHAnsi"/>
          <w:sz w:val="22"/>
          <w:szCs w:val="22"/>
          <w:lang w:eastAsia="en-US"/>
        </w:rPr>
        <w:t>provisões</w:t>
      </w:r>
      <w:proofErr w:type="gramEnd"/>
      <w:r>
        <w:rPr>
          <w:rFonts w:asciiTheme="minorHAnsi" w:eastAsiaTheme="minorHAnsi" w:hAnsiTheme="minorHAnsi" w:cstheme="minorHAnsi"/>
          <w:sz w:val="22"/>
          <w:szCs w:val="22"/>
          <w:lang w:eastAsia="en-US"/>
        </w:rPr>
        <w:t xml:space="preserve"> para participações financeiras (€ 1,6 milhões);</w:t>
      </w:r>
    </w:p>
    <w:p w14:paraId="7AC1CBCB" w14:textId="0DFB6115" w:rsidR="001C7EAE" w:rsidRDefault="001C7EAE" w:rsidP="00C93B74">
      <w:pPr>
        <w:jc w:val="both"/>
        <w:rPr>
          <w:rFonts w:asciiTheme="minorHAnsi" w:eastAsiaTheme="minorHAnsi" w:hAnsiTheme="minorHAnsi" w:cstheme="minorHAnsi"/>
          <w:sz w:val="22"/>
          <w:szCs w:val="22"/>
          <w:lang w:eastAsia="en-US"/>
        </w:rPr>
      </w:pPr>
      <w:r w:rsidRPr="00232165">
        <w:rPr>
          <w:rFonts w:asciiTheme="minorHAnsi" w:eastAsiaTheme="minorHAnsi" w:hAnsiTheme="minorHAnsi" w:cstheme="minorHAnsi"/>
          <w:sz w:val="22"/>
          <w:szCs w:val="22"/>
          <w:lang w:eastAsia="en-US"/>
        </w:rPr>
        <w:t xml:space="preserve">- </w:t>
      </w:r>
      <w:proofErr w:type="gramStart"/>
      <w:r w:rsidRPr="00232165">
        <w:rPr>
          <w:rFonts w:asciiTheme="minorHAnsi" w:eastAsiaTheme="minorHAnsi" w:hAnsiTheme="minorHAnsi" w:cstheme="minorHAnsi"/>
          <w:sz w:val="22"/>
          <w:szCs w:val="22"/>
          <w:lang w:eastAsia="en-US"/>
        </w:rPr>
        <w:t>provisões</w:t>
      </w:r>
      <w:proofErr w:type="gramEnd"/>
      <w:r w:rsidRPr="00232165">
        <w:rPr>
          <w:rFonts w:asciiTheme="minorHAnsi" w:eastAsiaTheme="minorHAnsi" w:hAnsiTheme="minorHAnsi" w:cstheme="minorHAnsi"/>
          <w:sz w:val="22"/>
          <w:szCs w:val="22"/>
          <w:lang w:eastAsia="en-US"/>
        </w:rPr>
        <w:t xml:space="preserve"> para o Programa de Revogações por Mútuo Acordo de 2025 (€ 9,9 milhões).</w:t>
      </w:r>
    </w:p>
    <w:p w14:paraId="4E02C57C" w14:textId="77777777" w:rsidR="007E613D" w:rsidRPr="00D827D5" w:rsidRDefault="007E613D" w:rsidP="00C93B74">
      <w:pPr>
        <w:jc w:val="both"/>
        <w:rPr>
          <w:rFonts w:asciiTheme="minorHAnsi" w:eastAsiaTheme="minorHAnsi" w:hAnsiTheme="minorHAnsi" w:cstheme="minorHAnsi"/>
          <w:sz w:val="22"/>
          <w:szCs w:val="22"/>
          <w:lang w:eastAsia="en-US"/>
        </w:rPr>
      </w:pPr>
    </w:p>
    <w:p w14:paraId="4DD2A14C" w14:textId="363A1AC8" w:rsidR="00597D0C" w:rsidRPr="00D827D5" w:rsidRDefault="00597D0C" w:rsidP="00C93B74">
      <w:pPr>
        <w:jc w:val="both"/>
        <w:rPr>
          <w:rFonts w:asciiTheme="minorHAnsi" w:eastAsiaTheme="minorHAnsi" w:hAnsiTheme="minorHAnsi" w:cstheme="minorHAnsi"/>
          <w:sz w:val="22"/>
          <w:szCs w:val="22"/>
          <w:lang w:eastAsia="en-US"/>
        </w:rPr>
      </w:pPr>
      <w:r w:rsidRPr="00D827D5">
        <w:rPr>
          <w:rFonts w:asciiTheme="minorHAnsi" w:eastAsiaTheme="minorHAnsi" w:hAnsiTheme="minorHAnsi" w:cstheme="minorHAnsi"/>
          <w:sz w:val="22"/>
          <w:szCs w:val="22"/>
          <w:lang w:eastAsia="en-US"/>
        </w:rPr>
        <w:t>Os títulos em carteira tiveram uma valorização de € 1</w:t>
      </w:r>
      <w:r w:rsidR="00D827D5" w:rsidRPr="00D827D5">
        <w:rPr>
          <w:rFonts w:asciiTheme="minorHAnsi" w:eastAsiaTheme="minorHAnsi" w:hAnsiTheme="minorHAnsi" w:cstheme="minorHAnsi"/>
          <w:sz w:val="22"/>
          <w:szCs w:val="22"/>
          <w:lang w:eastAsia="en-US"/>
        </w:rPr>
        <w:t>1</w:t>
      </w:r>
      <w:r w:rsidRPr="00D827D5">
        <w:rPr>
          <w:rFonts w:asciiTheme="minorHAnsi" w:eastAsiaTheme="minorHAnsi" w:hAnsiTheme="minorHAnsi" w:cstheme="minorHAnsi"/>
          <w:sz w:val="22"/>
          <w:szCs w:val="22"/>
          <w:lang w:eastAsia="en-US"/>
        </w:rPr>
        <w:t>,</w:t>
      </w:r>
      <w:r w:rsidR="00D827D5" w:rsidRPr="00D827D5">
        <w:rPr>
          <w:rFonts w:asciiTheme="minorHAnsi" w:eastAsiaTheme="minorHAnsi" w:hAnsiTheme="minorHAnsi" w:cstheme="minorHAnsi"/>
          <w:sz w:val="22"/>
          <w:szCs w:val="22"/>
          <w:lang w:eastAsia="en-US"/>
        </w:rPr>
        <w:t>6</w:t>
      </w:r>
      <w:r w:rsidRPr="00D827D5">
        <w:rPr>
          <w:rFonts w:asciiTheme="minorHAnsi" w:eastAsiaTheme="minorHAnsi" w:hAnsiTheme="minorHAnsi" w:cstheme="minorHAnsi"/>
          <w:sz w:val="22"/>
          <w:szCs w:val="22"/>
          <w:lang w:eastAsia="en-US"/>
        </w:rPr>
        <w:t xml:space="preserve"> milhões</w:t>
      </w:r>
      <w:r w:rsidR="00ED7A25" w:rsidRPr="00D827D5">
        <w:rPr>
          <w:rFonts w:asciiTheme="minorHAnsi" w:eastAsiaTheme="minorHAnsi" w:hAnsiTheme="minorHAnsi" w:cstheme="minorHAnsi"/>
          <w:sz w:val="22"/>
          <w:szCs w:val="22"/>
          <w:lang w:eastAsia="en-US"/>
        </w:rPr>
        <w:t xml:space="preserve"> (essencialmente fundo IMONEGÓCIOS)</w:t>
      </w:r>
      <w:r w:rsidRPr="00D827D5">
        <w:rPr>
          <w:rFonts w:asciiTheme="minorHAnsi" w:eastAsiaTheme="minorHAnsi" w:hAnsiTheme="minorHAnsi" w:cstheme="minorHAnsi"/>
          <w:sz w:val="22"/>
          <w:szCs w:val="22"/>
          <w:lang w:eastAsia="en-US"/>
        </w:rPr>
        <w:t>.</w:t>
      </w:r>
    </w:p>
    <w:p w14:paraId="553F7B34" w14:textId="77777777" w:rsidR="00597D0C" w:rsidRPr="00D827D5" w:rsidRDefault="00597D0C" w:rsidP="00C93B74">
      <w:pPr>
        <w:jc w:val="both"/>
        <w:rPr>
          <w:rFonts w:asciiTheme="minorHAnsi" w:eastAsiaTheme="minorHAnsi" w:hAnsiTheme="minorHAnsi" w:cstheme="minorHAnsi"/>
          <w:sz w:val="22"/>
          <w:szCs w:val="22"/>
          <w:lang w:eastAsia="en-US"/>
        </w:rPr>
      </w:pPr>
    </w:p>
    <w:p w14:paraId="3821F747" w14:textId="4101AB0B" w:rsidR="00C93B74" w:rsidRPr="00D827D5" w:rsidRDefault="00C93B74" w:rsidP="00C93B74">
      <w:pPr>
        <w:jc w:val="both"/>
        <w:rPr>
          <w:rFonts w:asciiTheme="minorHAnsi" w:eastAsiaTheme="minorHAnsi" w:hAnsiTheme="minorHAnsi" w:cstheme="minorHAnsi"/>
          <w:sz w:val="22"/>
          <w:szCs w:val="22"/>
          <w:lang w:eastAsia="en-US"/>
        </w:rPr>
      </w:pPr>
      <w:r w:rsidRPr="008D13D6">
        <w:rPr>
          <w:rFonts w:asciiTheme="minorHAnsi" w:eastAsiaTheme="minorHAnsi" w:hAnsiTheme="minorHAnsi" w:cstheme="minorHAnsi"/>
          <w:sz w:val="22"/>
          <w:szCs w:val="22"/>
          <w:lang w:eastAsia="en-US"/>
        </w:rPr>
        <w:t xml:space="preserve">Os Gastos com pessoal </w:t>
      </w:r>
      <w:r w:rsidR="00D827D5" w:rsidRPr="008D13D6">
        <w:rPr>
          <w:rFonts w:asciiTheme="minorHAnsi" w:eastAsiaTheme="minorHAnsi" w:hAnsiTheme="minorHAnsi" w:cstheme="minorHAnsi"/>
          <w:sz w:val="22"/>
          <w:szCs w:val="22"/>
          <w:lang w:eastAsia="en-US"/>
        </w:rPr>
        <w:t>tiveram um ligeiro acréscimo face ao ano anterior,</w:t>
      </w:r>
      <w:r w:rsidR="00CC23C2" w:rsidRPr="008D13D6">
        <w:rPr>
          <w:rFonts w:asciiTheme="minorHAnsi" w:eastAsiaTheme="minorHAnsi" w:hAnsiTheme="minorHAnsi" w:cstheme="minorHAnsi"/>
          <w:sz w:val="22"/>
          <w:szCs w:val="22"/>
          <w:lang w:eastAsia="en-US"/>
        </w:rPr>
        <w:t xml:space="preserve"> </w:t>
      </w:r>
      <w:r w:rsidR="00671DAB">
        <w:rPr>
          <w:rFonts w:asciiTheme="minorHAnsi" w:eastAsiaTheme="minorHAnsi" w:hAnsiTheme="minorHAnsi" w:cstheme="minorHAnsi"/>
          <w:sz w:val="22"/>
          <w:szCs w:val="22"/>
          <w:lang w:eastAsia="en-US"/>
        </w:rPr>
        <w:t>que inclui</w:t>
      </w:r>
      <w:r w:rsidR="007B3B7D" w:rsidRPr="008D13D6">
        <w:rPr>
          <w:rFonts w:asciiTheme="minorHAnsi" w:eastAsiaTheme="minorHAnsi" w:hAnsiTheme="minorHAnsi" w:cstheme="minorHAnsi"/>
          <w:sz w:val="22"/>
          <w:szCs w:val="22"/>
          <w:lang w:eastAsia="en-US"/>
        </w:rPr>
        <w:t xml:space="preserve"> as indemnizações pagas. </w:t>
      </w:r>
      <w:r w:rsidR="00CC23C2" w:rsidRPr="008D13D6">
        <w:rPr>
          <w:rFonts w:asciiTheme="minorHAnsi" w:eastAsiaTheme="minorHAnsi" w:hAnsiTheme="minorHAnsi" w:cstheme="minorHAnsi"/>
          <w:sz w:val="22"/>
          <w:szCs w:val="22"/>
          <w:lang w:eastAsia="en-US"/>
        </w:rPr>
        <w:t>O</w:t>
      </w:r>
      <w:r w:rsidR="00D827D5" w:rsidRPr="008D13D6">
        <w:rPr>
          <w:rFonts w:asciiTheme="minorHAnsi" w:eastAsiaTheme="minorHAnsi" w:hAnsiTheme="minorHAnsi" w:cstheme="minorHAnsi"/>
          <w:sz w:val="22"/>
          <w:szCs w:val="22"/>
          <w:lang w:eastAsia="en-US"/>
        </w:rPr>
        <w:t xml:space="preserve">s </w:t>
      </w:r>
      <w:r w:rsidRPr="008D13D6">
        <w:rPr>
          <w:rFonts w:asciiTheme="minorHAnsi" w:eastAsiaTheme="minorHAnsi" w:hAnsiTheme="minorHAnsi" w:cstheme="minorHAnsi"/>
          <w:sz w:val="22"/>
          <w:szCs w:val="22"/>
          <w:lang w:eastAsia="en-US"/>
        </w:rPr>
        <w:t>Fornecimentos</w:t>
      </w:r>
      <w:r w:rsidRPr="00D827D5">
        <w:rPr>
          <w:rFonts w:asciiTheme="minorHAnsi" w:eastAsiaTheme="minorHAnsi" w:hAnsiTheme="minorHAnsi" w:cstheme="minorHAnsi"/>
          <w:sz w:val="22"/>
          <w:szCs w:val="22"/>
          <w:lang w:eastAsia="en-US"/>
        </w:rPr>
        <w:t xml:space="preserve"> e serviços externos tiveram um</w:t>
      </w:r>
      <w:r w:rsidR="00D827D5" w:rsidRPr="00D827D5">
        <w:rPr>
          <w:rFonts w:asciiTheme="minorHAnsi" w:eastAsiaTheme="minorHAnsi" w:hAnsiTheme="minorHAnsi" w:cstheme="minorHAnsi"/>
          <w:sz w:val="22"/>
          <w:szCs w:val="22"/>
          <w:lang w:eastAsia="en-US"/>
        </w:rPr>
        <w:t>a</w:t>
      </w:r>
      <w:r w:rsidR="006F4F99" w:rsidRPr="00D827D5">
        <w:rPr>
          <w:rFonts w:asciiTheme="minorHAnsi" w:eastAsiaTheme="minorHAnsi" w:hAnsiTheme="minorHAnsi" w:cstheme="minorHAnsi"/>
          <w:sz w:val="22"/>
          <w:szCs w:val="22"/>
          <w:lang w:eastAsia="en-US"/>
        </w:rPr>
        <w:t xml:space="preserve"> </w:t>
      </w:r>
      <w:r w:rsidR="00D827D5" w:rsidRPr="00D827D5">
        <w:rPr>
          <w:rFonts w:asciiTheme="minorHAnsi" w:eastAsiaTheme="minorHAnsi" w:hAnsiTheme="minorHAnsi" w:cstheme="minorHAnsi"/>
          <w:sz w:val="22"/>
          <w:szCs w:val="22"/>
          <w:lang w:eastAsia="en-US"/>
        </w:rPr>
        <w:t>redução d</w:t>
      </w:r>
      <w:r w:rsidRPr="00D827D5">
        <w:rPr>
          <w:rFonts w:asciiTheme="minorHAnsi" w:eastAsiaTheme="minorHAnsi" w:hAnsiTheme="minorHAnsi" w:cstheme="minorHAnsi"/>
          <w:sz w:val="22"/>
          <w:szCs w:val="22"/>
          <w:lang w:eastAsia="en-US"/>
        </w:rPr>
        <w:t>e € 0,</w:t>
      </w:r>
      <w:r w:rsidR="00D827D5" w:rsidRPr="00D827D5">
        <w:rPr>
          <w:rFonts w:asciiTheme="minorHAnsi" w:eastAsiaTheme="minorHAnsi" w:hAnsiTheme="minorHAnsi" w:cstheme="minorHAnsi"/>
          <w:sz w:val="22"/>
          <w:szCs w:val="22"/>
          <w:lang w:eastAsia="en-US"/>
        </w:rPr>
        <w:t>4</w:t>
      </w:r>
      <w:r w:rsidRPr="00D827D5">
        <w:rPr>
          <w:rFonts w:asciiTheme="minorHAnsi" w:eastAsiaTheme="minorHAnsi" w:hAnsiTheme="minorHAnsi" w:cstheme="minorHAnsi"/>
          <w:sz w:val="22"/>
          <w:szCs w:val="22"/>
          <w:lang w:eastAsia="en-US"/>
        </w:rPr>
        <w:t xml:space="preserve"> milhões. </w:t>
      </w:r>
    </w:p>
    <w:p w14:paraId="0A184094" w14:textId="77777777" w:rsidR="00C93B74" w:rsidRPr="00D827D5" w:rsidRDefault="00C93B74" w:rsidP="00C93B74">
      <w:pPr>
        <w:jc w:val="both"/>
        <w:rPr>
          <w:rFonts w:asciiTheme="minorHAnsi" w:eastAsiaTheme="minorHAnsi" w:hAnsiTheme="minorHAnsi" w:cstheme="minorHAnsi"/>
          <w:sz w:val="22"/>
          <w:szCs w:val="22"/>
          <w:lang w:eastAsia="en-US"/>
        </w:rPr>
      </w:pPr>
    </w:p>
    <w:p w14:paraId="5F7222D0" w14:textId="0D2A65C6" w:rsidR="00C93B74" w:rsidRPr="00D827D5" w:rsidRDefault="00C93B74" w:rsidP="00C93B74">
      <w:pPr>
        <w:pStyle w:val="CorpodotextoMP"/>
        <w:spacing w:after="0"/>
        <w:rPr>
          <w:rFonts w:asciiTheme="minorHAnsi" w:hAnsiTheme="minorHAnsi" w:cstheme="minorHAnsi"/>
          <w:sz w:val="22"/>
          <w:szCs w:val="22"/>
        </w:rPr>
      </w:pPr>
      <w:r w:rsidRPr="00D827D5">
        <w:rPr>
          <w:rFonts w:asciiTheme="minorHAnsi" w:hAnsiTheme="minorHAnsi" w:cstheme="minorHAnsi"/>
          <w:sz w:val="22"/>
          <w:szCs w:val="22"/>
        </w:rPr>
        <w:t xml:space="preserve">Os Rendimentos e ganhos financeiros ascenderam a € </w:t>
      </w:r>
      <w:r w:rsidR="00D827D5" w:rsidRPr="00D827D5">
        <w:rPr>
          <w:rFonts w:asciiTheme="minorHAnsi" w:hAnsiTheme="minorHAnsi" w:cstheme="minorHAnsi"/>
          <w:sz w:val="22"/>
          <w:szCs w:val="22"/>
        </w:rPr>
        <w:t>8</w:t>
      </w:r>
      <w:r w:rsidR="006F4F99" w:rsidRPr="00D827D5">
        <w:rPr>
          <w:rFonts w:asciiTheme="minorHAnsi" w:hAnsiTheme="minorHAnsi" w:cstheme="minorHAnsi"/>
          <w:sz w:val="22"/>
          <w:szCs w:val="22"/>
        </w:rPr>
        <w:t>,</w:t>
      </w:r>
      <w:r w:rsidR="00D827D5" w:rsidRPr="00D827D5">
        <w:rPr>
          <w:rFonts w:asciiTheme="minorHAnsi" w:hAnsiTheme="minorHAnsi" w:cstheme="minorHAnsi"/>
          <w:sz w:val="22"/>
          <w:szCs w:val="22"/>
        </w:rPr>
        <w:t>1</w:t>
      </w:r>
      <w:r w:rsidRPr="00D827D5">
        <w:rPr>
          <w:rFonts w:asciiTheme="minorHAnsi" w:hAnsiTheme="minorHAnsi" w:cstheme="minorHAnsi"/>
          <w:sz w:val="22"/>
          <w:szCs w:val="22"/>
        </w:rPr>
        <w:t xml:space="preserve"> milhões, respeitando, na sua quase totalidade, a juros da carteira de crédito sob gestão</w:t>
      </w:r>
      <w:r w:rsidR="00F56B32" w:rsidRPr="00D827D5">
        <w:rPr>
          <w:rFonts w:asciiTheme="minorHAnsi" w:hAnsiTheme="minorHAnsi" w:cstheme="minorHAnsi"/>
          <w:sz w:val="22"/>
          <w:szCs w:val="22"/>
        </w:rPr>
        <w:t xml:space="preserve"> e as perdas financeiras tiveram uma redução de € </w:t>
      </w:r>
      <w:r w:rsidR="00296956">
        <w:rPr>
          <w:rFonts w:asciiTheme="minorHAnsi" w:hAnsiTheme="minorHAnsi" w:cstheme="minorHAnsi"/>
          <w:sz w:val="22"/>
          <w:szCs w:val="22"/>
        </w:rPr>
        <w:t>1</w:t>
      </w:r>
      <w:r w:rsidR="00D827D5" w:rsidRPr="00D827D5">
        <w:rPr>
          <w:rFonts w:asciiTheme="minorHAnsi" w:hAnsiTheme="minorHAnsi" w:cstheme="minorHAnsi"/>
          <w:sz w:val="22"/>
          <w:szCs w:val="22"/>
        </w:rPr>
        <w:t>,</w:t>
      </w:r>
      <w:r w:rsidR="00296956">
        <w:rPr>
          <w:rFonts w:asciiTheme="minorHAnsi" w:hAnsiTheme="minorHAnsi" w:cstheme="minorHAnsi"/>
          <w:sz w:val="22"/>
          <w:szCs w:val="22"/>
        </w:rPr>
        <w:t>6</w:t>
      </w:r>
      <w:r w:rsidR="00F56B32" w:rsidRPr="00D827D5">
        <w:rPr>
          <w:rFonts w:asciiTheme="minorHAnsi" w:hAnsiTheme="minorHAnsi" w:cstheme="minorHAnsi"/>
          <w:sz w:val="22"/>
          <w:szCs w:val="22"/>
        </w:rPr>
        <w:t xml:space="preserve"> milhões, em resultado das amortizações de financiamentos ocorridas nos últimos anos.</w:t>
      </w:r>
    </w:p>
    <w:p w14:paraId="38AE767B" w14:textId="77777777" w:rsidR="00C93B74" w:rsidRPr="00E13A52" w:rsidRDefault="00C93B74" w:rsidP="00C93B74">
      <w:pPr>
        <w:jc w:val="both"/>
        <w:rPr>
          <w:rFonts w:asciiTheme="minorHAnsi" w:eastAsiaTheme="minorHAnsi" w:hAnsiTheme="minorHAnsi" w:cstheme="minorHAnsi"/>
          <w:sz w:val="22"/>
          <w:szCs w:val="22"/>
          <w:highlight w:val="yellow"/>
          <w:lang w:eastAsia="en-US"/>
        </w:rPr>
      </w:pPr>
    </w:p>
    <w:p w14:paraId="19D30F11" w14:textId="77777777" w:rsidR="00C93B74" w:rsidRDefault="00C93B74" w:rsidP="00C93B74">
      <w:pPr>
        <w:rPr>
          <w:rFonts w:asciiTheme="minorHAnsi" w:hAnsiTheme="minorHAnsi" w:cstheme="minorHAnsi"/>
          <w:b/>
          <w:snapToGrid w:val="0"/>
          <w:sz w:val="22"/>
          <w:szCs w:val="22"/>
          <w:lang w:eastAsia="en-US"/>
        </w:rPr>
      </w:pPr>
      <w:r>
        <w:rPr>
          <w:rFonts w:asciiTheme="minorHAnsi" w:hAnsiTheme="minorHAnsi" w:cstheme="minorHAnsi"/>
          <w:b/>
          <w:snapToGrid w:val="0"/>
          <w:sz w:val="22"/>
          <w:szCs w:val="22"/>
          <w:lang w:eastAsia="en-US"/>
        </w:rPr>
        <w:br w:type="page"/>
      </w:r>
    </w:p>
    <w:p w14:paraId="50F5C070" w14:textId="77777777" w:rsidR="00C93B74" w:rsidRPr="00AB1184" w:rsidRDefault="00C93B74" w:rsidP="00C93B74">
      <w:pPr>
        <w:rPr>
          <w:rFonts w:asciiTheme="minorHAnsi" w:hAnsiTheme="minorHAnsi" w:cstheme="minorHAnsi"/>
          <w:snapToGrid w:val="0"/>
          <w:sz w:val="22"/>
          <w:szCs w:val="22"/>
        </w:rPr>
      </w:pPr>
      <w:r w:rsidRPr="00AB1184">
        <w:rPr>
          <w:rFonts w:asciiTheme="minorHAnsi" w:hAnsiTheme="minorHAnsi" w:cstheme="minorHAnsi"/>
          <w:b/>
          <w:snapToGrid w:val="0"/>
          <w:sz w:val="22"/>
          <w:szCs w:val="22"/>
          <w:lang w:eastAsia="en-US"/>
        </w:rPr>
        <w:lastRenderedPageBreak/>
        <w:t>1.</w:t>
      </w:r>
      <w:r>
        <w:rPr>
          <w:rFonts w:asciiTheme="minorHAnsi" w:hAnsiTheme="minorHAnsi" w:cstheme="minorHAnsi"/>
          <w:b/>
          <w:snapToGrid w:val="0"/>
          <w:sz w:val="22"/>
          <w:szCs w:val="22"/>
          <w:lang w:eastAsia="en-US"/>
        </w:rPr>
        <w:t>6</w:t>
      </w:r>
      <w:r w:rsidRPr="00AB1184">
        <w:rPr>
          <w:rFonts w:asciiTheme="minorHAnsi" w:hAnsiTheme="minorHAnsi" w:cstheme="minorHAnsi"/>
          <w:b/>
          <w:snapToGrid w:val="0"/>
          <w:sz w:val="22"/>
          <w:szCs w:val="22"/>
          <w:lang w:eastAsia="en-US"/>
        </w:rPr>
        <w:t>.2 Evolução do Balanço</w:t>
      </w:r>
    </w:p>
    <w:p w14:paraId="7EE46A8A" w14:textId="77777777" w:rsidR="00C93B74" w:rsidRDefault="00C93B74" w:rsidP="00C93B74">
      <w:pPr>
        <w:jc w:val="center"/>
        <w:rPr>
          <w:rFonts w:asciiTheme="minorHAnsi" w:hAnsiTheme="minorHAnsi" w:cstheme="minorHAnsi"/>
          <w:sz w:val="22"/>
          <w:szCs w:val="22"/>
        </w:rPr>
      </w:pPr>
    </w:p>
    <w:p w14:paraId="27CA05CE" w14:textId="2AD25046" w:rsidR="00C93B74" w:rsidRDefault="00C93B74" w:rsidP="00C93B74">
      <w:pPr>
        <w:pStyle w:val="CorpotextoMP"/>
        <w:rPr>
          <w:rFonts w:asciiTheme="minorHAnsi" w:hAnsiTheme="minorHAnsi" w:cstheme="minorHAnsi"/>
          <w:b/>
          <w:sz w:val="22"/>
          <w:szCs w:val="22"/>
          <w:lang w:eastAsia="en-US"/>
        </w:rPr>
      </w:pPr>
      <w:r w:rsidRPr="00AC3056">
        <w:rPr>
          <w:rFonts w:asciiTheme="minorHAnsi" w:hAnsiTheme="minorHAnsi" w:cstheme="minorHAnsi"/>
          <w:b/>
          <w:sz w:val="22"/>
          <w:szCs w:val="22"/>
          <w:lang w:eastAsia="en-US"/>
        </w:rPr>
        <w:t>Ativ</w:t>
      </w:r>
      <w:r w:rsidR="00EA7BBA">
        <w:rPr>
          <w:rFonts w:asciiTheme="minorHAnsi" w:hAnsiTheme="minorHAnsi" w:cstheme="minorHAnsi"/>
          <w:b/>
          <w:sz w:val="22"/>
          <w:szCs w:val="22"/>
          <w:lang w:eastAsia="en-US"/>
        </w:rPr>
        <w:t>o</w:t>
      </w:r>
    </w:p>
    <w:tbl>
      <w:tblPr>
        <w:tblW w:w="8490" w:type="dxa"/>
        <w:tblLook w:val="04A0" w:firstRow="1" w:lastRow="0" w:firstColumn="1" w:lastColumn="0" w:noHBand="0" w:noVBand="1"/>
      </w:tblPr>
      <w:tblGrid>
        <w:gridCol w:w="5382"/>
        <w:gridCol w:w="987"/>
        <w:gridCol w:w="1073"/>
        <w:gridCol w:w="1048"/>
      </w:tblGrid>
      <w:tr w:rsidR="00C93B74" w14:paraId="47877529" w14:textId="77777777" w:rsidTr="00984B52">
        <w:trPr>
          <w:trHeight w:val="300"/>
          <w:tblHeader/>
        </w:trPr>
        <w:tc>
          <w:tcPr>
            <w:tcW w:w="5382" w:type="dxa"/>
            <w:tcBorders>
              <w:top w:val="single" w:sz="4" w:space="0" w:color="FFFFFF" w:themeColor="background1"/>
              <w:left w:val="single" w:sz="4" w:space="0" w:color="FFFFFF" w:themeColor="background1"/>
              <w:bottom w:val="single" w:sz="4" w:space="0" w:color="FFFFFF" w:themeColor="background1"/>
              <w:right w:val="single" w:sz="4" w:space="0" w:color="FFFFFF"/>
            </w:tcBorders>
            <w:vAlign w:val="bottom"/>
            <w:hideMark/>
          </w:tcPr>
          <w:p w14:paraId="0C4D7E4A" w14:textId="77777777" w:rsidR="00C93B74" w:rsidRDefault="00C93B74" w:rsidP="00B36274">
            <w:pPr>
              <w:rPr>
                <w:rFonts w:ascii="Calibri" w:hAnsi="Calibri" w:cs="Calibri"/>
                <w:sz w:val="18"/>
                <w:szCs w:val="18"/>
              </w:rPr>
            </w:pPr>
            <w:r>
              <w:rPr>
                <w:rFonts w:ascii="Calibri" w:hAnsi="Calibri" w:cs="Calibri"/>
                <w:sz w:val="18"/>
                <w:szCs w:val="18"/>
              </w:rPr>
              <w:t> </w:t>
            </w:r>
          </w:p>
        </w:tc>
        <w:tc>
          <w:tcPr>
            <w:tcW w:w="987" w:type="dxa"/>
            <w:tcBorders>
              <w:top w:val="single" w:sz="4" w:space="0" w:color="FFFFFF" w:themeColor="background1"/>
              <w:left w:val="nil"/>
              <w:bottom w:val="single" w:sz="4" w:space="0" w:color="FFFFFF" w:themeColor="background1"/>
              <w:right w:val="nil"/>
            </w:tcBorders>
            <w:noWrap/>
            <w:vAlign w:val="bottom"/>
            <w:hideMark/>
          </w:tcPr>
          <w:p w14:paraId="13F2972E" w14:textId="77777777" w:rsidR="00C93B74" w:rsidRDefault="00C93B74" w:rsidP="00B36274">
            <w:pPr>
              <w:rPr>
                <w:rFonts w:ascii="Calibri" w:hAnsi="Calibri" w:cs="Calibri"/>
                <w:sz w:val="18"/>
                <w:szCs w:val="18"/>
              </w:rPr>
            </w:pPr>
          </w:p>
        </w:tc>
        <w:tc>
          <w:tcPr>
            <w:tcW w:w="2121" w:type="dxa"/>
            <w:gridSpan w:val="2"/>
            <w:tcBorders>
              <w:top w:val="single" w:sz="4" w:space="0" w:color="FFFFFF" w:themeColor="background1"/>
              <w:left w:val="nil"/>
              <w:bottom w:val="single" w:sz="4" w:space="0" w:color="FFFFFF" w:themeColor="background1"/>
              <w:right w:val="single" w:sz="4" w:space="0" w:color="FFFFFF"/>
            </w:tcBorders>
            <w:noWrap/>
            <w:vAlign w:val="bottom"/>
            <w:hideMark/>
          </w:tcPr>
          <w:p w14:paraId="5C9E7F53" w14:textId="77777777" w:rsidR="00C93B74" w:rsidRPr="00A56DC7" w:rsidRDefault="00C93B74" w:rsidP="00B36274">
            <w:pPr>
              <w:ind w:right="-34"/>
              <w:jc w:val="right"/>
              <w:rPr>
                <w:rFonts w:ascii="Calibri" w:hAnsi="Calibri" w:cs="Calibri"/>
                <w:sz w:val="14"/>
                <w:szCs w:val="14"/>
              </w:rPr>
            </w:pPr>
            <w:r w:rsidRPr="00A56DC7">
              <w:rPr>
                <w:rFonts w:ascii="Calibri" w:hAnsi="Calibri" w:cs="Calibri"/>
                <w:sz w:val="14"/>
                <w:szCs w:val="14"/>
              </w:rPr>
              <w:t>Milhares de Euros</w:t>
            </w:r>
          </w:p>
        </w:tc>
      </w:tr>
      <w:tr w:rsidR="00C93B74" w:rsidRPr="00DE3952" w14:paraId="2066DDE3" w14:textId="77777777" w:rsidTr="00984B52">
        <w:trPr>
          <w:trHeight w:hRule="exact" w:val="552"/>
          <w:tblHeader/>
        </w:trPr>
        <w:tc>
          <w:tcPr>
            <w:tcW w:w="5382" w:type="dxa"/>
            <w:tcBorders>
              <w:top w:val="single" w:sz="4" w:space="0" w:color="FFFFFF" w:themeColor="background1"/>
              <w:left w:val="single" w:sz="4" w:space="0" w:color="FFFFFF" w:themeColor="background1"/>
            </w:tcBorders>
            <w:shd w:val="clear" w:color="auto" w:fill="8EAADB" w:themeFill="accent5" w:themeFillTint="99"/>
            <w:noWrap/>
            <w:vAlign w:val="bottom"/>
            <w:hideMark/>
          </w:tcPr>
          <w:p w14:paraId="32A66FDA" w14:textId="77777777" w:rsidR="00C93B74" w:rsidRPr="00DE3952" w:rsidRDefault="00C93B74" w:rsidP="00B36274">
            <w:pPr>
              <w:jc w:val="center"/>
              <w:rPr>
                <w:rFonts w:ascii="Calibri" w:hAnsi="Calibri" w:cs="Calibri"/>
                <w:b/>
                <w:bCs/>
                <w:sz w:val="18"/>
                <w:szCs w:val="18"/>
              </w:rPr>
            </w:pPr>
            <w:r w:rsidRPr="00DE3952">
              <w:rPr>
                <w:rFonts w:ascii="Calibri" w:hAnsi="Calibri" w:cs="Calibri"/>
                <w:b/>
                <w:bCs/>
                <w:sz w:val="18"/>
                <w:szCs w:val="18"/>
              </w:rPr>
              <w:t> </w:t>
            </w:r>
          </w:p>
          <w:p w14:paraId="361DBC63" w14:textId="77777777" w:rsidR="00C93B74" w:rsidRPr="00DE3952" w:rsidRDefault="00C93B74" w:rsidP="00B36274">
            <w:pPr>
              <w:jc w:val="center"/>
              <w:rPr>
                <w:rFonts w:ascii="Calibri" w:hAnsi="Calibri" w:cs="Calibri"/>
                <w:b/>
                <w:bCs/>
                <w:sz w:val="18"/>
                <w:szCs w:val="18"/>
              </w:rPr>
            </w:pPr>
            <w:r w:rsidRPr="00DE3952">
              <w:rPr>
                <w:rFonts w:ascii="Calibri" w:hAnsi="Calibri" w:cs="Calibri"/>
                <w:b/>
                <w:bCs/>
                <w:sz w:val="18"/>
                <w:szCs w:val="18"/>
              </w:rPr>
              <w:t> </w:t>
            </w:r>
          </w:p>
        </w:tc>
        <w:tc>
          <w:tcPr>
            <w:tcW w:w="987" w:type="dxa"/>
            <w:tcBorders>
              <w:top w:val="single" w:sz="4" w:space="0" w:color="FFFFFF" w:themeColor="background1"/>
            </w:tcBorders>
            <w:shd w:val="clear" w:color="auto" w:fill="8EAADB" w:themeFill="accent5" w:themeFillTint="99"/>
            <w:noWrap/>
            <w:vAlign w:val="center"/>
            <w:hideMark/>
          </w:tcPr>
          <w:p w14:paraId="2DD0F2AA" w14:textId="3E2B841D" w:rsidR="00C93B74" w:rsidRPr="00DE3952" w:rsidRDefault="00C93B74" w:rsidP="00B36274">
            <w:pPr>
              <w:jc w:val="center"/>
              <w:rPr>
                <w:rFonts w:ascii="Calibri" w:hAnsi="Calibri" w:cs="Calibri"/>
                <w:b/>
                <w:bCs/>
                <w:sz w:val="18"/>
                <w:szCs w:val="18"/>
              </w:rPr>
            </w:pPr>
            <w:r w:rsidRPr="00DE3952">
              <w:rPr>
                <w:rFonts w:ascii="Calibri" w:hAnsi="Calibri" w:cs="Calibri"/>
                <w:b/>
                <w:bCs/>
                <w:sz w:val="18"/>
                <w:szCs w:val="18"/>
              </w:rPr>
              <w:t>202</w:t>
            </w:r>
            <w:r w:rsidR="001E4F8A">
              <w:rPr>
                <w:rFonts w:ascii="Calibri" w:hAnsi="Calibri" w:cs="Calibri"/>
                <w:b/>
                <w:bCs/>
                <w:sz w:val="18"/>
                <w:szCs w:val="18"/>
              </w:rPr>
              <w:t>5</w:t>
            </w:r>
          </w:p>
        </w:tc>
        <w:tc>
          <w:tcPr>
            <w:tcW w:w="1073" w:type="dxa"/>
            <w:tcBorders>
              <w:top w:val="single" w:sz="4" w:space="0" w:color="FFFFFF" w:themeColor="background1"/>
            </w:tcBorders>
            <w:shd w:val="clear" w:color="auto" w:fill="8EAADB" w:themeFill="accent5" w:themeFillTint="99"/>
            <w:noWrap/>
            <w:vAlign w:val="center"/>
            <w:hideMark/>
          </w:tcPr>
          <w:p w14:paraId="43FA2F49" w14:textId="4B36C7FC" w:rsidR="00C93B74" w:rsidRPr="00DE3952" w:rsidRDefault="00C93B74" w:rsidP="00B36274">
            <w:pPr>
              <w:jc w:val="center"/>
              <w:rPr>
                <w:rFonts w:ascii="Calibri" w:hAnsi="Calibri" w:cs="Calibri"/>
                <w:b/>
                <w:bCs/>
                <w:sz w:val="18"/>
                <w:szCs w:val="18"/>
              </w:rPr>
            </w:pPr>
            <w:r w:rsidRPr="00DE3952">
              <w:rPr>
                <w:rFonts w:ascii="Calibri" w:hAnsi="Calibri" w:cs="Calibri"/>
                <w:b/>
                <w:bCs/>
                <w:sz w:val="18"/>
                <w:szCs w:val="18"/>
              </w:rPr>
              <w:t>202</w:t>
            </w:r>
            <w:r w:rsidR="001E4F8A">
              <w:rPr>
                <w:rFonts w:ascii="Calibri" w:hAnsi="Calibri" w:cs="Calibri"/>
                <w:b/>
                <w:bCs/>
                <w:sz w:val="18"/>
                <w:szCs w:val="18"/>
              </w:rPr>
              <w:t>4</w:t>
            </w:r>
          </w:p>
        </w:tc>
        <w:tc>
          <w:tcPr>
            <w:tcW w:w="1048" w:type="dxa"/>
            <w:tcBorders>
              <w:top w:val="single" w:sz="4" w:space="0" w:color="FFFFFF" w:themeColor="background1"/>
              <w:right w:val="single" w:sz="4" w:space="0" w:color="FFFFFF" w:themeColor="background1"/>
            </w:tcBorders>
            <w:shd w:val="clear" w:color="auto" w:fill="8EAADB" w:themeFill="accent5" w:themeFillTint="99"/>
            <w:noWrap/>
            <w:vAlign w:val="center"/>
            <w:hideMark/>
          </w:tcPr>
          <w:p w14:paraId="6FF4E0F4" w14:textId="77777777" w:rsidR="00C93B74" w:rsidRPr="00DE3952" w:rsidRDefault="00C93B74" w:rsidP="00B36274">
            <w:pPr>
              <w:jc w:val="center"/>
              <w:rPr>
                <w:rFonts w:ascii="Calibri" w:hAnsi="Calibri" w:cs="Calibri"/>
                <w:b/>
                <w:bCs/>
                <w:sz w:val="18"/>
                <w:szCs w:val="18"/>
              </w:rPr>
            </w:pPr>
            <w:r w:rsidRPr="00DE3952">
              <w:rPr>
                <w:rFonts w:ascii="Calibri" w:hAnsi="Calibri" w:cs="Calibri"/>
                <w:b/>
                <w:bCs/>
                <w:sz w:val="18"/>
                <w:szCs w:val="18"/>
              </w:rPr>
              <w:t>Variação</w:t>
            </w:r>
          </w:p>
        </w:tc>
      </w:tr>
      <w:tr w:rsidR="00C93B74" w14:paraId="00891C63" w14:textId="77777777" w:rsidTr="00984B52">
        <w:trPr>
          <w:trHeight w:hRule="exact" w:val="255"/>
        </w:trPr>
        <w:tc>
          <w:tcPr>
            <w:tcW w:w="5382" w:type="dxa"/>
            <w:tcBorders>
              <w:left w:val="single" w:sz="4" w:space="0" w:color="FFFFFF" w:themeColor="background1"/>
              <w:bottom w:val="nil"/>
              <w:right w:val="nil"/>
            </w:tcBorders>
            <w:shd w:val="clear" w:color="auto" w:fill="D9E2F3" w:themeFill="accent5" w:themeFillTint="33"/>
            <w:vAlign w:val="center"/>
            <w:hideMark/>
          </w:tcPr>
          <w:p w14:paraId="255B2103" w14:textId="77777777" w:rsidR="00C93B74" w:rsidRDefault="00C93B74" w:rsidP="00B36274">
            <w:pPr>
              <w:rPr>
                <w:rFonts w:ascii="Calibri" w:hAnsi="Calibri" w:cs="Calibri"/>
                <w:b/>
                <w:bCs/>
                <w:sz w:val="18"/>
                <w:szCs w:val="18"/>
              </w:rPr>
            </w:pPr>
            <w:r>
              <w:rPr>
                <w:rFonts w:ascii="Calibri" w:hAnsi="Calibri" w:cs="Calibri"/>
                <w:b/>
                <w:bCs/>
                <w:sz w:val="18"/>
                <w:szCs w:val="18"/>
              </w:rPr>
              <w:t>Ativo</w:t>
            </w:r>
          </w:p>
        </w:tc>
        <w:tc>
          <w:tcPr>
            <w:tcW w:w="987" w:type="dxa"/>
            <w:tcBorders>
              <w:left w:val="nil"/>
              <w:bottom w:val="nil"/>
              <w:right w:val="nil"/>
            </w:tcBorders>
            <w:shd w:val="clear" w:color="auto" w:fill="D9E2F3" w:themeFill="accent5" w:themeFillTint="33"/>
            <w:noWrap/>
            <w:vAlign w:val="center"/>
            <w:hideMark/>
          </w:tcPr>
          <w:p w14:paraId="340E37DF" w14:textId="77777777" w:rsidR="00C93B74" w:rsidRDefault="00C93B74" w:rsidP="00B36274">
            <w:pPr>
              <w:jc w:val="right"/>
              <w:rPr>
                <w:rFonts w:ascii="Calibri" w:hAnsi="Calibri" w:cs="Calibri"/>
                <w:sz w:val="18"/>
                <w:szCs w:val="18"/>
              </w:rPr>
            </w:pPr>
            <w:r>
              <w:rPr>
                <w:rFonts w:ascii="Calibri" w:hAnsi="Calibri" w:cs="Calibri"/>
                <w:sz w:val="18"/>
                <w:szCs w:val="18"/>
              </w:rPr>
              <w:t> </w:t>
            </w:r>
          </w:p>
        </w:tc>
        <w:tc>
          <w:tcPr>
            <w:tcW w:w="1073" w:type="dxa"/>
            <w:tcBorders>
              <w:left w:val="nil"/>
              <w:bottom w:val="nil"/>
              <w:right w:val="nil"/>
            </w:tcBorders>
            <w:shd w:val="clear" w:color="auto" w:fill="D9E2F3" w:themeFill="accent5" w:themeFillTint="33"/>
            <w:noWrap/>
            <w:vAlign w:val="center"/>
            <w:hideMark/>
          </w:tcPr>
          <w:p w14:paraId="2082404D" w14:textId="77777777" w:rsidR="00C93B74" w:rsidRDefault="00C93B74" w:rsidP="00B36274">
            <w:pPr>
              <w:jc w:val="right"/>
              <w:rPr>
                <w:rFonts w:ascii="Calibri" w:hAnsi="Calibri" w:cs="Calibri"/>
                <w:sz w:val="18"/>
                <w:szCs w:val="18"/>
              </w:rPr>
            </w:pPr>
            <w:r>
              <w:rPr>
                <w:rFonts w:ascii="Calibri" w:hAnsi="Calibri" w:cs="Calibri"/>
                <w:sz w:val="18"/>
                <w:szCs w:val="18"/>
              </w:rPr>
              <w:t> </w:t>
            </w:r>
          </w:p>
        </w:tc>
        <w:tc>
          <w:tcPr>
            <w:tcW w:w="1048" w:type="dxa"/>
            <w:tcBorders>
              <w:left w:val="nil"/>
              <w:bottom w:val="nil"/>
              <w:right w:val="single" w:sz="8" w:space="0" w:color="FFFFFF"/>
            </w:tcBorders>
            <w:shd w:val="clear" w:color="auto" w:fill="D9E2F3" w:themeFill="accent5" w:themeFillTint="33"/>
            <w:noWrap/>
            <w:vAlign w:val="center"/>
            <w:hideMark/>
          </w:tcPr>
          <w:p w14:paraId="3FE99F17" w14:textId="77777777" w:rsidR="00C93B74" w:rsidRDefault="00C93B74" w:rsidP="00B36274">
            <w:pPr>
              <w:jc w:val="right"/>
              <w:rPr>
                <w:rFonts w:ascii="Calibri" w:hAnsi="Calibri" w:cs="Calibri"/>
                <w:sz w:val="18"/>
                <w:szCs w:val="18"/>
              </w:rPr>
            </w:pPr>
            <w:r>
              <w:rPr>
                <w:rFonts w:ascii="Calibri" w:hAnsi="Calibri" w:cs="Calibri"/>
                <w:sz w:val="18"/>
                <w:szCs w:val="18"/>
              </w:rPr>
              <w:t> </w:t>
            </w:r>
          </w:p>
        </w:tc>
      </w:tr>
      <w:tr w:rsidR="00C93B74" w14:paraId="6EEA3C0B" w14:textId="77777777" w:rsidTr="00984B52">
        <w:trPr>
          <w:trHeight w:hRule="exact" w:val="255"/>
        </w:trPr>
        <w:tc>
          <w:tcPr>
            <w:tcW w:w="5382" w:type="dxa"/>
            <w:tcBorders>
              <w:top w:val="nil"/>
              <w:left w:val="single" w:sz="4" w:space="0" w:color="FFFFFF" w:themeColor="background1"/>
              <w:bottom w:val="nil"/>
              <w:right w:val="nil"/>
            </w:tcBorders>
            <w:shd w:val="clear" w:color="auto" w:fill="D9E2F3" w:themeFill="accent5" w:themeFillTint="33"/>
            <w:vAlign w:val="center"/>
            <w:hideMark/>
          </w:tcPr>
          <w:p w14:paraId="2712AC14" w14:textId="77777777" w:rsidR="00C93B74" w:rsidRDefault="00C93B74" w:rsidP="00B36274">
            <w:pPr>
              <w:rPr>
                <w:rFonts w:ascii="Calibri" w:hAnsi="Calibri" w:cs="Calibri"/>
                <w:b/>
                <w:bCs/>
                <w:sz w:val="18"/>
                <w:szCs w:val="18"/>
                <w:u w:val="single"/>
              </w:rPr>
            </w:pPr>
            <w:r>
              <w:rPr>
                <w:rFonts w:ascii="Calibri" w:hAnsi="Calibri" w:cs="Calibri"/>
                <w:b/>
                <w:bCs/>
                <w:sz w:val="18"/>
                <w:szCs w:val="18"/>
                <w:u w:val="single"/>
              </w:rPr>
              <w:t>Ativo não corrente:</w:t>
            </w:r>
          </w:p>
        </w:tc>
        <w:tc>
          <w:tcPr>
            <w:tcW w:w="987" w:type="dxa"/>
            <w:tcBorders>
              <w:top w:val="nil"/>
              <w:left w:val="nil"/>
              <w:bottom w:val="nil"/>
              <w:right w:val="nil"/>
            </w:tcBorders>
            <w:shd w:val="clear" w:color="auto" w:fill="D9E2F3" w:themeFill="accent5" w:themeFillTint="33"/>
            <w:noWrap/>
            <w:vAlign w:val="center"/>
            <w:hideMark/>
          </w:tcPr>
          <w:p w14:paraId="126031E5" w14:textId="77777777" w:rsidR="00C93B74" w:rsidRDefault="00C93B74" w:rsidP="00B36274">
            <w:pPr>
              <w:rPr>
                <w:rFonts w:ascii="Calibri" w:hAnsi="Calibri" w:cs="Calibri"/>
                <w:color w:val="333333"/>
                <w:sz w:val="18"/>
                <w:szCs w:val="18"/>
              </w:rPr>
            </w:pPr>
            <w:r>
              <w:rPr>
                <w:rFonts w:ascii="Calibri" w:hAnsi="Calibri" w:cs="Calibri"/>
                <w:color w:val="333333"/>
                <w:sz w:val="18"/>
                <w:szCs w:val="18"/>
              </w:rPr>
              <w:t> </w:t>
            </w:r>
          </w:p>
        </w:tc>
        <w:tc>
          <w:tcPr>
            <w:tcW w:w="1073" w:type="dxa"/>
            <w:tcBorders>
              <w:top w:val="nil"/>
              <w:left w:val="nil"/>
              <w:bottom w:val="nil"/>
              <w:right w:val="nil"/>
            </w:tcBorders>
            <w:shd w:val="clear" w:color="auto" w:fill="D9E2F3" w:themeFill="accent5" w:themeFillTint="33"/>
            <w:noWrap/>
            <w:vAlign w:val="center"/>
            <w:hideMark/>
          </w:tcPr>
          <w:p w14:paraId="0F66C6C5" w14:textId="77777777" w:rsidR="00C93B74" w:rsidRDefault="00C93B74" w:rsidP="00B36274">
            <w:pPr>
              <w:rPr>
                <w:rFonts w:ascii="Calibri" w:hAnsi="Calibri" w:cs="Calibri"/>
                <w:color w:val="333333"/>
                <w:sz w:val="18"/>
                <w:szCs w:val="18"/>
              </w:rPr>
            </w:pPr>
            <w:r>
              <w:rPr>
                <w:rFonts w:ascii="Calibri" w:hAnsi="Calibri" w:cs="Calibri"/>
                <w:color w:val="333333"/>
                <w:sz w:val="18"/>
                <w:szCs w:val="18"/>
              </w:rPr>
              <w:t> </w:t>
            </w:r>
          </w:p>
        </w:tc>
        <w:tc>
          <w:tcPr>
            <w:tcW w:w="1048" w:type="dxa"/>
            <w:tcBorders>
              <w:top w:val="nil"/>
              <w:left w:val="nil"/>
              <w:bottom w:val="nil"/>
              <w:right w:val="nil"/>
            </w:tcBorders>
            <w:shd w:val="clear" w:color="auto" w:fill="D9E2F3" w:themeFill="accent5" w:themeFillTint="33"/>
            <w:noWrap/>
            <w:vAlign w:val="center"/>
            <w:hideMark/>
          </w:tcPr>
          <w:p w14:paraId="74E4219B" w14:textId="77777777" w:rsidR="00C93B74" w:rsidRDefault="00C93B74" w:rsidP="00B36274">
            <w:pPr>
              <w:rPr>
                <w:rFonts w:ascii="Calibri" w:hAnsi="Calibri" w:cs="Calibri"/>
                <w:color w:val="333333"/>
                <w:sz w:val="18"/>
                <w:szCs w:val="18"/>
              </w:rPr>
            </w:pPr>
            <w:r>
              <w:rPr>
                <w:rFonts w:ascii="Calibri" w:hAnsi="Calibri" w:cs="Calibri"/>
                <w:color w:val="333333"/>
                <w:sz w:val="18"/>
                <w:szCs w:val="18"/>
              </w:rPr>
              <w:t> </w:t>
            </w:r>
          </w:p>
        </w:tc>
      </w:tr>
      <w:tr w:rsidR="00E82B38" w14:paraId="2DC71903" w14:textId="77777777" w:rsidTr="00984B52">
        <w:trPr>
          <w:trHeight w:hRule="exact" w:val="255"/>
        </w:trPr>
        <w:tc>
          <w:tcPr>
            <w:tcW w:w="5382" w:type="dxa"/>
            <w:tcBorders>
              <w:top w:val="nil"/>
              <w:left w:val="single" w:sz="4" w:space="0" w:color="FFFFFF" w:themeColor="background1"/>
              <w:bottom w:val="nil"/>
              <w:right w:val="nil"/>
            </w:tcBorders>
            <w:shd w:val="clear" w:color="auto" w:fill="D9E2F3" w:themeFill="accent5" w:themeFillTint="33"/>
            <w:noWrap/>
            <w:vAlign w:val="center"/>
            <w:hideMark/>
          </w:tcPr>
          <w:p w14:paraId="2B0E567A" w14:textId="77777777" w:rsidR="00E82B38" w:rsidRPr="0088170C" w:rsidRDefault="00E82B38" w:rsidP="00E82B38">
            <w:pPr>
              <w:ind w:firstLineChars="100" w:firstLine="180"/>
              <w:rPr>
                <w:rFonts w:asciiTheme="minorHAnsi" w:hAnsiTheme="minorHAnsi" w:cstheme="minorHAnsi"/>
                <w:sz w:val="18"/>
                <w:szCs w:val="18"/>
              </w:rPr>
            </w:pPr>
            <w:r w:rsidRPr="0088170C">
              <w:rPr>
                <w:rFonts w:asciiTheme="minorHAnsi" w:hAnsiTheme="minorHAnsi" w:cstheme="minorHAnsi"/>
                <w:sz w:val="18"/>
                <w:szCs w:val="18"/>
              </w:rPr>
              <w:t>Ativos fixos tangíveis</w:t>
            </w:r>
          </w:p>
        </w:tc>
        <w:tc>
          <w:tcPr>
            <w:tcW w:w="987" w:type="dxa"/>
            <w:tcBorders>
              <w:top w:val="nil"/>
              <w:left w:val="nil"/>
              <w:bottom w:val="nil"/>
              <w:right w:val="nil"/>
            </w:tcBorders>
            <w:shd w:val="clear" w:color="auto" w:fill="D9E2F3" w:themeFill="accent5" w:themeFillTint="33"/>
            <w:noWrap/>
            <w:vAlign w:val="center"/>
          </w:tcPr>
          <w:p w14:paraId="60185020" w14:textId="7A12C283" w:rsidR="00E82B38" w:rsidRPr="0088170C" w:rsidRDefault="00E82B38" w:rsidP="00E82B38">
            <w:pPr>
              <w:jc w:val="right"/>
              <w:rPr>
                <w:rFonts w:asciiTheme="minorHAnsi" w:hAnsiTheme="minorHAnsi" w:cstheme="minorHAnsi"/>
                <w:sz w:val="18"/>
                <w:szCs w:val="18"/>
              </w:rPr>
            </w:pPr>
            <w:r>
              <w:rPr>
                <w:rFonts w:ascii="Calibri" w:hAnsi="Calibri" w:cs="Calibri"/>
                <w:sz w:val="18"/>
                <w:szCs w:val="18"/>
              </w:rPr>
              <w:t>756</w:t>
            </w:r>
          </w:p>
        </w:tc>
        <w:tc>
          <w:tcPr>
            <w:tcW w:w="1073" w:type="dxa"/>
            <w:tcBorders>
              <w:top w:val="nil"/>
              <w:left w:val="nil"/>
              <w:bottom w:val="nil"/>
              <w:right w:val="nil"/>
            </w:tcBorders>
            <w:shd w:val="clear" w:color="auto" w:fill="D9E2F3" w:themeFill="accent5" w:themeFillTint="33"/>
            <w:noWrap/>
            <w:vAlign w:val="center"/>
            <w:hideMark/>
          </w:tcPr>
          <w:p w14:paraId="1FC6B23F" w14:textId="3A0338FB" w:rsidR="00E82B38" w:rsidRPr="0088170C" w:rsidRDefault="00E82B38" w:rsidP="00E82B38">
            <w:pPr>
              <w:jc w:val="right"/>
              <w:rPr>
                <w:rFonts w:asciiTheme="minorHAnsi" w:hAnsiTheme="minorHAnsi" w:cstheme="minorHAnsi"/>
                <w:sz w:val="18"/>
                <w:szCs w:val="18"/>
              </w:rPr>
            </w:pPr>
            <w:r>
              <w:rPr>
                <w:rFonts w:ascii="Calibri" w:hAnsi="Calibri" w:cs="Calibri"/>
                <w:sz w:val="18"/>
                <w:szCs w:val="18"/>
              </w:rPr>
              <w:t>951</w:t>
            </w:r>
          </w:p>
        </w:tc>
        <w:tc>
          <w:tcPr>
            <w:tcW w:w="1048" w:type="dxa"/>
            <w:tcBorders>
              <w:top w:val="nil"/>
              <w:left w:val="nil"/>
              <w:bottom w:val="nil"/>
              <w:right w:val="single" w:sz="8" w:space="0" w:color="FFFFFF"/>
            </w:tcBorders>
            <w:shd w:val="clear" w:color="auto" w:fill="D9E2F3" w:themeFill="accent5" w:themeFillTint="33"/>
            <w:noWrap/>
            <w:vAlign w:val="center"/>
          </w:tcPr>
          <w:p w14:paraId="24B0CD77" w14:textId="2FA102B5" w:rsidR="00E82B38" w:rsidRPr="0088170C" w:rsidRDefault="00E82B38" w:rsidP="00E82B38">
            <w:pPr>
              <w:jc w:val="right"/>
              <w:rPr>
                <w:rFonts w:asciiTheme="minorHAnsi" w:hAnsiTheme="minorHAnsi" w:cstheme="minorHAnsi"/>
                <w:sz w:val="18"/>
                <w:szCs w:val="18"/>
              </w:rPr>
            </w:pPr>
            <w:r>
              <w:rPr>
                <w:rFonts w:ascii="Calibri" w:hAnsi="Calibri" w:cs="Calibri"/>
                <w:sz w:val="18"/>
                <w:szCs w:val="18"/>
              </w:rPr>
              <w:t>(195)</w:t>
            </w:r>
          </w:p>
        </w:tc>
      </w:tr>
      <w:tr w:rsidR="00386F2E" w14:paraId="61635940" w14:textId="77777777" w:rsidTr="00984B52">
        <w:trPr>
          <w:trHeight w:hRule="exact" w:val="255"/>
        </w:trPr>
        <w:tc>
          <w:tcPr>
            <w:tcW w:w="5382" w:type="dxa"/>
            <w:tcBorders>
              <w:top w:val="nil"/>
              <w:left w:val="single" w:sz="4" w:space="0" w:color="FFFFFF" w:themeColor="background1"/>
              <w:bottom w:val="nil"/>
              <w:right w:val="nil"/>
            </w:tcBorders>
            <w:shd w:val="clear" w:color="auto" w:fill="D9E2F3" w:themeFill="accent5" w:themeFillTint="33"/>
            <w:noWrap/>
            <w:vAlign w:val="center"/>
            <w:hideMark/>
          </w:tcPr>
          <w:p w14:paraId="62F93F79" w14:textId="77777777" w:rsidR="00386F2E" w:rsidRPr="0088170C" w:rsidRDefault="00386F2E" w:rsidP="00386F2E">
            <w:pPr>
              <w:ind w:firstLineChars="100" w:firstLine="180"/>
              <w:rPr>
                <w:rFonts w:asciiTheme="minorHAnsi" w:hAnsiTheme="minorHAnsi" w:cstheme="minorHAnsi"/>
                <w:sz w:val="18"/>
                <w:szCs w:val="18"/>
              </w:rPr>
            </w:pPr>
            <w:r w:rsidRPr="0088170C">
              <w:rPr>
                <w:rFonts w:asciiTheme="minorHAnsi" w:hAnsiTheme="minorHAnsi" w:cstheme="minorHAnsi"/>
                <w:sz w:val="18"/>
                <w:szCs w:val="18"/>
              </w:rPr>
              <w:t>Outras contas a receber</w:t>
            </w:r>
          </w:p>
        </w:tc>
        <w:tc>
          <w:tcPr>
            <w:tcW w:w="987" w:type="dxa"/>
            <w:tcBorders>
              <w:top w:val="nil"/>
              <w:left w:val="nil"/>
              <w:bottom w:val="nil"/>
              <w:right w:val="nil"/>
            </w:tcBorders>
            <w:shd w:val="clear" w:color="auto" w:fill="D9E2F3" w:themeFill="accent5" w:themeFillTint="33"/>
            <w:noWrap/>
            <w:vAlign w:val="center"/>
          </w:tcPr>
          <w:p w14:paraId="0F04E611" w14:textId="6F1B2724" w:rsidR="00386F2E" w:rsidRPr="0088170C" w:rsidRDefault="00386F2E" w:rsidP="00386F2E">
            <w:pPr>
              <w:jc w:val="right"/>
              <w:rPr>
                <w:rFonts w:asciiTheme="minorHAnsi" w:hAnsiTheme="minorHAnsi" w:cstheme="minorHAnsi"/>
                <w:sz w:val="18"/>
                <w:szCs w:val="18"/>
              </w:rPr>
            </w:pPr>
            <w:r>
              <w:rPr>
                <w:rFonts w:ascii="Calibri" w:hAnsi="Calibri" w:cs="Calibri"/>
                <w:sz w:val="18"/>
                <w:szCs w:val="18"/>
              </w:rPr>
              <w:t>79 442</w:t>
            </w:r>
          </w:p>
        </w:tc>
        <w:tc>
          <w:tcPr>
            <w:tcW w:w="1073" w:type="dxa"/>
            <w:tcBorders>
              <w:top w:val="nil"/>
              <w:left w:val="nil"/>
              <w:bottom w:val="nil"/>
              <w:right w:val="nil"/>
            </w:tcBorders>
            <w:shd w:val="clear" w:color="auto" w:fill="D9E2F3" w:themeFill="accent5" w:themeFillTint="33"/>
            <w:noWrap/>
            <w:vAlign w:val="center"/>
            <w:hideMark/>
          </w:tcPr>
          <w:p w14:paraId="49FADD3C" w14:textId="7FB99047" w:rsidR="00386F2E" w:rsidRPr="0088170C" w:rsidRDefault="00386F2E" w:rsidP="00386F2E">
            <w:pPr>
              <w:jc w:val="right"/>
              <w:rPr>
                <w:rFonts w:asciiTheme="minorHAnsi" w:hAnsiTheme="minorHAnsi" w:cstheme="minorHAnsi"/>
                <w:sz w:val="18"/>
                <w:szCs w:val="18"/>
              </w:rPr>
            </w:pPr>
            <w:r>
              <w:rPr>
                <w:rFonts w:ascii="Calibri" w:hAnsi="Calibri" w:cs="Calibri"/>
                <w:sz w:val="18"/>
                <w:szCs w:val="18"/>
              </w:rPr>
              <w:t>94 806</w:t>
            </w:r>
          </w:p>
        </w:tc>
        <w:tc>
          <w:tcPr>
            <w:tcW w:w="1048" w:type="dxa"/>
            <w:tcBorders>
              <w:top w:val="nil"/>
              <w:left w:val="nil"/>
              <w:bottom w:val="nil"/>
              <w:right w:val="single" w:sz="8" w:space="0" w:color="FFFFFF"/>
            </w:tcBorders>
            <w:shd w:val="clear" w:color="auto" w:fill="D9E2F3" w:themeFill="accent5" w:themeFillTint="33"/>
            <w:noWrap/>
            <w:vAlign w:val="center"/>
          </w:tcPr>
          <w:p w14:paraId="38063671" w14:textId="0CE0EBE8" w:rsidR="00386F2E" w:rsidRPr="0088170C" w:rsidRDefault="00386F2E" w:rsidP="00386F2E">
            <w:pPr>
              <w:jc w:val="right"/>
              <w:rPr>
                <w:rFonts w:asciiTheme="minorHAnsi" w:hAnsiTheme="minorHAnsi" w:cstheme="minorHAnsi"/>
                <w:sz w:val="18"/>
                <w:szCs w:val="18"/>
              </w:rPr>
            </w:pPr>
            <w:r>
              <w:rPr>
                <w:rFonts w:ascii="Calibri" w:hAnsi="Calibri" w:cs="Calibri"/>
                <w:sz w:val="18"/>
                <w:szCs w:val="18"/>
              </w:rPr>
              <w:t>(15 364)</w:t>
            </w:r>
          </w:p>
        </w:tc>
      </w:tr>
      <w:tr w:rsidR="00E82B38" w14:paraId="60362C1A" w14:textId="77777777" w:rsidTr="00984B52">
        <w:trPr>
          <w:trHeight w:hRule="exact" w:val="255"/>
        </w:trPr>
        <w:tc>
          <w:tcPr>
            <w:tcW w:w="5382" w:type="dxa"/>
            <w:tcBorders>
              <w:top w:val="nil"/>
              <w:left w:val="single" w:sz="4" w:space="0" w:color="FFFFFF" w:themeColor="background1"/>
              <w:bottom w:val="nil"/>
              <w:right w:val="nil"/>
            </w:tcBorders>
            <w:shd w:val="clear" w:color="auto" w:fill="D9E2F3" w:themeFill="accent5" w:themeFillTint="33"/>
            <w:noWrap/>
            <w:vAlign w:val="center"/>
            <w:hideMark/>
          </w:tcPr>
          <w:p w14:paraId="3B63E20A" w14:textId="77777777" w:rsidR="00E82B38" w:rsidRPr="0088170C" w:rsidRDefault="00E82B38" w:rsidP="00E82B38">
            <w:pPr>
              <w:ind w:firstLineChars="100" w:firstLine="180"/>
              <w:rPr>
                <w:rFonts w:asciiTheme="minorHAnsi" w:hAnsiTheme="minorHAnsi" w:cstheme="minorHAnsi"/>
                <w:sz w:val="18"/>
                <w:szCs w:val="18"/>
              </w:rPr>
            </w:pPr>
            <w:proofErr w:type="spellStart"/>
            <w:r w:rsidRPr="0088170C">
              <w:rPr>
                <w:rFonts w:asciiTheme="minorHAnsi" w:hAnsiTheme="minorHAnsi" w:cstheme="minorHAnsi"/>
                <w:sz w:val="18"/>
                <w:szCs w:val="18"/>
              </w:rPr>
              <w:t>Invest</w:t>
            </w:r>
            <w:proofErr w:type="spellEnd"/>
            <w:r w:rsidRPr="0088170C">
              <w:rPr>
                <w:rFonts w:asciiTheme="minorHAnsi" w:hAnsiTheme="minorHAnsi" w:cstheme="minorHAnsi"/>
                <w:sz w:val="18"/>
                <w:szCs w:val="18"/>
              </w:rPr>
              <w:t xml:space="preserve">. em subsidiárias, </w:t>
            </w:r>
            <w:proofErr w:type="spellStart"/>
            <w:r w:rsidRPr="0088170C">
              <w:rPr>
                <w:rFonts w:asciiTheme="minorHAnsi" w:hAnsiTheme="minorHAnsi" w:cstheme="minorHAnsi"/>
                <w:sz w:val="18"/>
                <w:szCs w:val="18"/>
              </w:rPr>
              <w:t>empreend</w:t>
            </w:r>
            <w:proofErr w:type="spellEnd"/>
            <w:r w:rsidRPr="0088170C">
              <w:rPr>
                <w:rFonts w:asciiTheme="minorHAnsi" w:hAnsiTheme="minorHAnsi" w:cstheme="minorHAnsi"/>
                <w:sz w:val="18"/>
                <w:szCs w:val="18"/>
              </w:rPr>
              <w:t>. conjuntos e associadas</w:t>
            </w:r>
          </w:p>
        </w:tc>
        <w:tc>
          <w:tcPr>
            <w:tcW w:w="987" w:type="dxa"/>
            <w:tcBorders>
              <w:top w:val="nil"/>
              <w:left w:val="nil"/>
              <w:right w:val="nil"/>
            </w:tcBorders>
            <w:shd w:val="clear" w:color="auto" w:fill="D9E2F3" w:themeFill="accent5" w:themeFillTint="33"/>
            <w:noWrap/>
            <w:vAlign w:val="center"/>
          </w:tcPr>
          <w:p w14:paraId="01E361CB" w14:textId="1F595458" w:rsidR="00E82B38" w:rsidRPr="0088170C" w:rsidRDefault="00E82B38" w:rsidP="00E82B38">
            <w:pPr>
              <w:jc w:val="right"/>
              <w:rPr>
                <w:rFonts w:asciiTheme="minorHAnsi" w:hAnsiTheme="minorHAnsi" w:cstheme="minorHAnsi"/>
                <w:sz w:val="18"/>
                <w:szCs w:val="18"/>
              </w:rPr>
            </w:pPr>
            <w:r>
              <w:rPr>
                <w:rFonts w:ascii="Calibri" w:hAnsi="Calibri" w:cs="Calibri"/>
                <w:sz w:val="18"/>
                <w:szCs w:val="18"/>
              </w:rPr>
              <w:t>2 398</w:t>
            </w:r>
          </w:p>
        </w:tc>
        <w:tc>
          <w:tcPr>
            <w:tcW w:w="1073" w:type="dxa"/>
            <w:tcBorders>
              <w:top w:val="nil"/>
              <w:left w:val="nil"/>
              <w:right w:val="nil"/>
            </w:tcBorders>
            <w:shd w:val="clear" w:color="auto" w:fill="D9E2F3" w:themeFill="accent5" w:themeFillTint="33"/>
            <w:noWrap/>
            <w:vAlign w:val="center"/>
            <w:hideMark/>
          </w:tcPr>
          <w:p w14:paraId="0B2B5927" w14:textId="0B9161B9" w:rsidR="00E82B38" w:rsidRPr="0088170C" w:rsidRDefault="00E82B38" w:rsidP="00E82B38">
            <w:pPr>
              <w:jc w:val="right"/>
              <w:rPr>
                <w:rFonts w:asciiTheme="minorHAnsi" w:hAnsiTheme="minorHAnsi" w:cstheme="minorHAnsi"/>
                <w:sz w:val="18"/>
                <w:szCs w:val="18"/>
              </w:rPr>
            </w:pPr>
            <w:r>
              <w:rPr>
                <w:rFonts w:ascii="Calibri" w:hAnsi="Calibri" w:cs="Calibri"/>
                <w:sz w:val="18"/>
                <w:szCs w:val="18"/>
              </w:rPr>
              <w:t>8 761</w:t>
            </w:r>
          </w:p>
        </w:tc>
        <w:tc>
          <w:tcPr>
            <w:tcW w:w="1048" w:type="dxa"/>
            <w:tcBorders>
              <w:top w:val="nil"/>
              <w:left w:val="nil"/>
              <w:right w:val="single" w:sz="8" w:space="0" w:color="FFFFFF"/>
            </w:tcBorders>
            <w:shd w:val="clear" w:color="auto" w:fill="D9E2F3" w:themeFill="accent5" w:themeFillTint="33"/>
            <w:noWrap/>
            <w:vAlign w:val="center"/>
          </w:tcPr>
          <w:p w14:paraId="1907EDB0" w14:textId="408C7CA9" w:rsidR="00E82B38" w:rsidRPr="0088170C" w:rsidRDefault="00E82B38" w:rsidP="00E82B38">
            <w:pPr>
              <w:jc w:val="right"/>
              <w:rPr>
                <w:rFonts w:asciiTheme="minorHAnsi" w:hAnsiTheme="minorHAnsi" w:cstheme="minorHAnsi"/>
                <w:sz w:val="18"/>
                <w:szCs w:val="18"/>
              </w:rPr>
            </w:pPr>
            <w:r>
              <w:rPr>
                <w:rFonts w:ascii="Calibri" w:hAnsi="Calibri" w:cs="Calibri"/>
                <w:sz w:val="18"/>
                <w:szCs w:val="18"/>
              </w:rPr>
              <w:t>(6 363)</w:t>
            </w:r>
          </w:p>
        </w:tc>
      </w:tr>
      <w:tr w:rsidR="00E82B38" w14:paraId="2A015A2C" w14:textId="77777777" w:rsidTr="00984B52">
        <w:trPr>
          <w:trHeight w:hRule="exact" w:val="255"/>
        </w:trPr>
        <w:tc>
          <w:tcPr>
            <w:tcW w:w="5382" w:type="dxa"/>
            <w:tcBorders>
              <w:top w:val="nil"/>
              <w:left w:val="single" w:sz="4" w:space="0" w:color="FFFFFF" w:themeColor="background1"/>
              <w:bottom w:val="nil"/>
              <w:right w:val="nil"/>
            </w:tcBorders>
            <w:shd w:val="clear" w:color="auto" w:fill="D9E2F3" w:themeFill="accent5" w:themeFillTint="33"/>
            <w:noWrap/>
            <w:vAlign w:val="center"/>
            <w:hideMark/>
          </w:tcPr>
          <w:p w14:paraId="1946D4BA" w14:textId="77777777" w:rsidR="00E82B38" w:rsidRPr="0088170C" w:rsidRDefault="00E82B38" w:rsidP="00E82B38">
            <w:pPr>
              <w:ind w:firstLineChars="100" w:firstLine="180"/>
              <w:rPr>
                <w:rFonts w:asciiTheme="minorHAnsi" w:hAnsiTheme="minorHAnsi" w:cstheme="minorHAnsi"/>
                <w:sz w:val="18"/>
                <w:szCs w:val="18"/>
              </w:rPr>
            </w:pPr>
            <w:r w:rsidRPr="0088170C">
              <w:rPr>
                <w:rFonts w:asciiTheme="minorHAnsi" w:hAnsiTheme="minorHAnsi" w:cstheme="minorHAnsi"/>
                <w:sz w:val="18"/>
                <w:szCs w:val="18"/>
              </w:rPr>
              <w:t>Ativos financeiros ao justo valor através de resultados</w:t>
            </w:r>
          </w:p>
        </w:tc>
        <w:tc>
          <w:tcPr>
            <w:tcW w:w="987" w:type="dxa"/>
            <w:tcBorders>
              <w:top w:val="nil"/>
              <w:left w:val="nil"/>
              <w:bottom w:val="single" w:sz="8" w:space="0" w:color="FFFFFF"/>
              <w:right w:val="nil"/>
            </w:tcBorders>
            <w:shd w:val="clear" w:color="auto" w:fill="D9E2F3" w:themeFill="accent5" w:themeFillTint="33"/>
            <w:noWrap/>
            <w:vAlign w:val="center"/>
          </w:tcPr>
          <w:p w14:paraId="4D5B9552" w14:textId="0E36308E" w:rsidR="00E82B38" w:rsidRPr="0088170C" w:rsidRDefault="00E82B38" w:rsidP="00E82B38">
            <w:pPr>
              <w:jc w:val="right"/>
              <w:rPr>
                <w:rFonts w:asciiTheme="minorHAnsi" w:hAnsiTheme="minorHAnsi" w:cstheme="minorHAnsi"/>
                <w:sz w:val="18"/>
                <w:szCs w:val="18"/>
              </w:rPr>
            </w:pPr>
            <w:r>
              <w:rPr>
                <w:rFonts w:ascii="Calibri" w:hAnsi="Calibri" w:cs="Calibri"/>
                <w:sz w:val="18"/>
                <w:szCs w:val="18"/>
              </w:rPr>
              <w:t>236 106</w:t>
            </w:r>
          </w:p>
        </w:tc>
        <w:tc>
          <w:tcPr>
            <w:tcW w:w="1073" w:type="dxa"/>
            <w:tcBorders>
              <w:top w:val="nil"/>
              <w:left w:val="nil"/>
              <w:bottom w:val="single" w:sz="8" w:space="0" w:color="FFFFFF"/>
              <w:right w:val="nil"/>
            </w:tcBorders>
            <w:shd w:val="clear" w:color="auto" w:fill="D9E2F3" w:themeFill="accent5" w:themeFillTint="33"/>
            <w:noWrap/>
            <w:vAlign w:val="center"/>
            <w:hideMark/>
          </w:tcPr>
          <w:p w14:paraId="4D7C5C01" w14:textId="7E3478FF" w:rsidR="00E82B38" w:rsidRPr="0088170C" w:rsidRDefault="00E82B38" w:rsidP="00E82B38">
            <w:pPr>
              <w:jc w:val="right"/>
              <w:rPr>
                <w:rFonts w:asciiTheme="minorHAnsi" w:hAnsiTheme="minorHAnsi" w:cstheme="minorHAnsi"/>
                <w:sz w:val="18"/>
                <w:szCs w:val="18"/>
              </w:rPr>
            </w:pPr>
            <w:r>
              <w:rPr>
                <w:rFonts w:ascii="Calibri" w:hAnsi="Calibri" w:cs="Calibri"/>
                <w:sz w:val="18"/>
                <w:szCs w:val="18"/>
              </w:rPr>
              <w:t>255 229</w:t>
            </w:r>
          </w:p>
        </w:tc>
        <w:tc>
          <w:tcPr>
            <w:tcW w:w="1048" w:type="dxa"/>
            <w:tcBorders>
              <w:top w:val="nil"/>
              <w:left w:val="nil"/>
              <w:bottom w:val="single" w:sz="8" w:space="0" w:color="FFFFFF"/>
              <w:right w:val="single" w:sz="8" w:space="0" w:color="FFFFFF"/>
            </w:tcBorders>
            <w:shd w:val="clear" w:color="auto" w:fill="D9E2F3" w:themeFill="accent5" w:themeFillTint="33"/>
            <w:noWrap/>
            <w:vAlign w:val="center"/>
          </w:tcPr>
          <w:p w14:paraId="36E27DD0" w14:textId="6FB04137" w:rsidR="00E82B38" w:rsidRPr="0088170C" w:rsidRDefault="00E82B38" w:rsidP="00E82B38">
            <w:pPr>
              <w:jc w:val="right"/>
              <w:rPr>
                <w:rFonts w:asciiTheme="minorHAnsi" w:hAnsiTheme="minorHAnsi" w:cstheme="minorHAnsi"/>
                <w:sz w:val="18"/>
                <w:szCs w:val="18"/>
              </w:rPr>
            </w:pPr>
            <w:r>
              <w:rPr>
                <w:rFonts w:ascii="Calibri" w:hAnsi="Calibri" w:cs="Calibri"/>
                <w:sz w:val="18"/>
                <w:szCs w:val="18"/>
              </w:rPr>
              <w:t>(19 123)</w:t>
            </w:r>
          </w:p>
        </w:tc>
      </w:tr>
      <w:tr w:rsidR="00386F2E" w:rsidRPr="00B708D3" w14:paraId="3F2EF8BC" w14:textId="77777777" w:rsidTr="00984B52">
        <w:trPr>
          <w:trHeight w:hRule="exact" w:val="255"/>
        </w:trPr>
        <w:tc>
          <w:tcPr>
            <w:tcW w:w="5382" w:type="dxa"/>
            <w:tcBorders>
              <w:top w:val="nil"/>
              <w:left w:val="single" w:sz="4" w:space="0" w:color="FFFFFF" w:themeColor="background1"/>
              <w:bottom w:val="nil"/>
              <w:right w:val="nil"/>
            </w:tcBorders>
            <w:shd w:val="clear" w:color="auto" w:fill="D9E2F3" w:themeFill="accent5" w:themeFillTint="33"/>
            <w:vAlign w:val="center"/>
            <w:hideMark/>
          </w:tcPr>
          <w:p w14:paraId="6BD7AA61" w14:textId="77777777" w:rsidR="00386F2E" w:rsidRPr="00B708D3" w:rsidRDefault="00386F2E" w:rsidP="00386F2E">
            <w:pPr>
              <w:ind w:firstLineChars="100" w:firstLine="181"/>
              <w:jc w:val="right"/>
              <w:rPr>
                <w:rFonts w:asciiTheme="minorHAnsi" w:hAnsiTheme="minorHAnsi" w:cstheme="minorHAnsi"/>
                <w:b/>
                <w:bCs/>
                <w:sz w:val="18"/>
                <w:szCs w:val="18"/>
              </w:rPr>
            </w:pPr>
            <w:r w:rsidRPr="00B708D3">
              <w:rPr>
                <w:rFonts w:asciiTheme="minorHAnsi" w:hAnsiTheme="minorHAnsi" w:cstheme="minorHAnsi"/>
                <w:b/>
                <w:bCs/>
                <w:sz w:val="18"/>
                <w:szCs w:val="18"/>
              </w:rPr>
              <w:t>Total do ativo não corrente</w:t>
            </w:r>
          </w:p>
        </w:tc>
        <w:tc>
          <w:tcPr>
            <w:tcW w:w="987" w:type="dxa"/>
            <w:tcBorders>
              <w:top w:val="single" w:sz="8" w:space="0" w:color="FFFFFF"/>
              <w:left w:val="nil"/>
              <w:bottom w:val="nil"/>
              <w:right w:val="nil"/>
            </w:tcBorders>
            <w:shd w:val="clear" w:color="auto" w:fill="D9E2F3" w:themeFill="accent5" w:themeFillTint="33"/>
            <w:noWrap/>
            <w:vAlign w:val="center"/>
          </w:tcPr>
          <w:p w14:paraId="4BB04406" w14:textId="2BC6DD5A" w:rsidR="00386F2E" w:rsidRPr="00B708D3" w:rsidRDefault="00386F2E" w:rsidP="00386F2E">
            <w:pPr>
              <w:jc w:val="right"/>
              <w:rPr>
                <w:rFonts w:asciiTheme="minorHAnsi" w:hAnsiTheme="minorHAnsi" w:cstheme="minorHAnsi"/>
                <w:b/>
                <w:bCs/>
                <w:sz w:val="18"/>
                <w:szCs w:val="18"/>
              </w:rPr>
            </w:pPr>
            <w:r>
              <w:rPr>
                <w:rFonts w:ascii="Calibri" w:hAnsi="Calibri" w:cs="Calibri"/>
                <w:b/>
                <w:bCs/>
                <w:sz w:val="18"/>
                <w:szCs w:val="18"/>
              </w:rPr>
              <w:t>318 702</w:t>
            </w:r>
          </w:p>
        </w:tc>
        <w:tc>
          <w:tcPr>
            <w:tcW w:w="1073" w:type="dxa"/>
            <w:tcBorders>
              <w:top w:val="single" w:sz="8" w:space="0" w:color="FFFFFF"/>
              <w:left w:val="nil"/>
              <w:bottom w:val="nil"/>
              <w:right w:val="nil"/>
            </w:tcBorders>
            <w:shd w:val="clear" w:color="auto" w:fill="D9E2F3" w:themeFill="accent5" w:themeFillTint="33"/>
            <w:noWrap/>
            <w:vAlign w:val="center"/>
            <w:hideMark/>
          </w:tcPr>
          <w:p w14:paraId="442E6C87" w14:textId="072696C6" w:rsidR="00386F2E" w:rsidRPr="00B708D3" w:rsidRDefault="00386F2E" w:rsidP="00386F2E">
            <w:pPr>
              <w:jc w:val="right"/>
              <w:rPr>
                <w:rFonts w:asciiTheme="minorHAnsi" w:hAnsiTheme="minorHAnsi" w:cstheme="minorHAnsi"/>
                <w:b/>
                <w:bCs/>
                <w:sz w:val="18"/>
                <w:szCs w:val="18"/>
              </w:rPr>
            </w:pPr>
            <w:r>
              <w:rPr>
                <w:rFonts w:ascii="Calibri" w:hAnsi="Calibri" w:cs="Calibri"/>
                <w:b/>
                <w:bCs/>
                <w:sz w:val="18"/>
                <w:szCs w:val="18"/>
              </w:rPr>
              <w:t>359 747</w:t>
            </w:r>
          </w:p>
        </w:tc>
        <w:tc>
          <w:tcPr>
            <w:tcW w:w="1048" w:type="dxa"/>
            <w:tcBorders>
              <w:top w:val="single" w:sz="8" w:space="0" w:color="FFFFFF"/>
              <w:left w:val="nil"/>
              <w:bottom w:val="nil"/>
              <w:right w:val="single" w:sz="12" w:space="0" w:color="FFFFFF"/>
            </w:tcBorders>
            <w:shd w:val="clear" w:color="auto" w:fill="D9E2F3" w:themeFill="accent5" w:themeFillTint="33"/>
            <w:noWrap/>
            <w:vAlign w:val="center"/>
          </w:tcPr>
          <w:p w14:paraId="4406426C" w14:textId="6E72CB92" w:rsidR="00386F2E" w:rsidRPr="00B708D3" w:rsidRDefault="00386F2E" w:rsidP="00386F2E">
            <w:pPr>
              <w:jc w:val="right"/>
              <w:rPr>
                <w:rFonts w:asciiTheme="minorHAnsi" w:hAnsiTheme="minorHAnsi" w:cstheme="minorHAnsi"/>
                <w:b/>
                <w:bCs/>
                <w:sz w:val="18"/>
                <w:szCs w:val="18"/>
              </w:rPr>
            </w:pPr>
            <w:r>
              <w:rPr>
                <w:rFonts w:ascii="Calibri" w:hAnsi="Calibri" w:cs="Calibri"/>
                <w:b/>
                <w:bCs/>
                <w:sz w:val="18"/>
                <w:szCs w:val="18"/>
              </w:rPr>
              <w:t>(41 045)</w:t>
            </w:r>
          </w:p>
        </w:tc>
      </w:tr>
      <w:tr w:rsidR="001E4F8A" w14:paraId="44EDB095" w14:textId="77777777" w:rsidTr="00984B52">
        <w:trPr>
          <w:trHeight w:hRule="exact" w:val="255"/>
        </w:trPr>
        <w:tc>
          <w:tcPr>
            <w:tcW w:w="5382" w:type="dxa"/>
            <w:tcBorders>
              <w:top w:val="nil"/>
              <w:left w:val="single" w:sz="4" w:space="0" w:color="FFFFFF" w:themeColor="background1"/>
              <w:bottom w:val="nil"/>
              <w:right w:val="nil"/>
            </w:tcBorders>
            <w:shd w:val="clear" w:color="auto" w:fill="D9E2F3" w:themeFill="accent5" w:themeFillTint="33"/>
            <w:vAlign w:val="center"/>
            <w:hideMark/>
          </w:tcPr>
          <w:p w14:paraId="0809136D" w14:textId="77777777" w:rsidR="001E4F8A" w:rsidRPr="0088170C" w:rsidRDefault="001E4F8A" w:rsidP="001E4F8A">
            <w:pPr>
              <w:rPr>
                <w:rFonts w:asciiTheme="minorHAnsi" w:hAnsiTheme="minorHAnsi" w:cstheme="minorHAnsi"/>
                <w:b/>
                <w:bCs/>
                <w:sz w:val="18"/>
                <w:szCs w:val="18"/>
                <w:u w:val="single"/>
              </w:rPr>
            </w:pPr>
            <w:r w:rsidRPr="0088170C">
              <w:rPr>
                <w:rFonts w:asciiTheme="minorHAnsi" w:hAnsiTheme="minorHAnsi" w:cstheme="minorHAnsi"/>
                <w:b/>
                <w:bCs/>
                <w:sz w:val="18"/>
                <w:szCs w:val="18"/>
                <w:u w:val="single"/>
              </w:rPr>
              <w:t>Ativo corrente:</w:t>
            </w:r>
          </w:p>
        </w:tc>
        <w:tc>
          <w:tcPr>
            <w:tcW w:w="987" w:type="dxa"/>
            <w:tcBorders>
              <w:top w:val="nil"/>
              <w:left w:val="nil"/>
              <w:bottom w:val="nil"/>
              <w:right w:val="nil"/>
            </w:tcBorders>
            <w:shd w:val="clear" w:color="auto" w:fill="D9E2F3" w:themeFill="accent5" w:themeFillTint="33"/>
            <w:noWrap/>
            <w:vAlign w:val="center"/>
          </w:tcPr>
          <w:p w14:paraId="5F3AE8E1" w14:textId="2DEDFB98" w:rsidR="001E4F8A" w:rsidRPr="0088170C" w:rsidRDefault="001E4F8A" w:rsidP="001E4F8A">
            <w:pPr>
              <w:rPr>
                <w:rFonts w:asciiTheme="minorHAnsi" w:hAnsiTheme="minorHAnsi" w:cstheme="minorHAnsi"/>
                <w:sz w:val="18"/>
                <w:szCs w:val="18"/>
              </w:rPr>
            </w:pPr>
          </w:p>
        </w:tc>
        <w:tc>
          <w:tcPr>
            <w:tcW w:w="1073" w:type="dxa"/>
            <w:tcBorders>
              <w:top w:val="nil"/>
              <w:left w:val="nil"/>
              <w:bottom w:val="nil"/>
              <w:right w:val="nil"/>
            </w:tcBorders>
            <w:shd w:val="clear" w:color="auto" w:fill="D9E2F3" w:themeFill="accent5" w:themeFillTint="33"/>
            <w:noWrap/>
            <w:vAlign w:val="center"/>
            <w:hideMark/>
          </w:tcPr>
          <w:p w14:paraId="7204E6FD" w14:textId="726B9FEC" w:rsidR="001E4F8A" w:rsidRPr="0088170C" w:rsidRDefault="001E4F8A" w:rsidP="001E4F8A">
            <w:pPr>
              <w:rPr>
                <w:rFonts w:asciiTheme="minorHAnsi" w:hAnsiTheme="minorHAnsi" w:cstheme="minorHAnsi"/>
                <w:sz w:val="18"/>
                <w:szCs w:val="18"/>
              </w:rPr>
            </w:pPr>
          </w:p>
        </w:tc>
        <w:tc>
          <w:tcPr>
            <w:tcW w:w="1048" w:type="dxa"/>
            <w:tcBorders>
              <w:top w:val="nil"/>
              <w:left w:val="nil"/>
              <w:bottom w:val="nil"/>
              <w:right w:val="nil"/>
            </w:tcBorders>
            <w:shd w:val="clear" w:color="auto" w:fill="D9E2F3" w:themeFill="accent5" w:themeFillTint="33"/>
            <w:noWrap/>
            <w:vAlign w:val="center"/>
          </w:tcPr>
          <w:p w14:paraId="411E5D4A" w14:textId="77777777" w:rsidR="001E4F8A" w:rsidRPr="0088170C" w:rsidRDefault="001E4F8A" w:rsidP="001E4F8A">
            <w:pPr>
              <w:rPr>
                <w:rFonts w:asciiTheme="minorHAnsi" w:hAnsiTheme="minorHAnsi" w:cstheme="minorHAnsi"/>
                <w:sz w:val="18"/>
                <w:szCs w:val="18"/>
              </w:rPr>
            </w:pPr>
          </w:p>
        </w:tc>
      </w:tr>
      <w:tr w:rsidR="00E82B38" w14:paraId="641D4894" w14:textId="77777777" w:rsidTr="00984B52">
        <w:trPr>
          <w:trHeight w:hRule="exact" w:val="255"/>
        </w:trPr>
        <w:tc>
          <w:tcPr>
            <w:tcW w:w="5382" w:type="dxa"/>
            <w:tcBorders>
              <w:top w:val="nil"/>
              <w:left w:val="single" w:sz="4" w:space="0" w:color="FFFFFF" w:themeColor="background1"/>
              <w:bottom w:val="nil"/>
              <w:right w:val="nil"/>
            </w:tcBorders>
            <w:shd w:val="clear" w:color="auto" w:fill="D9E2F3" w:themeFill="accent5" w:themeFillTint="33"/>
            <w:noWrap/>
            <w:vAlign w:val="center"/>
            <w:hideMark/>
          </w:tcPr>
          <w:p w14:paraId="6D9C0FA7" w14:textId="77777777" w:rsidR="00E82B38" w:rsidRPr="0088170C" w:rsidRDefault="00E82B38" w:rsidP="00E82B38">
            <w:pPr>
              <w:ind w:firstLineChars="100" w:firstLine="180"/>
              <w:rPr>
                <w:rFonts w:asciiTheme="minorHAnsi" w:hAnsiTheme="minorHAnsi" w:cstheme="minorHAnsi"/>
                <w:sz w:val="18"/>
                <w:szCs w:val="18"/>
              </w:rPr>
            </w:pPr>
            <w:r w:rsidRPr="0088170C">
              <w:rPr>
                <w:rFonts w:asciiTheme="minorHAnsi" w:hAnsiTheme="minorHAnsi" w:cstheme="minorHAnsi"/>
                <w:sz w:val="18"/>
                <w:szCs w:val="18"/>
              </w:rPr>
              <w:t>Clientes</w:t>
            </w:r>
          </w:p>
        </w:tc>
        <w:tc>
          <w:tcPr>
            <w:tcW w:w="987" w:type="dxa"/>
            <w:tcBorders>
              <w:top w:val="nil"/>
              <w:left w:val="nil"/>
              <w:bottom w:val="nil"/>
              <w:right w:val="nil"/>
            </w:tcBorders>
            <w:shd w:val="clear" w:color="auto" w:fill="D9E2F3" w:themeFill="accent5" w:themeFillTint="33"/>
            <w:noWrap/>
            <w:vAlign w:val="center"/>
          </w:tcPr>
          <w:p w14:paraId="17117D78" w14:textId="429CF499" w:rsidR="00E82B38" w:rsidRPr="0088170C" w:rsidRDefault="00E82B38" w:rsidP="00E82B38">
            <w:pPr>
              <w:jc w:val="right"/>
              <w:rPr>
                <w:rFonts w:asciiTheme="minorHAnsi" w:hAnsiTheme="minorHAnsi" w:cstheme="minorHAnsi"/>
                <w:sz w:val="18"/>
                <w:szCs w:val="18"/>
              </w:rPr>
            </w:pPr>
            <w:r>
              <w:rPr>
                <w:rFonts w:ascii="Calibri" w:hAnsi="Calibri" w:cs="Calibri"/>
                <w:sz w:val="18"/>
                <w:szCs w:val="18"/>
              </w:rPr>
              <w:t>55</w:t>
            </w:r>
          </w:p>
        </w:tc>
        <w:tc>
          <w:tcPr>
            <w:tcW w:w="1073" w:type="dxa"/>
            <w:tcBorders>
              <w:top w:val="nil"/>
              <w:left w:val="nil"/>
              <w:bottom w:val="nil"/>
              <w:right w:val="nil"/>
            </w:tcBorders>
            <w:shd w:val="clear" w:color="auto" w:fill="D9E2F3" w:themeFill="accent5" w:themeFillTint="33"/>
            <w:noWrap/>
            <w:vAlign w:val="center"/>
            <w:hideMark/>
          </w:tcPr>
          <w:p w14:paraId="15072B8E" w14:textId="00A3F8CC" w:rsidR="00E82B38" w:rsidRPr="0088170C" w:rsidRDefault="00E82B38" w:rsidP="00E82B38">
            <w:pPr>
              <w:jc w:val="right"/>
              <w:rPr>
                <w:rFonts w:asciiTheme="minorHAnsi" w:hAnsiTheme="minorHAnsi" w:cstheme="minorHAnsi"/>
                <w:sz w:val="18"/>
                <w:szCs w:val="18"/>
              </w:rPr>
            </w:pPr>
            <w:r>
              <w:rPr>
                <w:rFonts w:ascii="Calibri" w:hAnsi="Calibri" w:cs="Calibri"/>
                <w:sz w:val="18"/>
                <w:szCs w:val="18"/>
              </w:rPr>
              <w:t>62</w:t>
            </w:r>
          </w:p>
        </w:tc>
        <w:tc>
          <w:tcPr>
            <w:tcW w:w="1048" w:type="dxa"/>
            <w:tcBorders>
              <w:top w:val="nil"/>
              <w:left w:val="nil"/>
              <w:bottom w:val="nil"/>
              <w:right w:val="single" w:sz="8" w:space="0" w:color="FFFFFF"/>
            </w:tcBorders>
            <w:shd w:val="clear" w:color="auto" w:fill="D9E2F3" w:themeFill="accent5" w:themeFillTint="33"/>
            <w:noWrap/>
            <w:vAlign w:val="center"/>
          </w:tcPr>
          <w:p w14:paraId="4F1E9A96" w14:textId="7D64EFDC" w:rsidR="00E82B38" w:rsidRPr="0088170C" w:rsidRDefault="00E82B38" w:rsidP="00E82B38">
            <w:pPr>
              <w:jc w:val="right"/>
              <w:rPr>
                <w:rFonts w:asciiTheme="minorHAnsi" w:hAnsiTheme="minorHAnsi" w:cstheme="minorHAnsi"/>
                <w:sz w:val="18"/>
                <w:szCs w:val="18"/>
              </w:rPr>
            </w:pPr>
            <w:r>
              <w:rPr>
                <w:rFonts w:ascii="Calibri" w:hAnsi="Calibri" w:cs="Calibri"/>
                <w:sz w:val="18"/>
                <w:szCs w:val="18"/>
              </w:rPr>
              <w:t>(7)</w:t>
            </w:r>
          </w:p>
        </w:tc>
      </w:tr>
      <w:tr w:rsidR="00E82B38" w14:paraId="6ADE54E3" w14:textId="77777777" w:rsidTr="00984B52">
        <w:trPr>
          <w:trHeight w:hRule="exact" w:val="255"/>
        </w:trPr>
        <w:tc>
          <w:tcPr>
            <w:tcW w:w="5382" w:type="dxa"/>
            <w:tcBorders>
              <w:top w:val="nil"/>
              <w:left w:val="single" w:sz="4" w:space="0" w:color="FFFFFF" w:themeColor="background1"/>
              <w:bottom w:val="nil"/>
              <w:right w:val="nil"/>
            </w:tcBorders>
            <w:shd w:val="clear" w:color="auto" w:fill="D9E2F3" w:themeFill="accent5" w:themeFillTint="33"/>
            <w:noWrap/>
            <w:vAlign w:val="center"/>
            <w:hideMark/>
          </w:tcPr>
          <w:p w14:paraId="527638AC" w14:textId="07CDCC61" w:rsidR="00E82B38" w:rsidRPr="0088170C" w:rsidRDefault="00E82B38" w:rsidP="00E82B38">
            <w:pPr>
              <w:ind w:firstLineChars="100" w:firstLine="180"/>
              <w:rPr>
                <w:rFonts w:asciiTheme="minorHAnsi" w:hAnsiTheme="minorHAnsi" w:cstheme="minorHAnsi"/>
                <w:sz w:val="18"/>
                <w:szCs w:val="18"/>
              </w:rPr>
            </w:pPr>
            <w:r>
              <w:rPr>
                <w:rFonts w:asciiTheme="minorHAnsi" w:hAnsiTheme="minorHAnsi" w:cstheme="minorHAnsi"/>
                <w:sz w:val="18"/>
                <w:szCs w:val="18"/>
              </w:rPr>
              <w:t>Inventários</w:t>
            </w:r>
          </w:p>
        </w:tc>
        <w:tc>
          <w:tcPr>
            <w:tcW w:w="987" w:type="dxa"/>
            <w:tcBorders>
              <w:top w:val="nil"/>
              <w:left w:val="nil"/>
              <w:bottom w:val="nil"/>
              <w:right w:val="nil"/>
            </w:tcBorders>
            <w:shd w:val="clear" w:color="auto" w:fill="D9E2F3" w:themeFill="accent5" w:themeFillTint="33"/>
            <w:noWrap/>
            <w:vAlign w:val="center"/>
          </w:tcPr>
          <w:p w14:paraId="1C68EF56" w14:textId="169C5408" w:rsidR="00E82B38" w:rsidRPr="0088170C" w:rsidRDefault="00E82B38" w:rsidP="00E82B38">
            <w:pPr>
              <w:jc w:val="right"/>
              <w:rPr>
                <w:rFonts w:asciiTheme="minorHAnsi" w:hAnsiTheme="minorHAnsi" w:cstheme="minorHAnsi"/>
                <w:sz w:val="18"/>
                <w:szCs w:val="18"/>
              </w:rPr>
            </w:pPr>
            <w:r>
              <w:rPr>
                <w:rFonts w:ascii="Calibri" w:hAnsi="Calibri" w:cs="Calibri"/>
                <w:sz w:val="18"/>
                <w:szCs w:val="18"/>
              </w:rPr>
              <w:t>99 798</w:t>
            </w:r>
          </w:p>
        </w:tc>
        <w:tc>
          <w:tcPr>
            <w:tcW w:w="1073" w:type="dxa"/>
            <w:tcBorders>
              <w:top w:val="nil"/>
              <w:left w:val="nil"/>
              <w:bottom w:val="nil"/>
              <w:right w:val="nil"/>
            </w:tcBorders>
            <w:shd w:val="clear" w:color="auto" w:fill="D9E2F3" w:themeFill="accent5" w:themeFillTint="33"/>
            <w:noWrap/>
            <w:vAlign w:val="center"/>
            <w:hideMark/>
          </w:tcPr>
          <w:p w14:paraId="00B26959" w14:textId="58C2C41B" w:rsidR="00E82B38" w:rsidRPr="0088170C" w:rsidRDefault="00E82B38" w:rsidP="00E82B38">
            <w:pPr>
              <w:jc w:val="right"/>
              <w:rPr>
                <w:rFonts w:asciiTheme="minorHAnsi" w:hAnsiTheme="minorHAnsi" w:cstheme="minorHAnsi"/>
                <w:sz w:val="18"/>
                <w:szCs w:val="18"/>
              </w:rPr>
            </w:pPr>
            <w:r>
              <w:rPr>
                <w:rFonts w:ascii="Calibri" w:hAnsi="Calibri" w:cs="Calibri"/>
                <w:sz w:val="18"/>
                <w:szCs w:val="18"/>
              </w:rPr>
              <w:t>92 402</w:t>
            </w:r>
          </w:p>
        </w:tc>
        <w:tc>
          <w:tcPr>
            <w:tcW w:w="1048" w:type="dxa"/>
            <w:tcBorders>
              <w:top w:val="nil"/>
              <w:left w:val="nil"/>
              <w:bottom w:val="nil"/>
              <w:right w:val="single" w:sz="8" w:space="0" w:color="FFFFFF"/>
            </w:tcBorders>
            <w:shd w:val="clear" w:color="auto" w:fill="D9E2F3" w:themeFill="accent5" w:themeFillTint="33"/>
            <w:noWrap/>
            <w:vAlign w:val="center"/>
          </w:tcPr>
          <w:p w14:paraId="57802A29" w14:textId="2A796062" w:rsidR="00E82B38" w:rsidRPr="0088170C" w:rsidRDefault="00E82B38" w:rsidP="00E82B38">
            <w:pPr>
              <w:jc w:val="right"/>
              <w:rPr>
                <w:rFonts w:asciiTheme="minorHAnsi" w:hAnsiTheme="minorHAnsi" w:cstheme="minorHAnsi"/>
                <w:sz w:val="18"/>
                <w:szCs w:val="18"/>
              </w:rPr>
            </w:pPr>
            <w:r>
              <w:rPr>
                <w:rFonts w:ascii="Calibri" w:hAnsi="Calibri" w:cs="Calibri"/>
                <w:sz w:val="18"/>
                <w:szCs w:val="18"/>
              </w:rPr>
              <w:t>7 396</w:t>
            </w:r>
          </w:p>
        </w:tc>
      </w:tr>
      <w:tr w:rsidR="00E82B38" w14:paraId="384B623B" w14:textId="77777777" w:rsidTr="00984B52">
        <w:trPr>
          <w:trHeight w:hRule="exact" w:val="255"/>
        </w:trPr>
        <w:tc>
          <w:tcPr>
            <w:tcW w:w="5382" w:type="dxa"/>
            <w:tcBorders>
              <w:top w:val="nil"/>
              <w:left w:val="single" w:sz="4" w:space="0" w:color="FFFFFF" w:themeColor="background1"/>
              <w:bottom w:val="nil"/>
              <w:right w:val="nil"/>
            </w:tcBorders>
            <w:shd w:val="clear" w:color="auto" w:fill="D9E2F3" w:themeFill="accent5" w:themeFillTint="33"/>
            <w:noWrap/>
            <w:vAlign w:val="center"/>
            <w:hideMark/>
          </w:tcPr>
          <w:p w14:paraId="6E6B86A4" w14:textId="77777777" w:rsidR="00E82B38" w:rsidRPr="0088170C" w:rsidRDefault="00E82B38" w:rsidP="00E82B38">
            <w:pPr>
              <w:ind w:firstLineChars="100" w:firstLine="180"/>
              <w:rPr>
                <w:rFonts w:asciiTheme="minorHAnsi" w:hAnsiTheme="minorHAnsi" w:cstheme="minorHAnsi"/>
                <w:sz w:val="18"/>
                <w:szCs w:val="18"/>
              </w:rPr>
            </w:pPr>
            <w:r w:rsidRPr="0088170C">
              <w:rPr>
                <w:rFonts w:asciiTheme="minorHAnsi" w:hAnsiTheme="minorHAnsi" w:cstheme="minorHAnsi"/>
                <w:sz w:val="18"/>
                <w:szCs w:val="18"/>
              </w:rPr>
              <w:t>Adiantamento a fornecedores</w:t>
            </w:r>
          </w:p>
        </w:tc>
        <w:tc>
          <w:tcPr>
            <w:tcW w:w="987" w:type="dxa"/>
            <w:tcBorders>
              <w:top w:val="nil"/>
              <w:left w:val="nil"/>
              <w:bottom w:val="nil"/>
              <w:right w:val="nil"/>
            </w:tcBorders>
            <w:shd w:val="clear" w:color="auto" w:fill="D9E2F3" w:themeFill="accent5" w:themeFillTint="33"/>
            <w:noWrap/>
            <w:vAlign w:val="center"/>
          </w:tcPr>
          <w:p w14:paraId="2E193D49" w14:textId="1CCF6630" w:rsidR="00E82B38" w:rsidRPr="0088170C" w:rsidRDefault="00E82B38" w:rsidP="00E82B38">
            <w:pPr>
              <w:jc w:val="right"/>
              <w:rPr>
                <w:rFonts w:asciiTheme="minorHAnsi" w:hAnsiTheme="minorHAnsi" w:cstheme="minorHAnsi"/>
                <w:sz w:val="18"/>
                <w:szCs w:val="18"/>
              </w:rPr>
            </w:pPr>
            <w:r>
              <w:rPr>
                <w:rFonts w:ascii="Calibri" w:hAnsi="Calibri" w:cs="Calibri"/>
                <w:sz w:val="18"/>
                <w:szCs w:val="18"/>
              </w:rPr>
              <w:t>304</w:t>
            </w:r>
          </w:p>
        </w:tc>
        <w:tc>
          <w:tcPr>
            <w:tcW w:w="1073" w:type="dxa"/>
            <w:tcBorders>
              <w:top w:val="nil"/>
              <w:left w:val="nil"/>
              <w:bottom w:val="nil"/>
              <w:right w:val="nil"/>
            </w:tcBorders>
            <w:shd w:val="clear" w:color="auto" w:fill="D9E2F3" w:themeFill="accent5" w:themeFillTint="33"/>
            <w:noWrap/>
            <w:vAlign w:val="center"/>
            <w:hideMark/>
          </w:tcPr>
          <w:p w14:paraId="1950EF2A" w14:textId="3C1EEFEA" w:rsidR="00E82B38" w:rsidRPr="0088170C" w:rsidRDefault="00E82B38" w:rsidP="00E82B38">
            <w:pPr>
              <w:jc w:val="right"/>
              <w:rPr>
                <w:rFonts w:asciiTheme="minorHAnsi" w:hAnsiTheme="minorHAnsi" w:cstheme="minorHAnsi"/>
                <w:sz w:val="18"/>
                <w:szCs w:val="18"/>
              </w:rPr>
            </w:pPr>
            <w:r>
              <w:rPr>
                <w:rFonts w:ascii="Calibri" w:hAnsi="Calibri" w:cs="Calibri"/>
                <w:sz w:val="18"/>
                <w:szCs w:val="18"/>
              </w:rPr>
              <w:t>343</w:t>
            </w:r>
          </w:p>
        </w:tc>
        <w:tc>
          <w:tcPr>
            <w:tcW w:w="1048" w:type="dxa"/>
            <w:tcBorders>
              <w:top w:val="nil"/>
              <w:left w:val="nil"/>
              <w:bottom w:val="nil"/>
              <w:right w:val="single" w:sz="8" w:space="0" w:color="FFFFFF"/>
            </w:tcBorders>
            <w:shd w:val="clear" w:color="auto" w:fill="D9E2F3" w:themeFill="accent5" w:themeFillTint="33"/>
            <w:noWrap/>
            <w:vAlign w:val="center"/>
          </w:tcPr>
          <w:p w14:paraId="50F3E956" w14:textId="722DF519" w:rsidR="00E82B38" w:rsidRPr="0088170C" w:rsidRDefault="00E82B38" w:rsidP="00E82B38">
            <w:pPr>
              <w:jc w:val="right"/>
              <w:rPr>
                <w:rFonts w:asciiTheme="minorHAnsi" w:hAnsiTheme="minorHAnsi" w:cstheme="minorHAnsi"/>
                <w:sz w:val="18"/>
                <w:szCs w:val="18"/>
              </w:rPr>
            </w:pPr>
            <w:r>
              <w:rPr>
                <w:rFonts w:ascii="Calibri" w:hAnsi="Calibri" w:cs="Calibri"/>
                <w:sz w:val="18"/>
                <w:szCs w:val="18"/>
              </w:rPr>
              <w:t>(39)</w:t>
            </w:r>
          </w:p>
        </w:tc>
      </w:tr>
      <w:tr w:rsidR="00E82B38" w14:paraId="673FB442" w14:textId="77777777" w:rsidTr="00984B52">
        <w:trPr>
          <w:trHeight w:hRule="exact" w:val="255"/>
        </w:trPr>
        <w:tc>
          <w:tcPr>
            <w:tcW w:w="5382" w:type="dxa"/>
            <w:tcBorders>
              <w:top w:val="nil"/>
              <w:left w:val="single" w:sz="4" w:space="0" w:color="FFFFFF" w:themeColor="background1"/>
              <w:bottom w:val="nil"/>
              <w:right w:val="nil"/>
            </w:tcBorders>
            <w:shd w:val="clear" w:color="auto" w:fill="D9E2F3" w:themeFill="accent5" w:themeFillTint="33"/>
            <w:noWrap/>
            <w:vAlign w:val="center"/>
            <w:hideMark/>
          </w:tcPr>
          <w:p w14:paraId="3F04510B" w14:textId="77777777" w:rsidR="00E82B38" w:rsidRPr="0088170C" w:rsidRDefault="00E82B38" w:rsidP="00E82B38">
            <w:pPr>
              <w:ind w:firstLineChars="100" w:firstLine="180"/>
              <w:rPr>
                <w:rFonts w:asciiTheme="minorHAnsi" w:hAnsiTheme="minorHAnsi" w:cstheme="minorHAnsi"/>
                <w:sz w:val="18"/>
                <w:szCs w:val="18"/>
              </w:rPr>
            </w:pPr>
            <w:r w:rsidRPr="0088170C">
              <w:rPr>
                <w:rFonts w:asciiTheme="minorHAnsi" w:hAnsiTheme="minorHAnsi" w:cstheme="minorHAnsi"/>
                <w:sz w:val="18"/>
                <w:szCs w:val="18"/>
              </w:rPr>
              <w:t>Estado e outros entes públicos</w:t>
            </w:r>
          </w:p>
        </w:tc>
        <w:tc>
          <w:tcPr>
            <w:tcW w:w="987" w:type="dxa"/>
            <w:tcBorders>
              <w:top w:val="nil"/>
              <w:left w:val="nil"/>
              <w:bottom w:val="nil"/>
              <w:right w:val="nil"/>
            </w:tcBorders>
            <w:shd w:val="clear" w:color="auto" w:fill="D9E2F3" w:themeFill="accent5" w:themeFillTint="33"/>
            <w:noWrap/>
            <w:vAlign w:val="center"/>
          </w:tcPr>
          <w:p w14:paraId="23A5E425" w14:textId="4B132720" w:rsidR="00E82B38" w:rsidRPr="0088170C" w:rsidRDefault="00E82B38" w:rsidP="00E82B38">
            <w:pPr>
              <w:jc w:val="right"/>
              <w:rPr>
                <w:rFonts w:asciiTheme="minorHAnsi" w:hAnsiTheme="minorHAnsi" w:cstheme="minorHAnsi"/>
                <w:sz w:val="18"/>
                <w:szCs w:val="18"/>
              </w:rPr>
            </w:pPr>
            <w:r>
              <w:rPr>
                <w:rFonts w:ascii="Calibri" w:hAnsi="Calibri" w:cs="Calibri"/>
                <w:sz w:val="18"/>
                <w:szCs w:val="18"/>
              </w:rPr>
              <w:t>2 533</w:t>
            </w:r>
          </w:p>
        </w:tc>
        <w:tc>
          <w:tcPr>
            <w:tcW w:w="1073" w:type="dxa"/>
            <w:tcBorders>
              <w:top w:val="nil"/>
              <w:left w:val="nil"/>
              <w:bottom w:val="nil"/>
              <w:right w:val="nil"/>
            </w:tcBorders>
            <w:shd w:val="clear" w:color="auto" w:fill="D9E2F3" w:themeFill="accent5" w:themeFillTint="33"/>
            <w:noWrap/>
            <w:vAlign w:val="center"/>
            <w:hideMark/>
          </w:tcPr>
          <w:p w14:paraId="2E2E2E6B" w14:textId="3FBA414E" w:rsidR="00E82B38" w:rsidRPr="0088170C" w:rsidRDefault="00E82B38" w:rsidP="00E82B38">
            <w:pPr>
              <w:jc w:val="right"/>
              <w:rPr>
                <w:rFonts w:asciiTheme="minorHAnsi" w:hAnsiTheme="minorHAnsi" w:cstheme="minorHAnsi"/>
                <w:sz w:val="18"/>
                <w:szCs w:val="18"/>
              </w:rPr>
            </w:pPr>
            <w:r>
              <w:rPr>
                <w:rFonts w:ascii="Calibri" w:hAnsi="Calibri" w:cs="Calibri"/>
                <w:sz w:val="18"/>
                <w:szCs w:val="18"/>
              </w:rPr>
              <w:t>1 589</w:t>
            </w:r>
          </w:p>
        </w:tc>
        <w:tc>
          <w:tcPr>
            <w:tcW w:w="1048" w:type="dxa"/>
            <w:tcBorders>
              <w:top w:val="nil"/>
              <w:left w:val="nil"/>
              <w:bottom w:val="nil"/>
              <w:right w:val="single" w:sz="8" w:space="0" w:color="FFFFFF"/>
            </w:tcBorders>
            <w:shd w:val="clear" w:color="auto" w:fill="D9E2F3" w:themeFill="accent5" w:themeFillTint="33"/>
            <w:noWrap/>
            <w:vAlign w:val="center"/>
          </w:tcPr>
          <w:p w14:paraId="3CB78395" w14:textId="21FB97CA" w:rsidR="00E82B38" w:rsidRPr="0088170C" w:rsidRDefault="00E82B38" w:rsidP="00E82B38">
            <w:pPr>
              <w:jc w:val="right"/>
              <w:rPr>
                <w:rFonts w:asciiTheme="minorHAnsi" w:hAnsiTheme="minorHAnsi" w:cstheme="minorHAnsi"/>
                <w:sz w:val="18"/>
                <w:szCs w:val="18"/>
              </w:rPr>
            </w:pPr>
            <w:r>
              <w:rPr>
                <w:rFonts w:ascii="Calibri" w:hAnsi="Calibri" w:cs="Calibri"/>
                <w:sz w:val="18"/>
                <w:szCs w:val="18"/>
              </w:rPr>
              <w:t>944</w:t>
            </w:r>
          </w:p>
        </w:tc>
      </w:tr>
      <w:tr w:rsidR="00E82B38" w14:paraId="0F872677" w14:textId="77777777" w:rsidTr="00984B52">
        <w:trPr>
          <w:trHeight w:hRule="exact" w:val="255"/>
        </w:trPr>
        <w:tc>
          <w:tcPr>
            <w:tcW w:w="5382" w:type="dxa"/>
            <w:tcBorders>
              <w:top w:val="nil"/>
              <w:left w:val="single" w:sz="4" w:space="0" w:color="FFFFFF" w:themeColor="background1"/>
              <w:bottom w:val="nil"/>
              <w:right w:val="nil"/>
            </w:tcBorders>
            <w:shd w:val="clear" w:color="auto" w:fill="D9E2F3" w:themeFill="accent5" w:themeFillTint="33"/>
            <w:noWrap/>
            <w:vAlign w:val="center"/>
            <w:hideMark/>
          </w:tcPr>
          <w:p w14:paraId="11F32C9C" w14:textId="77777777" w:rsidR="00E82B38" w:rsidRPr="0088170C" w:rsidRDefault="00E82B38" w:rsidP="00E82B38">
            <w:pPr>
              <w:ind w:firstLineChars="100" w:firstLine="180"/>
              <w:rPr>
                <w:rFonts w:asciiTheme="minorHAnsi" w:hAnsiTheme="minorHAnsi" w:cstheme="minorHAnsi"/>
                <w:sz w:val="18"/>
                <w:szCs w:val="18"/>
              </w:rPr>
            </w:pPr>
            <w:r w:rsidRPr="0088170C">
              <w:rPr>
                <w:rFonts w:asciiTheme="minorHAnsi" w:hAnsiTheme="minorHAnsi" w:cstheme="minorHAnsi"/>
                <w:sz w:val="18"/>
                <w:szCs w:val="18"/>
              </w:rPr>
              <w:t>Outros ativos</w:t>
            </w:r>
          </w:p>
        </w:tc>
        <w:tc>
          <w:tcPr>
            <w:tcW w:w="987" w:type="dxa"/>
            <w:tcBorders>
              <w:top w:val="nil"/>
              <w:left w:val="nil"/>
              <w:right w:val="nil"/>
            </w:tcBorders>
            <w:shd w:val="clear" w:color="auto" w:fill="D9E2F3" w:themeFill="accent5" w:themeFillTint="33"/>
            <w:noWrap/>
            <w:vAlign w:val="center"/>
          </w:tcPr>
          <w:p w14:paraId="39030DFA" w14:textId="725BFC8C" w:rsidR="00E82B38" w:rsidRPr="0088170C" w:rsidRDefault="00E82B38" w:rsidP="00E82B38">
            <w:pPr>
              <w:jc w:val="right"/>
              <w:rPr>
                <w:rFonts w:asciiTheme="minorHAnsi" w:hAnsiTheme="minorHAnsi" w:cstheme="minorHAnsi"/>
                <w:sz w:val="18"/>
                <w:szCs w:val="18"/>
              </w:rPr>
            </w:pPr>
            <w:r>
              <w:rPr>
                <w:rFonts w:ascii="Calibri" w:hAnsi="Calibri" w:cs="Calibri"/>
                <w:sz w:val="18"/>
                <w:szCs w:val="18"/>
              </w:rPr>
              <w:t>39 299</w:t>
            </w:r>
          </w:p>
        </w:tc>
        <w:tc>
          <w:tcPr>
            <w:tcW w:w="1073" w:type="dxa"/>
            <w:tcBorders>
              <w:top w:val="nil"/>
              <w:left w:val="nil"/>
              <w:right w:val="nil"/>
            </w:tcBorders>
            <w:shd w:val="clear" w:color="auto" w:fill="D9E2F3" w:themeFill="accent5" w:themeFillTint="33"/>
            <w:noWrap/>
            <w:vAlign w:val="center"/>
            <w:hideMark/>
          </w:tcPr>
          <w:p w14:paraId="453BF73A" w14:textId="351FCE54" w:rsidR="00E82B38" w:rsidRPr="0088170C" w:rsidRDefault="00E82B38" w:rsidP="00E82B38">
            <w:pPr>
              <w:jc w:val="right"/>
              <w:rPr>
                <w:rFonts w:asciiTheme="minorHAnsi" w:hAnsiTheme="minorHAnsi" w:cstheme="minorHAnsi"/>
                <w:sz w:val="18"/>
                <w:szCs w:val="18"/>
              </w:rPr>
            </w:pPr>
            <w:r>
              <w:rPr>
                <w:rFonts w:ascii="Calibri" w:hAnsi="Calibri" w:cs="Calibri"/>
                <w:sz w:val="18"/>
                <w:szCs w:val="18"/>
              </w:rPr>
              <w:t>50 865</w:t>
            </w:r>
          </w:p>
        </w:tc>
        <w:tc>
          <w:tcPr>
            <w:tcW w:w="1048" w:type="dxa"/>
            <w:tcBorders>
              <w:top w:val="nil"/>
              <w:left w:val="nil"/>
              <w:right w:val="single" w:sz="8" w:space="0" w:color="FFFFFF"/>
            </w:tcBorders>
            <w:shd w:val="clear" w:color="auto" w:fill="D9E2F3" w:themeFill="accent5" w:themeFillTint="33"/>
            <w:noWrap/>
            <w:vAlign w:val="center"/>
          </w:tcPr>
          <w:p w14:paraId="288849E2" w14:textId="199A2A2D" w:rsidR="00E82B38" w:rsidRPr="0088170C" w:rsidRDefault="00E82B38" w:rsidP="00E82B38">
            <w:pPr>
              <w:jc w:val="right"/>
              <w:rPr>
                <w:rFonts w:asciiTheme="minorHAnsi" w:hAnsiTheme="minorHAnsi" w:cstheme="minorHAnsi"/>
                <w:sz w:val="18"/>
                <w:szCs w:val="18"/>
              </w:rPr>
            </w:pPr>
            <w:r>
              <w:rPr>
                <w:rFonts w:ascii="Calibri" w:hAnsi="Calibri" w:cs="Calibri"/>
                <w:sz w:val="18"/>
                <w:szCs w:val="18"/>
              </w:rPr>
              <w:t>(11 566)</w:t>
            </w:r>
          </w:p>
        </w:tc>
      </w:tr>
      <w:tr w:rsidR="00E82B38" w14:paraId="5347F443" w14:textId="77777777" w:rsidTr="00984B52">
        <w:trPr>
          <w:trHeight w:hRule="exact" w:val="255"/>
        </w:trPr>
        <w:tc>
          <w:tcPr>
            <w:tcW w:w="5382" w:type="dxa"/>
            <w:tcBorders>
              <w:top w:val="nil"/>
              <w:left w:val="single" w:sz="4" w:space="0" w:color="FFFFFF" w:themeColor="background1"/>
              <w:bottom w:val="nil"/>
              <w:right w:val="nil"/>
            </w:tcBorders>
            <w:shd w:val="clear" w:color="auto" w:fill="D9E2F3" w:themeFill="accent5" w:themeFillTint="33"/>
            <w:noWrap/>
            <w:vAlign w:val="center"/>
            <w:hideMark/>
          </w:tcPr>
          <w:p w14:paraId="4EDB6205" w14:textId="77777777" w:rsidR="00E82B38" w:rsidRPr="0088170C" w:rsidRDefault="00E82B38" w:rsidP="00E82B38">
            <w:pPr>
              <w:ind w:firstLineChars="100" w:firstLine="180"/>
              <w:rPr>
                <w:rFonts w:asciiTheme="minorHAnsi" w:hAnsiTheme="minorHAnsi" w:cstheme="minorHAnsi"/>
                <w:sz w:val="18"/>
                <w:szCs w:val="18"/>
              </w:rPr>
            </w:pPr>
            <w:r w:rsidRPr="0088170C">
              <w:rPr>
                <w:rFonts w:asciiTheme="minorHAnsi" w:hAnsiTheme="minorHAnsi" w:cstheme="minorHAnsi"/>
                <w:sz w:val="18"/>
                <w:szCs w:val="18"/>
              </w:rPr>
              <w:t>Caixa e equivalentes de caixa</w:t>
            </w:r>
          </w:p>
        </w:tc>
        <w:tc>
          <w:tcPr>
            <w:tcW w:w="987" w:type="dxa"/>
            <w:tcBorders>
              <w:top w:val="nil"/>
              <w:left w:val="nil"/>
              <w:bottom w:val="single" w:sz="8" w:space="0" w:color="FFFFFF"/>
              <w:right w:val="nil"/>
            </w:tcBorders>
            <w:shd w:val="clear" w:color="auto" w:fill="D9E2F3" w:themeFill="accent5" w:themeFillTint="33"/>
            <w:noWrap/>
            <w:vAlign w:val="center"/>
          </w:tcPr>
          <w:p w14:paraId="514C3BE6" w14:textId="19622589" w:rsidR="00E82B38" w:rsidRPr="0088170C" w:rsidRDefault="00E82B38" w:rsidP="00E82B38">
            <w:pPr>
              <w:jc w:val="right"/>
              <w:rPr>
                <w:rFonts w:asciiTheme="minorHAnsi" w:hAnsiTheme="minorHAnsi" w:cstheme="minorHAnsi"/>
                <w:sz w:val="18"/>
                <w:szCs w:val="18"/>
              </w:rPr>
            </w:pPr>
            <w:r>
              <w:rPr>
                <w:rFonts w:ascii="Calibri" w:hAnsi="Calibri" w:cs="Calibri"/>
                <w:sz w:val="18"/>
                <w:szCs w:val="18"/>
              </w:rPr>
              <w:t>3 610</w:t>
            </w:r>
          </w:p>
        </w:tc>
        <w:tc>
          <w:tcPr>
            <w:tcW w:w="1073" w:type="dxa"/>
            <w:tcBorders>
              <w:top w:val="nil"/>
              <w:left w:val="nil"/>
              <w:bottom w:val="single" w:sz="8" w:space="0" w:color="FFFFFF"/>
              <w:right w:val="nil"/>
            </w:tcBorders>
            <w:shd w:val="clear" w:color="auto" w:fill="D9E2F3" w:themeFill="accent5" w:themeFillTint="33"/>
            <w:noWrap/>
            <w:vAlign w:val="center"/>
            <w:hideMark/>
          </w:tcPr>
          <w:p w14:paraId="74A2B779" w14:textId="66EB34C9" w:rsidR="00E82B38" w:rsidRPr="0088170C" w:rsidRDefault="00E82B38" w:rsidP="00E82B38">
            <w:pPr>
              <w:jc w:val="right"/>
              <w:rPr>
                <w:rFonts w:asciiTheme="minorHAnsi" w:hAnsiTheme="minorHAnsi" w:cstheme="minorHAnsi"/>
                <w:sz w:val="18"/>
                <w:szCs w:val="18"/>
              </w:rPr>
            </w:pPr>
            <w:r>
              <w:rPr>
                <w:rFonts w:ascii="Calibri" w:hAnsi="Calibri" w:cs="Calibri"/>
                <w:sz w:val="18"/>
                <w:szCs w:val="18"/>
              </w:rPr>
              <w:t>11 473</w:t>
            </w:r>
          </w:p>
        </w:tc>
        <w:tc>
          <w:tcPr>
            <w:tcW w:w="1048" w:type="dxa"/>
            <w:tcBorders>
              <w:top w:val="nil"/>
              <w:left w:val="nil"/>
              <w:bottom w:val="single" w:sz="8" w:space="0" w:color="FFFFFF"/>
              <w:right w:val="single" w:sz="8" w:space="0" w:color="FFFFFF"/>
            </w:tcBorders>
            <w:shd w:val="clear" w:color="auto" w:fill="D9E2F3" w:themeFill="accent5" w:themeFillTint="33"/>
            <w:noWrap/>
            <w:vAlign w:val="center"/>
          </w:tcPr>
          <w:p w14:paraId="2165A3C1" w14:textId="1C560254" w:rsidR="00E82B38" w:rsidRPr="0088170C" w:rsidRDefault="00E82B38" w:rsidP="00E82B38">
            <w:pPr>
              <w:jc w:val="right"/>
              <w:rPr>
                <w:rFonts w:asciiTheme="minorHAnsi" w:hAnsiTheme="minorHAnsi" w:cstheme="minorHAnsi"/>
                <w:sz w:val="18"/>
                <w:szCs w:val="18"/>
              </w:rPr>
            </w:pPr>
            <w:r>
              <w:rPr>
                <w:rFonts w:ascii="Calibri" w:hAnsi="Calibri" w:cs="Calibri"/>
                <w:sz w:val="18"/>
                <w:szCs w:val="18"/>
              </w:rPr>
              <w:t>(7 863)</w:t>
            </w:r>
          </w:p>
        </w:tc>
      </w:tr>
      <w:tr w:rsidR="00386F2E" w14:paraId="684601BF" w14:textId="77777777" w:rsidTr="00984B52">
        <w:trPr>
          <w:trHeight w:hRule="exact" w:val="255"/>
        </w:trPr>
        <w:tc>
          <w:tcPr>
            <w:tcW w:w="5382" w:type="dxa"/>
            <w:tcBorders>
              <w:top w:val="nil"/>
              <w:left w:val="single" w:sz="4" w:space="0" w:color="FFFFFF" w:themeColor="background1"/>
              <w:bottom w:val="nil"/>
              <w:right w:val="nil"/>
            </w:tcBorders>
            <w:shd w:val="clear" w:color="auto" w:fill="D9E2F3" w:themeFill="accent5" w:themeFillTint="33"/>
            <w:vAlign w:val="center"/>
            <w:hideMark/>
          </w:tcPr>
          <w:p w14:paraId="0A727D51" w14:textId="77777777" w:rsidR="00386F2E" w:rsidRPr="0088170C" w:rsidRDefault="00386F2E" w:rsidP="00386F2E">
            <w:pPr>
              <w:ind w:firstLineChars="100" w:firstLine="181"/>
              <w:jc w:val="right"/>
              <w:rPr>
                <w:rFonts w:asciiTheme="minorHAnsi" w:hAnsiTheme="minorHAnsi" w:cstheme="minorHAnsi"/>
                <w:b/>
                <w:bCs/>
                <w:sz w:val="18"/>
                <w:szCs w:val="18"/>
              </w:rPr>
            </w:pPr>
            <w:r w:rsidRPr="0088170C">
              <w:rPr>
                <w:rFonts w:asciiTheme="minorHAnsi" w:hAnsiTheme="minorHAnsi" w:cstheme="minorHAnsi"/>
                <w:b/>
                <w:bCs/>
                <w:sz w:val="18"/>
                <w:szCs w:val="18"/>
              </w:rPr>
              <w:t>Total do ativo corrente</w:t>
            </w:r>
          </w:p>
        </w:tc>
        <w:tc>
          <w:tcPr>
            <w:tcW w:w="987" w:type="dxa"/>
            <w:tcBorders>
              <w:top w:val="single" w:sz="8" w:space="0" w:color="FFFFFF"/>
              <w:left w:val="nil"/>
              <w:right w:val="nil"/>
            </w:tcBorders>
            <w:shd w:val="clear" w:color="auto" w:fill="D9E2F3" w:themeFill="accent5" w:themeFillTint="33"/>
            <w:noWrap/>
            <w:vAlign w:val="center"/>
          </w:tcPr>
          <w:p w14:paraId="653E5122" w14:textId="44F88F3C" w:rsidR="00386F2E" w:rsidRPr="0088170C" w:rsidRDefault="00386F2E" w:rsidP="00386F2E">
            <w:pPr>
              <w:jc w:val="right"/>
              <w:rPr>
                <w:rFonts w:asciiTheme="minorHAnsi" w:hAnsiTheme="minorHAnsi" w:cstheme="minorHAnsi"/>
                <w:b/>
                <w:bCs/>
                <w:sz w:val="18"/>
                <w:szCs w:val="18"/>
              </w:rPr>
            </w:pPr>
            <w:r>
              <w:rPr>
                <w:rFonts w:ascii="Calibri" w:hAnsi="Calibri" w:cs="Calibri"/>
                <w:b/>
                <w:bCs/>
                <w:sz w:val="18"/>
                <w:szCs w:val="18"/>
              </w:rPr>
              <w:t>145 599</w:t>
            </w:r>
          </w:p>
        </w:tc>
        <w:tc>
          <w:tcPr>
            <w:tcW w:w="1073" w:type="dxa"/>
            <w:tcBorders>
              <w:top w:val="single" w:sz="8" w:space="0" w:color="FFFFFF"/>
              <w:left w:val="nil"/>
              <w:right w:val="nil"/>
            </w:tcBorders>
            <w:shd w:val="clear" w:color="auto" w:fill="D9E2F3" w:themeFill="accent5" w:themeFillTint="33"/>
            <w:noWrap/>
            <w:vAlign w:val="center"/>
            <w:hideMark/>
          </w:tcPr>
          <w:p w14:paraId="22BB74D9" w14:textId="0E9BB98E" w:rsidR="00386F2E" w:rsidRPr="0088170C" w:rsidRDefault="00386F2E" w:rsidP="00386F2E">
            <w:pPr>
              <w:jc w:val="right"/>
              <w:rPr>
                <w:rFonts w:asciiTheme="minorHAnsi" w:hAnsiTheme="minorHAnsi" w:cstheme="minorHAnsi"/>
                <w:b/>
                <w:bCs/>
                <w:sz w:val="18"/>
                <w:szCs w:val="18"/>
              </w:rPr>
            </w:pPr>
            <w:r>
              <w:rPr>
                <w:rFonts w:ascii="Calibri" w:hAnsi="Calibri" w:cs="Calibri"/>
                <w:b/>
                <w:bCs/>
                <w:sz w:val="18"/>
                <w:szCs w:val="18"/>
              </w:rPr>
              <w:t>156 734</w:t>
            </w:r>
          </w:p>
        </w:tc>
        <w:tc>
          <w:tcPr>
            <w:tcW w:w="1048" w:type="dxa"/>
            <w:tcBorders>
              <w:top w:val="single" w:sz="8" w:space="0" w:color="FFFFFF"/>
              <w:left w:val="nil"/>
              <w:right w:val="single" w:sz="8" w:space="0" w:color="FFFFFF"/>
            </w:tcBorders>
            <w:shd w:val="clear" w:color="auto" w:fill="D9E2F3" w:themeFill="accent5" w:themeFillTint="33"/>
            <w:noWrap/>
            <w:vAlign w:val="center"/>
          </w:tcPr>
          <w:p w14:paraId="0C7E671A" w14:textId="072A3E60" w:rsidR="00386F2E" w:rsidRPr="0088170C" w:rsidRDefault="00386F2E" w:rsidP="00386F2E">
            <w:pPr>
              <w:jc w:val="right"/>
              <w:rPr>
                <w:rFonts w:asciiTheme="minorHAnsi" w:hAnsiTheme="minorHAnsi" w:cstheme="minorHAnsi"/>
                <w:b/>
                <w:bCs/>
                <w:sz w:val="18"/>
                <w:szCs w:val="18"/>
              </w:rPr>
            </w:pPr>
            <w:r>
              <w:rPr>
                <w:rFonts w:ascii="Calibri" w:hAnsi="Calibri" w:cs="Calibri"/>
                <w:b/>
                <w:bCs/>
                <w:sz w:val="18"/>
                <w:szCs w:val="18"/>
              </w:rPr>
              <w:t>(11 135)</w:t>
            </w:r>
          </w:p>
        </w:tc>
      </w:tr>
      <w:tr w:rsidR="00386F2E" w14:paraId="35B07717" w14:textId="77777777" w:rsidTr="00984B52">
        <w:trPr>
          <w:trHeight w:hRule="exact" w:val="255"/>
        </w:trPr>
        <w:tc>
          <w:tcPr>
            <w:tcW w:w="5382" w:type="dxa"/>
            <w:tcBorders>
              <w:top w:val="nil"/>
              <w:left w:val="single" w:sz="4" w:space="0" w:color="FFFFFF" w:themeColor="background1"/>
              <w:bottom w:val="nil"/>
              <w:right w:val="nil"/>
            </w:tcBorders>
            <w:shd w:val="clear" w:color="auto" w:fill="D9E2F3" w:themeFill="accent5" w:themeFillTint="33"/>
            <w:vAlign w:val="center"/>
            <w:hideMark/>
          </w:tcPr>
          <w:p w14:paraId="60BDEA28" w14:textId="77777777" w:rsidR="00386F2E" w:rsidRPr="0088170C" w:rsidRDefault="00386F2E" w:rsidP="00386F2E">
            <w:pPr>
              <w:jc w:val="center"/>
              <w:rPr>
                <w:rFonts w:asciiTheme="minorHAnsi" w:hAnsiTheme="minorHAnsi" w:cstheme="minorHAnsi"/>
                <w:b/>
                <w:bCs/>
                <w:sz w:val="18"/>
                <w:szCs w:val="18"/>
              </w:rPr>
            </w:pPr>
            <w:r w:rsidRPr="0088170C">
              <w:rPr>
                <w:rFonts w:asciiTheme="minorHAnsi" w:hAnsiTheme="minorHAnsi" w:cstheme="minorHAnsi"/>
                <w:b/>
                <w:bCs/>
                <w:sz w:val="18"/>
                <w:szCs w:val="18"/>
              </w:rPr>
              <w:t>Total do Ativo</w:t>
            </w:r>
          </w:p>
        </w:tc>
        <w:tc>
          <w:tcPr>
            <w:tcW w:w="987" w:type="dxa"/>
            <w:tcBorders>
              <w:left w:val="nil"/>
              <w:bottom w:val="nil"/>
              <w:right w:val="nil"/>
            </w:tcBorders>
            <w:shd w:val="clear" w:color="auto" w:fill="D9E2F3" w:themeFill="accent5" w:themeFillTint="33"/>
            <w:noWrap/>
            <w:vAlign w:val="center"/>
          </w:tcPr>
          <w:p w14:paraId="7E7A9953" w14:textId="7AA7AEC8" w:rsidR="00386F2E" w:rsidRPr="0088170C" w:rsidRDefault="00386F2E" w:rsidP="00386F2E">
            <w:pPr>
              <w:jc w:val="right"/>
              <w:rPr>
                <w:rFonts w:asciiTheme="minorHAnsi" w:hAnsiTheme="minorHAnsi" w:cstheme="minorHAnsi"/>
                <w:b/>
                <w:bCs/>
                <w:sz w:val="18"/>
                <w:szCs w:val="18"/>
              </w:rPr>
            </w:pPr>
            <w:r>
              <w:rPr>
                <w:rFonts w:ascii="Calibri" w:hAnsi="Calibri" w:cs="Calibri"/>
                <w:b/>
                <w:bCs/>
                <w:sz w:val="18"/>
                <w:szCs w:val="18"/>
              </w:rPr>
              <w:t>464 301</w:t>
            </w:r>
          </w:p>
        </w:tc>
        <w:tc>
          <w:tcPr>
            <w:tcW w:w="1073" w:type="dxa"/>
            <w:tcBorders>
              <w:left w:val="nil"/>
              <w:bottom w:val="nil"/>
              <w:right w:val="nil"/>
            </w:tcBorders>
            <w:shd w:val="clear" w:color="auto" w:fill="D9E2F3" w:themeFill="accent5" w:themeFillTint="33"/>
            <w:noWrap/>
            <w:vAlign w:val="center"/>
            <w:hideMark/>
          </w:tcPr>
          <w:p w14:paraId="405910BE" w14:textId="0DE91A8E" w:rsidR="00386F2E" w:rsidRPr="0088170C" w:rsidRDefault="00386F2E" w:rsidP="00386F2E">
            <w:pPr>
              <w:jc w:val="right"/>
              <w:rPr>
                <w:rFonts w:asciiTheme="minorHAnsi" w:hAnsiTheme="minorHAnsi" w:cstheme="minorHAnsi"/>
                <w:b/>
                <w:bCs/>
                <w:sz w:val="18"/>
                <w:szCs w:val="18"/>
              </w:rPr>
            </w:pPr>
            <w:r>
              <w:rPr>
                <w:rFonts w:ascii="Calibri" w:hAnsi="Calibri" w:cs="Calibri"/>
                <w:b/>
                <w:bCs/>
                <w:sz w:val="18"/>
                <w:szCs w:val="18"/>
              </w:rPr>
              <w:t>516 481</w:t>
            </w:r>
          </w:p>
        </w:tc>
        <w:tc>
          <w:tcPr>
            <w:tcW w:w="1048" w:type="dxa"/>
            <w:tcBorders>
              <w:left w:val="nil"/>
              <w:bottom w:val="nil"/>
              <w:right w:val="nil"/>
            </w:tcBorders>
            <w:shd w:val="clear" w:color="auto" w:fill="D9E2F3" w:themeFill="accent5" w:themeFillTint="33"/>
            <w:noWrap/>
            <w:vAlign w:val="center"/>
          </w:tcPr>
          <w:p w14:paraId="5464AF93" w14:textId="42AC82A4" w:rsidR="00386F2E" w:rsidRPr="0088170C" w:rsidRDefault="00386F2E" w:rsidP="00386F2E">
            <w:pPr>
              <w:jc w:val="right"/>
              <w:rPr>
                <w:rFonts w:asciiTheme="minorHAnsi" w:hAnsiTheme="minorHAnsi" w:cstheme="minorHAnsi"/>
                <w:b/>
                <w:bCs/>
                <w:sz w:val="18"/>
                <w:szCs w:val="18"/>
              </w:rPr>
            </w:pPr>
            <w:r>
              <w:rPr>
                <w:rFonts w:ascii="Calibri" w:hAnsi="Calibri" w:cs="Calibri"/>
                <w:b/>
                <w:bCs/>
                <w:sz w:val="18"/>
                <w:szCs w:val="18"/>
              </w:rPr>
              <w:t>(52 180)</w:t>
            </w:r>
          </w:p>
        </w:tc>
      </w:tr>
    </w:tbl>
    <w:p w14:paraId="4DD57B48" w14:textId="77777777" w:rsidR="00C93B74" w:rsidRDefault="00C93B74" w:rsidP="00C93B74">
      <w:pPr>
        <w:pStyle w:val="CorpotextoMP"/>
        <w:rPr>
          <w:rFonts w:asciiTheme="minorHAnsi" w:hAnsiTheme="minorHAnsi" w:cstheme="minorHAnsi"/>
          <w:b/>
          <w:sz w:val="22"/>
          <w:szCs w:val="22"/>
          <w:lang w:eastAsia="en-US"/>
        </w:rPr>
      </w:pPr>
    </w:p>
    <w:p w14:paraId="11E74F67" w14:textId="39E21EF3" w:rsidR="00C93B74" w:rsidRPr="00A2266F" w:rsidRDefault="00C93B74" w:rsidP="00C93B74">
      <w:pPr>
        <w:pStyle w:val="CorpotextoMP"/>
        <w:rPr>
          <w:rFonts w:asciiTheme="minorHAnsi" w:hAnsiTheme="minorHAnsi" w:cstheme="minorHAnsi"/>
          <w:sz w:val="22"/>
          <w:szCs w:val="22"/>
          <w:lang w:eastAsia="en-US"/>
        </w:rPr>
      </w:pPr>
      <w:r w:rsidRPr="00A2266F">
        <w:rPr>
          <w:rFonts w:asciiTheme="minorHAnsi" w:hAnsiTheme="minorHAnsi" w:cstheme="minorHAnsi"/>
          <w:sz w:val="22"/>
          <w:szCs w:val="22"/>
          <w:lang w:eastAsia="en-US"/>
        </w:rPr>
        <w:t>Em 31 de dezembro de 202</w:t>
      </w:r>
      <w:r w:rsidR="00A2266F" w:rsidRPr="00A2266F">
        <w:rPr>
          <w:rFonts w:asciiTheme="minorHAnsi" w:hAnsiTheme="minorHAnsi" w:cstheme="minorHAnsi"/>
          <w:sz w:val="22"/>
          <w:szCs w:val="22"/>
          <w:lang w:eastAsia="en-US"/>
        </w:rPr>
        <w:t>5</w:t>
      </w:r>
      <w:r w:rsidRPr="00A2266F">
        <w:rPr>
          <w:rFonts w:asciiTheme="minorHAnsi" w:hAnsiTheme="minorHAnsi" w:cstheme="minorHAnsi"/>
          <w:sz w:val="22"/>
          <w:szCs w:val="22"/>
          <w:lang w:eastAsia="en-US"/>
        </w:rPr>
        <w:t xml:space="preserve">, o Ativo líquido da Sociedade situou-se em € </w:t>
      </w:r>
      <w:r w:rsidR="00A2266F" w:rsidRPr="00A2266F">
        <w:rPr>
          <w:rFonts w:asciiTheme="minorHAnsi" w:hAnsiTheme="minorHAnsi" w:cstheme="minorHAnsi"/>
          <w:sz w:val="22"/>
          <w:szCs w:val="22"/>
          <w:lang w:eastAsia="en-US"/>
        </w:rPr>
        <w:t>46</w:t>
      </w:r>
      <w:r w:rsidR="00386F2E">
        <w:rPr>
          <w:rFonts w:asciiTheme="minorHAnsi" w:hAnsiTheme="minorHAnsi" w:cstheme="minorHAnsi"/>
          <w:sz w:val="22"/>
          <w:szCs w:val="22"/>
          <w:lang w:eastAsia="en-US"/>
        </w:rPr>
        <w:t>4</w:t>
      </w:r>
      <w:r w:rsidRPr="00A2266F">
        <w:rPr>
          <w:rFonts w:asciiTheme="minorHAnsi" w:hAnsiTheme="minorHAnsi" w:cstheme="minorHAnsi"/>
          <w:sz w:val="22"/>
          <w:szCs w:val="22"/>
          <w:lang w:eastAsia="en-US"/>
        </w:rPr>
        <w:t>,</w:t>
      </w:r>
      <w:r w:rsidR="00A2266F" w:rsidRPr="00A2266F">
        <w:rPr>
          <w:rFonts w:asciiTheme="minorHAnsi" w:hAnsiTheme="minorHAnsi" w:cstheme="minorHAnsi"/>
          <w:sz w:val="22"/>
          <w:szCs w:val="22"/>
          <w:lang w:eastAsia="en-US"/>
        </w:rPr>
        <w:t>3</w:t>
      </w:r>
      <w:r w:rsidRPr="00A2266F">
        <w:rPr>
          <w:rFonts w:asciiTheme="minorHAnsi" w:hAnsiTheme="minorHAnsi" w:cstheme="minorHAnsi"/>
          <w:sz w:val="22"/>
          <w:szCs w:val="22"/>
          <w:lang w:eastAsia="en-US"/>
        </w:rPr>
        <w:t xml:space="preserve"> milhões, traduzindo um </w:t>
      </w:r>
      <w:r w:rsidR="00A2266F" w:rsidRPr="00A2266F">
        <w:rPr>
          <w:rFonts w:asciiTheme="minorHAnsi" w:hAnsiTheme="minorHAnsi" w:cstheme="minorHAnsi"/>
          <w:sz w:val="22"/>
          <w:szCs w:val="22"/>
          <w:lang w:eastAsia="en-US"/>
        </w:rPr>
        <w:t>de</w:t>
      </w:r>
      <w:r w:rsidRPr="00A2266F">
        <w:rPr>
          <w:rFonts w:asciiTheme="minorHAnsi" w:hAnsiTheme="minorHAnsi" w:cstheme="minorHAnsi"/>
          <w:sz w:val="22"/>
          <w:szCs w:val="22"/>
          <w:lang w:eastAsia="en-US"/>
        </w:rPr>
        <w:t xml:space="preserve">créscimo de € </w:t>
      </w:r>
      <w:r w:rsidR="00A2266F" w:rsidRPr="00A2266F">
        <w:rPr>
          <w:rFonts w:asciiTheme="minorHAnsi" w:hAnsiTheme="minorHAnsi" w:cstheme="minorHAnsi"/>
          <w:sz w:val="22"/>
          <w:szCs w:val="22"/>
          <w:lang w:eastAsia="en-US"/>
        </w:rPr>
        <w:t>5</w:t>
      </w:r>
      <w:r w:rsidR="00386F2E">
        <w:rPr>
          <w:rFonts w:asciiTheme="minorHAnsi" w:hAnsiTheme="minorHAnsi" w:cstheme="minorHAnsi"/>
          <w:sz w:val="22"/>
          <w:szCs w:val="22"/>
          <w:lang w:eastAsia="en-US"/>
        </w:rPr>
        <w:t>2,2</w:t>
      </w:r>
      <w:r w:rsidRPr="00A2266F">
        <w:rPr>
          <w:rFonts w:asciiTheme="minorHAnsi" w:hAnsiTheme="minorHAnsi" w:cstheme="minorHAnsi"/>
          <w:sz w:val="22"/>
          <w:szCs w:val="22"/>
          <w:lang w:eastAsia="en-US"/>
        </w:rPr>
        <w:t xml:space="preserve"> milhões face ao registado no final de 202</w:t>
      </w:r>
      <w:r w:rsidR="00A2266F" w:rsidRPr="00A2266F">
        <w:rPr>
          <w:rFonts w:asciiTheme="minorHAnsi" w:hAnsiTheme="minorHAnsi" w:cstheme="minorHAnsi"/>
          <w:sz w:val="22"/>
          <w:szCs w:val="22"/>
          <w:lang w:eastAsia="en-US"/>
        </w:rPr>
        <w:t>4</w:t>
      </w:r>
      <w:r w:rsidRPr="00A2266F">
        <w:rPr>
          <w:rFonts w:asciiTheme="minorHAnsi" w:hAnsiTheme="minorHAnsi" w:cstheme="minorHAnsi"/>
          <w:sz w:val="22"/>
          <w:szCs w:val="22"/>
          <w:lang w:eastAsia="en-US"/>
        </w:rPr>
        <w:t>.</w:t>
      </w:r>
      <w:r w:rsidR="001C3222" w:rsidRPr="00A2266F">
        <w:rPr>
          <w:rFonts w:asciiTheme="minorHAnsi" w:hAnsiTheme="minorHAnsi" w:cstheme="minorHAnsi"/>
          <w:sz w:val="22"/>
          <w:szCs w:val="22"/>
          <w:lang w:eastAsia="en-US"/>
        </w:rPr>
        <w:t xml:space="preserve"> Este </w:t>
      </w:r>
      <w:r w:rsidR="00A2266F" w:rsidRPr="00A2266F">
        <w:rPr>
          <w:rFonts w:asciiTheme="minorHAnsi" w:hAnsiTheme="minorHAnsi" w:cstheme="minorHAnsi"/>
          <w:sz w:val="22"/>
          <w:szCs w:val="22"/>
          <w:lang w:eastAsia="en-US"/>
        </w:rPr>
        <w:t>de</w:t>
      </w:r>
      <w:r w:rsidR="001C3222" w:rsidRPr="00A2266F">
        <w:rPr>
          <w:rFonts w:asciiTheme="minorHAnsi" w:hAnsiTheme="minorHAnsi" w:cstheme="minorHAnsi"/>
          <w:sz w:val="22"/>
          <w:szCs w:val="22"/>
          <w:lang w:eastAsia="en-US"/>
        </w:rPr>
        <w:t xml:space="preserve">créscimo é justificado essencialmente </w:t>
      </w:r>
      <w:r w:rsidR="00DB4EC0" w:rsidRPr="00A2266F">
        <w:rPr>
          <w:rFonts w:asciiTheme="minorHAnsi" w:hAnsiTheme="minorHAnsi" w:cstheme="minorHAnsi"/>
          <w:sz w:val="22"/>
          <w:szCs w:val="22"/>
          <w:lang w:eastAsia="en-US"/>
        </w:rPr>
        <w:t>pel</w:t>
      </w:r>
      <w:r w:rsidR="00A2266F" w:rsidRPr="00A2266F">
        <w:rPr>
          <w:rFonts w:asciiTheme="minorHAnsi" w:hAnsiTheme="minorHAnsi" w:cstheme="minorHAnsi"/>
          <w:sz w:val="22"/>
          <w:szCs w:val="22"/>
          <w:lang w:eastAsia="en-US"/>
        </w:rPr>
        <w:t>a diminuição do valor da carteira de crédito e da</w:t>
      </w:r>
      <w:r w:rsidR="00A2266F">
        <w:rPr>
          <w:rFonts w:asciiTheme="minorHAnsi" w:hAnsiTheme="minorHAnsi" w:cstheme="minorHAnsi"/>
          <w:sz w:val="22"/>
          <w:szCs w:val="22"/>
          <w:lang w:eastAsia="en-US"/>
        </w:rPr>
        <w:t>s</w:t>
      </w:r>
      <w:r w:rsidR="00A2266F" w:rsidRPr="00A2266F">
        <w:rPr>
          <w:rFonts w:asciiTheme="minorHAnsi" w:hAnsiTheme="minorHAnsi" w:cstheme="minorHAnsi"/>
          <w:sz w:val="22"/>
          <w:szCs w:val="22"/>
          <w:lang w:eastAsia="en-US"/>
        </w:rPr>
        <w:t xml:space="preserve"> participações financeiras detidas.</w:t>
      </w:r>
      <w:r w:rsidR="00DB4EC0" w:rsidRPr="00A2266F">
        <w:rPr>
          <w:rFonts w:asciiTheme="minorHAnsi" w:hAnsiTheme="minorHAnsi" w:cstheme="minorHAnsi"/>
          <w:sz w:val="22"/>
          <w:szCs w:val="22"/>
          <w:lang w:eastAsia="en-US"/>
        </w:rPr>
        <w:t xml:space="preserve"> </w:t>
      </w:r>
    </w:p>
    <w:p w14:paraId="71DDD883" w14:textId="77777777" w:rsidR="00C93B74" w:rsidRPr="00A2266F" w:rsidRDefault="00C93B74" w:rsidP="00C93B74">
      <w:pPr>
        <w:pStyle w:val="CorpotextoMP"/>
        <w:rPr>
          <w:rFonts w:asciiTheme="minorHAnsi" w:hAnsiTheme="minorHAnsi" w:cstheme="minorHAnsi"/>
          <w:sz w:val="22"/>
          <w:szCs w:val="22"/>
          <w:lang w:eastAsia="en-US"/>
        </w:rPr>
      </w:pPr>
    </w:p>
    <w:p w14:paraId="66C81F56" w14:textId="0EF9A908" w:rsidR="00C93B74" w:rsidRPr="00A2266F" w:rsidRDefault="00C93B74" w:rsidP="00C93B74">
      <w:pPr>
        <w:pStyle w:val="CorpotextoMP"/>
        <w:rPr>
          <w:rFonts w:asciiTheme="minorHAnsi" w:hAnsiTheme="minorHAnsi" w:cstheme="minorHAnsi"/>
          <w:sz w:val="22"/>
          <w:szCs w:val="22"/>
          <w:lang w:eastAsia="en-US"/>
        </w:rPr>
      </w:pPr>
      <w:r w:rsidRPr="00A2266F">
        <w:rPr>
          <w:rFonts w:asciiTheme="minorHAnsi" w:hAnsiTheme="minorHAnsi" w:cstheme="minorHAnsi"/>
          <w:sz w:val="22"/>
          <w:szCs w:val="22"/>
          <w:lang w:eastAsia="en-US"/>
        </w:rPr>
        <w:t xml:space="preserve">A rubrica de Outras contas a receber inclui essencialmente as operações de crédito. </w:t>
      </w:r>
    </w:p>
    <w:p w14:paraId="5A319BFE" w14:textId="77777777" w:rsidR="00E82B38" w:rsidRDefault="00E82B38" w:rsidP="00C93B74">
      <w:pPr>
        <w:pStyle w:val="CorpotextoMP"/>
        <w:rPr>
          <w:rFonts w:asciiTheme="minorHAnsi" w:hAnsiTheme="minorHAnsi" w:cstheme="minorHAnsi"/>
          <w:sz w:val="22"/>
          <w:szCs w:val="22"/>
          <w:lang w:eastAsia="en-US"/>
        </w:rPr>
      </w:pPr>
    </w:p>
    <w:p w14:paraId="59CE280A" w14:textId="646768F0" w:rsidR="00C93B74" w:rsidRPr="00A2266F" w:rsidRDefault="00C93B74" w:rsidP="00C93B74">
      <w:pPr>
        <w:pStyle w:val="CorpotextoMP"/>
        <w:rPr>
          <w:rFonts w:asciiTheme="minorHAnsi" w:hAnsiTheme="minorHAnsi" w:cstheme="minorHAnsi"/>
          <w:sz w:val="22"/>
          <w:szCs w:val="22"/>
          <w:lang w:eastAsia="en-US"/>
        </w:rPr>
      </w:pPr>
      <w:r w:rsidRPr="00A2266F">
        <w:rPr>
          <w:rFonts w:asciiTheme="minorHAnsi" w:hAnsiTheme="minorHAnsi" w:cstheme="minorHAnsi"/>
          <w:sz w:val="22"/>
          <w:szCs w:val="22"/>
          <w:lang w:eastAsia="en-US"/>
        </w:rPr>
        <w:t xml:space="preserve">A rubrica Ativos financeiros ao justo valor através de resultados </w:t>
      </w:r>
      <w:r w:rsidR="00FE7720" w:rsidRPr="00A2266F">
        <w:rPr>
          <w:rFonts w:asciiTheme="minorHAnsi" w:hAnsiTheme="minorHAnsi" w:cstheme="minorHAnsi"/>
          <w:sz w:val="22"/>
          <w:szCs w:val="22"/>
          <w:lang w:eastAsia="en-US"/>
        </w:rPr>
        <w:t>inclui a</w:t>
      </w:r>
      <w:r w:rsidRPr="00A2266F">
        <w:rPr>
          <w:rFonts w:asciiTheme="minorHAnsi" w:hAnsiTheme="minorHAnsi" w:cstheme="minorHAnsi"/>
          <w:sz w:val="22"/>
          <w:szCs w:val="22"/>
          <w:lang w:eastAsia="en-US"/>
        </w:rPr>
        <w:t xml:space="preserve"> quase totalidade das unidades de participação do fundo IMONEGÓCIOS</w:t>
      </w:r>
      <w:r w:rsidR="00FE7720" w:rsidRPr="00A2266F">
        <w:rPr>
          <w:rFonts w:asciiTheme="minorHAnsi" w:hAnsiTheme="minorHAnsi" w:cstheme="minorHAnsi"/>
          <w:sz w:val="22"/>
          <w:szCs w:val="22"/>
          <w:lang w:eastAsia="en-US"/>
        </w:rPr>
        <w:t xml:space="preserve">, valorizadas </w:t>
      </w:r>
      <w:r w:rsidR="00E82B38">
        <w:rPr>
          <w:rFonts w:asciiTheme="minorHAnsi" w:hAnsiTheme="minorHAnsi" w:cstheme="minorHAnsi"/>
          <w:sz w:val="22"/>
          <w:szCs w:val="22"/>
          <w:lang w:eastAsia="en-US"/>
        </w:rPr>
        <w:t xml:space="preserve">no final do ano </w:t>
      </w:r>
      <w:r w:rsidR="00FE7720" w:rsidRPr="00A2266F">
        <w:rPr>
          <w:rFonts w:asciiTheme="minorHAnsi" w:hAnsiTheme="minorHAnsi" w:cstheme="minorHAnsi"/>
          <w:sz w:val="22"/>
          <w:szCs w:val="22"/>
          <w:lang w:eastAsia="en-US"/>
        </w:rPr>
        <w:t>em € 2</w:t>
      </w:r>
      <w:r w:rsidR="00A2266F" w:rsidRPr="00A2266F">
        <w:rPr>
          <w:rFonts w:asciiTheme="minorHAnsi" w:hAnsiTheme="minorHAnsi" w:cstheme="minorHAnsi"/>
          <w:sz w:val="22"/>
          <w:szCs w:val="22"/>
          <w:lang w:eastAsia="en-US"/>
        </w:rPr>
        <w:t>26</w:t>
      </w:r>
      <w:r w:rsidR="00FE7720" w:rsidRPr="00A2266F">
        <w:rPr>
          <w:rFonts w:asciiTheme="minorHAnsi" w:hAnsiTheme="minorHAnsi" w:cstheme="minorHAnsi"/>
          <w:sz w:val="22"/>
          <w:szCs w:val="22"/>
          <w:lang w:eastAsia="en-US"/>
        </w:rPr>
        <w:t>,</w:t>
      </w:r>
      <w:r w:rsidR="00A2266F" w:rsidRPr="00A2266F">
        <w:rPr>
          <w:rFonts w:asciiTheme="minorHAnsi" w:hAnsiTheme="minorHAnsi" w:cstheme="minorHAnsi"/>
          <w:sz w:val="22"/>
          <w:szCs w:val="22"/>
          <w:lang w:eastAsia="en-US"/>
        </w:rPr>
        <w:t>6</w:t>
      </w:r>
      <w:r w:rsidR="00FE7720" w:rsidRPr="00A2266F">
        <w:rPr>
          <w:rFonts w:asciiTheme="minorHAnsi" w:hAnsiTheme="minorHAnsi" w:cstheme="minorHAnsi"/>
          <w:sz w:val="22"/>
          <w:szCs w:val="22"/>
          <w:lang w:eastAsia="en-US"/>
        </w:rPr>
        <w:t xml:space="preserve"> milhões</w:t>
      </w:r>
      <w:r w:rsidRPr="00A2266F">
        <w:rPr>
          <w:rFonts w:asciiTheme="minorHAnsi" w:hAnsiTheme="minorHAnsi" w:cstheme="minorHAnsi"/>
          <w:sz w:val="22"/>
          <w:szCs w:val="22"/>
          <w:lang w:eastAsia="en-US"/>
        </w:rPr>
        <w:t>.</w:t>
      </w:r>
      <w:r w:rsidR="00E82B38">
        <w:rPr>
          <w:rFonts w:asciiTheme="minorHAnsi" w:hAnsiTheme="minorHAnsi" w:cstheme="minorHAnsi"/>
          <w:sz w:val="22"/>
          <w:szCs w:val="22"/>
          <w:lang w:eastAsia="en-US"/>
        </w:rPr>
        <w:t xml:space="preserve"> Na sequência dos resgates de unidades de participação ocorridos em 2025, esta rubrica </w:t>
      </w:r>
      <w:r w:rsidR="00E82B38" w:rsidRPr="00A2266F">
        <w:rPr>
          <w:rFonts w:asciiTheme="minorHAnsi" w:hAnsiTheme="minorHAnsi" w:cstheme="minorHAnsi"/>
          <w:sz w:val="22"/>
          <w:szCs w:val="22"/>
          <w:lang w:eastAsia="en-US"/>
        </w:rPr>
        <w:t>registou um decréscimo de €</w:t>
      </w:r>
      <w:r w:rsidR="00E82B38">
        <w:rPr>
          <w:rFonts w:asciiTheme="minorHAnsi" w:hAnsiTheme="minorHAnsi" w:cstheme="minorHAnsi"/>
          <w:sz w:val="22"/>
          <w:szCs w:val="22"/>
          <w:lang w:eastAsia="en-US"/>
        </w:rPr>
        <w:t xml:space="preserve"> </w:t>
      </w:r>
      <w:r w:rsidR="00E82B38" w:rsidRPr="00A2266F">
        <w:rPr>
          <w:rFonts w:asciiTheme="minorHAnsi" w:hAnsiTheme="minorHAnsi" w:cstheme="minorHAnsi"/>
          <w:sz w:val="22"/>
          <w:szCs w:val="22"/>
          <w:lang w:eastAsia="en-US"/>
        </w:rPr>
        <w:t>19,1 milhões</w:t>
      </w:r>
      <w:r w:rsidR="00E82B38">
        <w:rPr>
          <w:rFonts w:asciiTheme="minorHAnsi" w:hAnsiTheme="minorHAnsi" w:cstheme="minorHAnsi"/>
          <w:sz w:val="22"/>
          <w:szCs w:val="22"/>
          <w:lang w:eastAsia="en-US"/>
        </w:rPr>
        <w:t>.</w:t>
      </w:r>
    </w:p>
    <w:p w14:paraId="54E2ED76" w14:textId="77777777" w:rsidR="00C93B74" w:rsidRPr="00A2266F" w:rsidRDefault="00C93B74" w:rsidP="00C93B74">
      <w:pPr>
        <w:pStyle w:val="CorpotextoMP"/>
        <w:rPr>
          <w:rFonts w:asciiTheme="minorHAnsi" w:hAnsiTheme="minorHAnsi" w:cstheme="minorHAnsi"/>
          <w:sz w:val="22"/>
          <w:szCs w:val="22"/>
          <w:lang w:eastAsia="en-US"/>
        </w:rPr>
      </w:pPr>
    </w:p>
    <w:p w14:paraId="20BC9BF0" w14:textId="36E75066" w:rsidR="00C93B74" w:rsidRPr="00E16E33" w:rsidRDefault="00C93B74" w:rsidP="00C93B74">
      <w:pPr>
        <w:pStyle w:val="CorpotextoMP"/>
        <w:rPr>
          <w:rFonts w:asciiTheme="minorHAnsi" w:hAnsiTheme="minorHAnsi" w:cstheme="minorHAnsi"/>
          <w:sz w:val="22"/>
          <w:szCs w:val="22"/>
          <w:lang w:eastAsia="en-US"/>
        </w:rPr>
      </w:pPr>
      <w:r w:rsidRPr="00A2266F">
        <w:rPr>
          <w:rFonts w:asciiTheme="minorHAnsi" w:hAnsiTheme="minorHAnsi" w:cstheme="minorHAnsi"/>
          <w:sz w:val="22"/>
          <w:szCs w:val="22"/>
          <w:lang w:eastAsia="en-US"/>
        </w:rPr>
        <w:t>No final de 202</w:t>
      </w:r>
      <w:r w:rsidR="00A2266F" w:rsidRPr="00A2266F">
        <w:rPr>
          <w:rFonts w:asciiTheme="minorHAnsi" w:hAnsiTheme="minorHAnsi" w:cstheme="minorHAnsi"/>
          <w:sz w:val="22"/>
          <w:szCs w:val="22"/>
          <w:lang w:eastAsia="en-US"/>
        </w:rPr>
        <w:t>5</w:t>
      </w:r>
      <w:r w:rsidRPr="00A2266F">
        <w:rPr>
          <w:rFonts w:asciiTheme="minorHAnsi" w:hAnsiTheme="minorHAnsi" w:cstheme="minorHAnsi"/>
          <w:sz w:val="22"/>
          <w:szCs w:val="22"/>
          <w:lang w:eastAsia="en-US"/>
        </w:rPr>
        <w:t xml:space="preserve">, a rubrica de </w:t>
      </w:r>
      <w:r w:rsidR="00BE4081" w:rsidRPr="00A2266F">
        <w:rPr>
          <w:rFonts w:asciiTheme="minorHAnsi" w:hAnsiTheme="minorHAnsi" w:cstheme="minorHAnsi"/>
          <w:sz w:val="22"/>
          <w:szCs w:val="22"/>
          <w:lang w:eastAsia="en-US"/>
        </w:rPr>
        <w:t>Inventários</w:t>
      </w:r>
      <w:r w:rsidRPr="00A2266F">
        <w:rPr>
          <w:rFonts w:asciiTheme="minorHAnsi" w:hAnsiTheme="minorHAnsi" w:cstheme="minorHAnsi"/>
          <w:sz w:val="22"/>
          <w:szCs w:val="22"/>
          <w:lang w:eastAsia="en-US"/>
        </w:rPr>
        <w:t xml:space="preserve">, com um saldo líquido de € </w:t>
      </w:r>
      <w:r w:rsidR="00671DAB">
        <w:rPr>
          <w:rFonts w:asciiTheme="minorHAnsi" w:hAnsiTheme="minorHAnsi" w:cstheme="minorHAnsi"/>
          <w:sz w:val="22"/>
          <w:szCs w:val="22"/>
          <w:lang w:eastAsia="en-US"/>
        </w:rPr>
        <w:t>99,8</w:t>
      </w:r>
      <w:r w:rsidRPr="00A2266F">
        <w:rPr>
          <w:rFonts w:asciiTheme="minorHAnsi" w:hAnsiTheme="minorHAnsi" w:cstheme="minorHAnsi"/>
          <w:sz w:val="22"/>
          <w:szCs w:val="22"/>
          <w:lang w:eastAsia="en-US"/>
        </w:rPr>
        <w:t xml:space="preserve"> milhões, inclui os imóveis recebidos no seguimento de processos de execução judicial e fiscal e de dação em pagamento de crédito.</w:t>
      </w:r>
    </w:p>
    <w:p w14:paraId="7EB71861" w14:textId="77777777" w:rsidR="00C93B74" w:rsidRPr="00E16E33" w:rsidRDefault="00C93B74" w:rsidP="00C93B74">
      <w:pPr>
        <w:pStyle w:val="CorpotextoMP"/>
        <w:rPr>
          <w:rFonts w:asciiTheme="minorHAnsi" w:hAnsiTheme="minorHAnsi" w:cstheme="minorHAnsi"/>
          <w:sz w:val="22"/>
          <w:szCs w:val="22"/>
          <w:lang w:eastAsia="en-US"/>
        </w:rPr>
      </w:pPr>
    </w:p>
    <w:p w14:paraId="512F4B68" w14:textId="77777777" w:rsidR="00C93B74" w:rsidRDefault="00C93B74" w:rsidP="00C93B74">
      <w:pPr>
        <w:rPr>
          <w:rFonts w:asciiTheme="minorHAnsi" w:hAnsiTheme="minorHAnsi" w:cstheme="minorHAnsi"/>
          <w:b/>
          <w:sz w:val="22"/>
          <w:szCs w:val="22"/>
          <w:lang w:eastAsia="en-US"/>
        </w:rPr>
      </w:pPr>
    </w:p>
    <w:p w14:paraId="1E6CAC86" w14:textId="77777777" w:rsidR="00C93B74" w:rsidRDefault="00C93B74" w:rsidP="00C93B74">
      <w:pPr>
        <w:rPr>
          <w:rFonts w:asciiTheme="minorHAnsi" w:hAnsiTheme="minorHAnsi" w:cstheme="minorHAnsi"/>
          <w:b/>
          <w:sz w:val="22"/>
          <w:szCs w:val="22"/>
          <w:lang w:eastAsia="en-US"/>
        </w:rPr>
      </w:pPr>
    </w:p>
    <w:p w14:paraId="4A235F0E" w14:textId="77777777" w:rsidR="00C93B74" w:rsidRDefault="00C93B74" w:rsidP="00C93B74">
      <w:pPr>
        <w:rPr>
          <w:rFonts w:asciiTheme="minorHAnsi" w:hAnsiTheme="minorHAnsi" w:cstheme="minorHAnsi"/>
          <w:b/>
          <w:sz w:val="22"/>
          <w:szCs w:val="22"/>
          <w:lang w:eastAsia="en-US"/>
        </w:rPr>
      </w:pPr>
      <w:r>
        <w:rPr>
          <w:rFonts w:asciiTheme="minorHAnsi" w:hAnsiTheme="minorHAnsi" w:cstheme="minorHAnsi"/>
          <w:b/>
          <w:sz w:val="22"/>
          <w:szCs w:val="22"/>
          <w:lang w:eastAsia="en-US"/>
        </w:rPr>
        <w:br w:type="page"/>
      </w:r>
    </w:p>
    <w:p w14:paraId="4A0275C6" w14:textId="77777777" w:rsidR="00C93B74" w:rsidRDefault="00C93B74" w:rsidP="00C93B74">
      <w:pPr>
        <w:pStyle w:val="CorpotextoMP"/>
        <w:rPr>
          <w:rFonts w:asciiTheme="minorHAnsi" w:hAnsiTheme="minorHAnsi" w:cstheme="minorHAnsi"/>
          <w:b/>
          <w:sz w:val="22"/>
          <w:szCs w:val="22"/>
          <w:lang w:eastAsia="en-US"/>
        </w:rPr>
      </w:pPr>
      <w:r>
        <w:rPr>
          <w:rFonts w:asciiTheme="minorHAnsi" w:hAnsiTheme="minorHAnsi" w:cstheme="minorHAnsi"/>
          <w:b/>
          <w:sz w:val="22"/>
          <w:szCs w:val="22"/>
          <w:lang w:eastAsia="en-US"/>
        </w:rPr>
        <w:lastRenderedPageBreak/>
        <w:t>Capital Próprio e Passivo</w:t>
      </w:r>
    </w:p>
    <w:tbl>
      <w:tblPr>
        <w:tblW w:w="8505" w:type="dxa"/>
        <w:tblLook w:val="04A0" w:firstRow="1" w:lastRow="0" w:firstColumn="1" w:lastColumn="0" w:noHBand="0" w:noVBand="1"/>
      </w:tblPr>
      <w:tblGrid>
        <w:gridCol w:w="5245"/>
        <w:gridCol w:w="1134"/>
        <w:gridCol w:w="1134"/>
        <w:gridCol w:w="992"/>
      </w:tblGrid>
      <w:tr w:rsidR="00C93B74" w14:paraId="68A74173" w14:textId="77777777" w:rsidTr="00B36274">
        <w:trPr>
          <w:trHeight w:hRule="exact" w:val="255"/>
          <w:tblHeader/>
        </w:trPr>
        <w:tc>
          <w:tcPr>
            <w:tcW w:w="5245" w:type="dxa"/>
            <w:vAlign w:val="bottom"/>
            <w:hideMark/>
          </w:tcPr>
          <w:p w14:paraId="5B6D1707" w14:textId="77777777" w:rsidR="00C93B74" w:rsidRDefault="00C93B74" w:rsidP="00B36274">
            <w:pPr>
              <w:rPr>
                <w:rFonts w:ascii="Calibri" w:hAnsi="Calibri" w:cs="Calibri"/>
                <w:sz w:val="18"/>
                <w:szCs w:val="18"/>
              </w:rPr>
            </w:pPr>
            <w:r>
              <w:rPr>
                <w:rFonts w:ascii="Calibri" w:hAnsi="Calibri" w:cs="Calibri"/>
                <w:sz w:val="18"/>
                <w:szCs w:val="18"/>
              </w:rPr>
              <w:t> </w:t>
            </w:r>
          </w:p>
        </w:tc>
        <w:tc>
          <w:tcPr>
            <w:tcW w:w="1134" w:type="dxa"/>
            <w:noWrap/>
            <w:vAlign w:val="bottom"/>
            <w:hideMark/>
          </w:tcPr>
          <w:p w14:paraId="0319492E" w14:textId="77777777" w:rsidR="00C93B74" w:rsidRDefault="00C93B74" w:rsidP="00B36274">
            <w:pPr>
              <w:rPr>
                <w:rFonts w:ascii="Calibri" w:hAnsi="Calibri" w:cs="Calibri"/>
                <w:sz w:val="18"/>
                <w:szCs w:val="18"/>
              </w:rPr>
            </w:pPr>
          </w:p>
        </w:tc>
        <w:tc>
          <w:tcPr>
            <w:tcW w:w="2126" w:type="dxa"/>
            <w:gridSpan w:val="2"/>
            <w:noWrap/>
            <w:vAlign w:val="bottom"/>
            <w:hideMark/>
          </w:tcPr>
          <w:p w14:paraId="7C1910D2" w14:textId="77777777" w:rsidR="00C93B74" w:rsidRDefault="00C93B74" w:rsidP="00B36274">
            <w:pPr>
              <w:jc w:val="right"/>
              <w:rPr>
                <w:rFonts w:ascii="Calibri" w:hAnsi="Calibri" w:cs="Calibri"/>
                <w:sz w:val="18"/>
                <w:szCs w:val="18"/>
              </w:rPr>
            </w:pPr>
            <w:r w:rsidRPr="00A56DC7">
              <w:rPr>
                <w:rFonts w:ascii="Calibri" w:hAnsi="Calibri" w:cs="Calibri"/>
                <w:sz w:val="14"/>
                <w:szCs w:val="14"/>
              </w:rPr>
              <w:t>Milhares de Euros</w:t>
            </w:r>
          </w:p>
        </w:tc>
      </w:tr>
      <w:tr w:rsidR="00C93B74" w:rsidRPr="0017729C" w14:paraId="16FD2283" w14:textId="77777777" w:rsidTr="00B36274">
        <w:trPr>
          <w:trHeight w:hRule="exact" w:val="515"/>
          <w:tblHeader/>
        </w:trPr>
        <w:tc>
          <w:tcPr>
            <w:tcW w:w="5245" w:type="dxa"/>
            <w:shd w:val="clear" w:color="auto" w:fill="8EAADB" w:themeFill="accent5" w:themeFillTint="99"/>
            <w:noWrap/>
            <w:vAlign w:val="bottom"/>
            <w:hideMark/>
          </w:tcPr>
          <w:p w14:paraId="7386BE9A" w14:textId="77777777" w:rsidR="00C93B74" w:rsidRPr="0017729C" w:rsidRDefault="00C93B74" w:rsidP="00B36274">
            <w:pPr>
              <w:rPr>
                <w:rFonts w:ascii="Calibri" w:hAnsi="Calibri" w:cs="Calibri"/>
                <w:b/>
                <w:bCs/>
                <w:sz w:val="18"/>
                <w:szCs w:val="18"/>
              </w:rPr>
            </w:pPr>
          </w:p>
        </w:tc>
        <w:tc>
          <w:tcPr>
            <w:tcW w:w="1134" w:type="dxa"/>
            <w:shd w:val="clear" w:color="auto" w:fill="8EAADB" w:themeFill="accent5" w:themeFillTint="99"/>
            <w:noWrap/>
            <w:vAlign w:val="center"/>
            <w:hideMark/>
          </w:tcPr>
          <w:p w14:paraId="134B1462" w14:textId="40BBA6B5" w:rsidR="00C93B74" w:rsidRPr="0017729C" w:rsidRDefault="00C93B74" w:rsidP="00B36274">
            <w:pPr>
              <w:jc w:val="center"/>
              <w:rPr>
                <w:rFonts w:ascii="Calibri" w:hAnsi="Calibri" w:cs="Calibri"/>
                <w:b/>
                <w:bCs/>
                <w:sz w:val="18"/>
                <w:szCs w:val="18"/>
              </w:rPr>
            </w:pPr>
            <w:r w:rsidRPr="0017729C">
              <w:rPr>
                <w:rFonts w:ascii="Calibri" w:hAnsi="Calibri" w:cs="Calibri"/>
                <w:b/>
                <w:bCs/>
                <w:sz w:val="18"/>
                <w:szCs w:val="18"/>
              </w:rPr>
              <w:t>202</w:t>
            </w:r>
            <w:r w:rsidR="001E4F8A">
              <w:rPr>
                <w:rFonts w:ascii="Calibri" w:hAnsi="Calibri" w:cs="Calibri"/>
                <w:b/>
                <w:bCs/>
                <w:sz w:val="18"/>
                <w:szCs w:val="18"/>
              </w:rPr>
              <w:t>5</w:t>
            </w:r>
          </w:p>
        </w:tc>
        <w:tc>
          <w:tcPr>
            <w:tcW w:w="1134" w:type="dxa"/>
            <w:shd w:val="clear" w:color="auto" w:fill="8EAADB" w:themeFill="accent5" w:themeFillTint="99"/>
            <w:noWrap/>
            <w:vAlign w:val="center"/>
            <w:hideMark/>
          </w:tcPr>
          <w:p w14:paraId="42599F96" w14:textId="4C94742F" w:rsidR="00C93B74" w:rsidRPr="0017729C" w:rsidRDefault="00C93B74" w:rsidP="00B36274">
            <w:pPr>
              <w:jc w:val="center"/>
              <w:rPr>
                <w:rFonts w:ascii="Calibri" w:hAnsi="Calibri" w:cs="Calibri"/>
                <w:b/>
                <w:bCs/>
                <w:sz w:val="18"/>
                <w:szCs w:val="18"/>
              </w:rPr>
            </w:pPr>
            <w:r w:rsidRPr="0017729C">
              <w:rPr>
                <w:rFonts w:ascii="Calibri" w:hAnsi="Calibri" w:cs="Calibri"/>
                <w:b/>
                <w:bCs/>
                <w:sz w:val="18"/>
                <w:szCs w:val="18"/>
              </w:rPr>
              <w:t>202</w:t>
            </w:r>
            <w:r w:rsidR="001E4F8A">
              <w:rPr>
                <w:rFonts w:ascii="Calibri" w:hAnsi="Calibri" w:cs="Calibri"/>
                <w:b/>
                <w:bCs/>
                <w:sz w:val="18"/>
                <w:szCs w:val="18"/>
              </w:rPr>
              <w:t>4</w:t>
            </w:r>
          </w:p>
        </w:tc>
        <w:tc>
          <w:tcPr>
            <w:tcW w:w="992" w:type="dxa"/>
            <w:shd w:val="clear" w:color="auto" w:fill="8EAADB" w:themeFill="accent5" w:themeFillTint="99"/>
            <w:noWrap/>
            <w:vAlign w:val="center"/>
            <w:hideMark/>
          </w:tcPr>
          <w:p w14:paraId="034C08E0" w14:textId="77777777" w:rsidR="00C93B74" w:rsidRPr="0017729C" w:rsidRDefault="00C93B74" w:rsidP="00B36274">
            <w:pPr>
              <w:rPr>
                <w:rFonts w:ascii="Calibri" w:hAnsi="Calibri" w:cs="Calibri"/>
                <w:b/>
                <w:bCs/>
                <w:sz w:val="18"/>
                <w:szCs w:val="18"/>
              </w:rPr>
            </w:pPr>
            <w:r w:rsidRPr="0017729C">
              <w:rPr>
                <w:rFonts w:ascii="Calibri" w:hAnsi="Calibri" w:cs="Calibri"/>
                <w:b/>
                <w:bCs/>
                <w:sz w:val="18"/>
                <w:szCs w:val="18"/>
              </w:rPr>
              <w:t>Variação</w:t>
            </w:r>
          </w:p>
        </w:tc>
      </w:tr>
      <w:tr w:rsidR="00C93B74" w14:paraId="563EAFFC" w14:textId="77777777" w:rsidTr="00B36274">
        <w:trPr>
          <w:trHeight w:hRule="exact" w:val="255"/>
        </w:trPr>
        <w:tc>
          <w:tcPr>
            <w:tcW w:w="5245" w:type="dxa"/>
            <w:shd w:val="clear" w:color="auto" w:fill="D9E2F3" w:themeFill="accent5" w:themeFillTint="33"/>
            <w:vAlign w:val="center"/>
            <w:hideMark/>
          </w:tcPr>
          <w:p w14:paraId="0821CAB8" w14:textId="77777777" w:rsidR="00C93B74" w:rsidRDefault="00C93B74" w:rsidP="00B36274">
            <w:pPr>
              <w:rPr>
                <w:rFonts w:ascii="Calibri" w:hAnsi="Calibri" w:cs="Calibri"/>
                <w:b/>
                <w:bCs/>
                <w:sz w:val="18"/>
                <w:szCs w:val="18"/>
              </w:rPr>
            </w:pPr>
            <w:r>
              <w:rPr>
                <w:rFonts w:ascii="Calibri" w:hAnsi="Calibri" w:cs="Calibri"/>
                <w:b/>
                <w:bCs/>
                <w:sz w:val="18"/>
                <w:szCs w:val="18"/>
              </w:rPr>
              <w:t>Capital próprio</w:t>
            </w:r>
          </w:p>
        </w:tc>
        <w:tc>
          <w:tcPr>
            <w:tcW w:w="1134" w:type="dxa"/>
            <w:shd w:val="clear" w:color="auto" w:fill="D9E2F3" w:themeFill="accent5" w:themeFillTint="33"/>
            <w:noWrap/>
            <w:vAlign w:val="center"/>
            <w:hideMark/>
          </w:tcPr>
          <w:p w14:paraId="136AB822" w14:textId="77777777" w:rsidR="00C93B74" w:rsidRDefault="00C93B74" w:rsidP="00B36274">
            <w:pPr>
              <w:jc w:val="right"/>
              <w:rPr>
                <w:rFonts w:ascii="Calibri" w:hAnsi="Calibri" w:cs="Calibri"/>
                <w:sz w:val="18"/>
                <w:szCs w:val="18"/>
              </w:rPr>
            </w:pPr>
            <w:r>
              <w:rPr>
                <w:rFonts w:ascii="Calibri" w:hAnsi="Calibri" w:cs="Calibri"/>
                <w:sz w:val="18"/>
                <w:szCs w:val="18"/>
              </w:rPr>
              <w:t> </w:t>
            </w:r>
          </w:p>
        </w:tc>
        <w:tc>
          <w:tcPr>
            <w:tcW w:w="1134" w:type="dxa"/>
            <w:shd w:val="clear" w:color="auto" w:fill="D9E2F3" w:themeFill="accent5" w:themeFillTint="33"/>
            <w:noWrap/>
            <w:vAlign w:val="center"/>
            <w:hideMark/>
          </w:tcPr>
          <w:p w14:paraId="0026A82D" w14:textId="77777777" w:rsidR="00C93B74" w:rsidRDefault="00C93B74" w:rsidP="00B36274">
            <w:pPr>
              <w:jc w:val="right"/>
              <w:rPr>
                <w:rFonts w:ascii="Calibri" w:hAnsi="Calibri" w:cs="Calibri"/>
                <w:sz w:val="18"/>
                <w:szCs w:val="18"/>
              </w:rPr>
            </w:pPr>
            <w:r>
              <w:rPr>
                <w:rFonts w:ascii="Calibri" w:hAnsi="Calibri" w:cs="Calibri"/>
                <w:sz w:val="18"/>
                <w:szCs w:val="18"/>
              </w:rPr>
              <w:t> </w:t>
            </w:r>
          </w:p>
        </w:tc>
        <w:tc>
          <w:tcPr>
            <w:tcW w:w="992" w:type="dxa"/>
            <w:shd w:val="clear" w:color="auto" w:fill="D9E2F3" w:themeFill="accent5" w:themeFillTint="33"/>
            <w:noWrap/>
            <w:vAlign w:val="center"/>
            <w:hideMark/>
          </w:tcPr>
          <w:p w14:paraId="660E862F" w14:textId="77777777" w:rsidR="00C93B74" w:rsidRDefault="00C93B74" w:rsidP="00B36274">
            <w:pPr>
              <w:jc w:val="right"/>
              <w:rPr>
                <w:rFonts w:ascii="Calibri" w:hAnsi="Calibri" w:cs="Calibri"/>
                <w:sz w:val="18"/>
                <w:szCs w:val="18"/>
              </w:rPr>
            </w:pPr>
            <w:r>
              <w:rPr>
                <w:rFonts w:ascii="Calibri" w:hAnsi="Calibri" w:cs="Calibri"/>
                <w:sz w:val="18"/>
                <w:szCs w:val="18"/>
              </w:rPr>
              <w:t> </w:t>
            </w:r>
          </w:p>
        </w:tc>
      </w:tr>
      <w:tr w:rsidR="00296956" w14:paraId="21D8BE30" w14:textId="77777777" w:rsidTr="0023467E">
        <w:trPr>
          <w:trHeight w:hRule="exact" w:val="255"/>
        </w:trPr>
        <w:tc>
          <w:tcPr>
            <w:tcW w:w="5245" w:type="dxa"/>
            <w:shd w:val="clear" w:color="auto" w:fill="D9E2F3" w:themeFill="accent5" w:themeFillTint="33"/>
            <w:vAlign w:val="center"/>
            <w:hideMark/>
          </w:tcPr>
          <w:p w14:paraId="3DF248E3" w14:textId="77777777" w:rsidR="00296956" w:rsidRDefault="00296956" w:rsidP="00296956">
            <w:pPr>
              <w:ind w:firstLineChars="200" w:firstLine="360"/>
              <w:rPr>
                <w:rFonts w:ascii="Calibri" w:hAnsi="Calibri" w:cs="Calibri"/>
                <w:sz w:val="18"/>
                <w:szCs w:val="18"/>
              </w:rPr>
            </w:pPr>
            <w:r>
              <w:rPr>
                <w:rFonts w:ascii="Calibri" w:hAnsi="Calibri" w:cs="Calibri"/>
                <w:sz w:val="18"/>
                <w:szCs w:val="18"/>
              </w:rPr>
              <w:t>Capital social</w:t>
            </w:r>
          </w:p>
        </w:tc>
        <w:tc>
          <w:tcPr>
            <w:tcW w:w="1134" w:type="dxa"/>
            <w:shd w:val="clear" w:color="auto" w:fill="D9E2F3" w:themeFill="accent5" w:themeFillTint="33"/>
            <w:noWrap/>
            <w:vAlign w:val="center"/>
          </w:tcPr>
          <w:p w14:paraId="12E30D5A" w14:textId="4A560997" w:rsidR="00296956" w:rsidRDefault="00296956" w:rsidP="00296956">
            <w:pPr>
              <w:jc w:val="right"/>
              <w:rPr>
                <w:rFonts w:ascii="Calibri" w:hAnsi="Calibri" w:cs="Calibri"/>
                <w:sz w:val="18"/>
                <w:szCs w:val="18"/>
              </w:rPr>
            </w:pPr>
            <w:r>
              <w:rPr>
                <w:rFonts w:ascii="Calibri" w:hAnsi="Calibri" w:cs="Calibri"/>
                <w:sz w:val="18"/>
                <w:szCs w:val="18"/>
              </w:rPr>
              <w:t>50</w:t>
            </w:r>
          </w:p>
        </w:tc>
        <w:tc>
          <w:tcPr>
            <w:tcW w:w="1134" w:type="dxa"/>
            <w:shd w:val="clear" w:color="auto" w:fill="D9E2F3" w:themeFill="accent5" w:themeFillTint="33"/>
            <w:noWrap/>
            <w:vAlign w:val="center"/>
            <w:hideMark/>
          </w:tcPr>
          <w:p w14:paraId="2B83E3DA" w14:textId="57699E07" w:rsidR="00296956" w:rsidRDefault="00296956" w:rsidP="00296956">
            <w:pPr>
              <w:jc w:val="right"/>
              <w:rPr>
                <w:rFonts w:ascii="Calibri" w:hAnsi="Calibri" w:cs="Calibri"/>
                <w:sz w:val="18"/>
                <w:szCs w:val="18"/>
              </w:rPr>
            </w:pPr>
            <w:r>
              <w:rPr>
                <w:rFonts w:ascii="Calibri" w:hAnsi="Calibri" w:cs="Calibri"/>
                <w:sz w:val="18"/>
                <w:szCs w:val="18"/>
              </w:rPr>
              <w:t>50</w:t>
            </w:r>
          </w:p>
        </w:tc>
        <w:tc>
          <w:tcPr>
            <w:tcW w:w="992" w:type="dxa"/>
            <w:shd w:val="clear" w:color="auto" w:fill="D9E2F3" w:themeFill="accent5" w:themeFillTint="33"/>
            <w:noWrap/>
            <w:vAlign w:val="center"/>
          </w:tcPr>
          <w:p w14:paraId="7DC8F7D6" w14:textId="00AD9170" w:rsidR="00296956" w:rsidRDefault="00296956" w:rsidP="00296956">
            <w:pPr>
              <w:jc w:val="right"/>
              <w:rPr>
                <w:rFonts w:ascii="Calibri" w:hAnsi="Calibri" w:cs="Calibri"/>
                <w:sz w:val="18"/>
                <w:szCs w:val="18"/>
              </w:rPr>
            </w:pPr>
            <w:r>
              <w:rPr>
                <w:rFonts w:ascii="Calibri" w:hAnsi="Calibri" w:cs="Calibri"/>
                <w:sz w:val="18"/>
                <w:szCs w:val="18"/>
              </w:rPr>
              <w:t xml:space="preserve">- </w:t>
            </w:r>
          </w:p>
        </w:tc>
      </w:tr>
      <w:tr w:rsidR="00296956" w14:paraId="7E9F9B36" w14:textId="77777777" w:rsidTr="0023467E">
        <w:trPr>
          <w:trHeight w:hRule="exact" w:val="255"/>
        </w:trPr>
        <w:tc>
          <w:tcPr>
            <w:tcW w:w="5245" w:type="dxa"/>
            <w:shd w:val="clear" w:color="auto" w:fill="D9E2F3" w:themeFill="accent5" w:themeFillTint="33"/>
            <w:vAlign w:val="center"/>
            <w:hideMark/>
          </w:tcPr>
          <w:p w14:paraId="1304EB37" w14:textId="77777777" w:rsidR="00296956" w:rsidRDefault="00296956" w:rsidP="00296956">
            <w:pPr>
              <w:ind w:firstLineChars="200" w:firstLine="360"/>
              <w:rPr>
                <w:rFonts w:ascii="Calibri" w:hAnsi="Calibri" w:cs="Calibri"/>
                <w:sz w:val="18"/>
                <w:szCs w:val="18"/>
              </w:rPr>
            </w:pPr>
            <w:r>
              <w:rPr>
                <w:rFonts w:ascii="Calibri" w:hAnsi="Calibri" w:cs="Calibri"/>
                <w:sz w:val="18"/>
                <w:szCs w:val="18"/>
              </w:rPr>
              <w:t>Reservas de reavaliação</w:t>
            </w:r>
          </w:p>
        </w:tc>
        <w:tc>
          <w:tcPr>
            <w:tcW w:w="1134" w:type="dxa"/>
            <w:shd w:val="clear" w:color="auto" w:fill="D9E2F3" w:themeFill="accent5" w:themeFillTint="33"/>
            <w:noWrap/>
            <w:vAlign w:val="center"/>
          </w:tcPr>
          <w:p w14:paraId="3EC0642A" w14:textId="2E0F7E41" w:rsidR="00296956" w:rsidRDefault="00296956" w:rsidP="00296956">
            <w:pPr>
              <w:jc w:val="right"/>
              <w:rPr>
                <w:rFonts w:ascii="Calibri" w:hAnsi="Calibri" w:cs="Calibri"/>
                <w:sz w:val="18"/>
                <w:szCs w:val="18"/>
              </w:rPr>
            </w:pPr>
            <w:r>
              <w:rPr>
                <w:rFonts w:ascii="Calibri" w:hAnsi="Calibri" w:cs="Calibri"/>
                <w:sz w:val="18"/>
                <w:szCs w:val="18"/>
              </w:rPr>
              <w:t>1 563</w:t>
            </w:r>
          </w:p>
        </w:tc>
        <w:tc>
          <w:tcPr>
            <w:tcW w:w="1134" w:type="dxa"/>
            <w:shd w:val="clear" w:color="auto" w:fill="D9E2F3" w:themeFill="accent5" w:themeFillTint="33"/>
            <w:noWrap/>
            <w:vAlign w:val="center"/>
            <w:hideMark/>
          </w:tcPr>
          <w:p w14:paraId="75CF6829" w14:textId="67DA7929" w:rsidR="00296956" w:rsidRDefault="00296956" w:rsidP="00296956">
            <w:pPr>
              <w:jc w:val="right"/>
              <w:rPr>
                <w:rFonts w:ascii="Calibri" w:hAnsi="Calibri" w:cs="Calibri"/>
                <w:sz w:val="18"/>
                <w:szCs w:val="18"/>
              </w:rPr>
            </w:pPr>
            <w:r>
              <w:rPr>
                <w:rFonts w:ascii="Calibri" w:hAnsi="Calibri" w:cs="Calibri"/>
                <w:sz w:val="18"/>
                <w:szCs w:val="18"/>
              </w:rPr>
              <w:t>1 487</w:t>
            </w:r>
          </w:p>
        </w:tc>
        <w:tc>
          <w:tcPr>
            <w:tcW w:w="992" w:type="dxa"/>
            <w:shd w:val="clear" w:color="auto" w:fill="D9E2F3" w:themeFill="accent5" w:themeFillTint="33"/>
            <w:noWrap/>
            <w:vAlign w:val="center"/>
          </w:tcPr>
          <w:p w14:paraId="30DBE2FC" w14:textId="63ECC376" w:rsidR="00296956" w:rsidRDefault="00296956" w:rsidP="00296956">
            <w:pPr>
              <w:jc w:val="right"/>
              <w:rPr>
                <w:rFonts w:ascii="Calibri" w:hAnsi="Calibri" w:cs="Calibri"/>
                <w:sz w:val="18"/>
                <w:szCs w:val="18"/>
              </w:rPr>
            </w:pPr>
            <w:r>
              <w:rPr>
                <w:rFonts w:ascii="Calibri" w:hAnsi="Calibri" w:cs="Calibri"/>
                <w:sz w:val="18"/>
                <w:szCs w:val="18"/>
              </w:rPr>
              <w:t>76</w:t>
            </w:r>
          </w:p>
        </w:tc>
      </w:tr>
      <w:tr w:rsidR="00296956" w14:paraId="5A9B8AFB" w14:textId="77777777" w:rsidTr="0023467E">
        <w:trPr>
          <w:trHeight w:hRule="exact" w:val="255"/>
        </w:trPr>
        <w:tc>
          <w:tcPr>
            <w:tcW w:w="5245" w:type="dxa"/>
            <w:shd w:val="clear" w:color="auto" w:fill="D9E2F3" w:themeFill="accent5" w:themeFillTint="33"/>
            <w:vAlign w:val="center"/>
            <w:hideMark/>
          </w:tcPr>
          <w:p w14:paraId="4C125343" w14:textId="77777777" w:rsidR="00296956" w:rsidRDefault="00296956" w:rsidP="00296956">
            <w:pPr>
              <w:ind w:firstLineChars="200" w:firstLine="360"/>
              <w:rPr>
                <w:rFonts w:ascii="Calibri" w:hAnsi="Calibri" w:cs="Calibri"/>
                <w:sz w:val="18"/>
                <w:szCs w:val="18"/>
              </w:rPr>
            </w:pPr>
            <w:r>
              <w:rPr>
                <w:rFonts w:ascii="Calibri" w:hAnsi="Calibri" w:cs="Calibri"/>
                <w:sz w:val="18"/>
                <w:szCs w:val="18"/>
              </w:rPr>
              <w:t>Outras reservas</w:t>
            </w:r>
          </w:p>
        </w:tc>
        <w:tc>
          <w:tcPr>
            <w:tcW w:w="1134" w:type="dxa"/>
            <w:shd w:val="clear" w:color="auto" w:fill="D9E2F3" w:themeFill="accent5" w:themeFillTint="33"/>
            <w:noWrap/>
            <w:vAlign w:val="center"/>
          </w:tcPr>
          <w:p w14:paraId="761119DD" w14:textId="3FF17EE3" w:rsidR="00296956" w:rsidRDefault="00296956" w:rsidP="00296956">
            <w:pPr>
              <w:jc w:val="right"/>
              <w:rPr>
                <w:rFonts w:ascii="Calibri" w:hAnsi="Calibri" w:cs="Calibri"/>
                <w:sz w:val="18"/>
                <w:szCs w:val="18"/>
              </w:rPr>
            </w:pPr>
            <w:r>
              <w:rPr>
                <w:rFonts w:ascii="Calibri" w:hAnsi="Calibri" w:cs="Calibri"/>
                <w:sz w:val="18"/>
                <w:szCs w:val="18"/>
              </w:rPr>
              <w:t>(343 800)</w:t>
            </w:r>
          </w:p>
        </w:tc>
        <w:tc>
          <w:tcPr>
            <w:tcW w:w="1134" w:type="dxa"/>
            <w:shd w:val="clear" w:color="auto" w:fill="D9E2F3" w:themeFill="accent5" w:themeFillTint="33"/>
            <w:noWrap/>
            <w:vAlign w:val="center"/>
            <w:hideMark/>
          </w:tcPr>
          <w:p w14:paraId="091A1C0A" w14:textId="6DEC3614" w:rsidR="00296956" w:rsidRDefault="00296956" w:rsidP="00296956">
            <w:pPr>
              <w:jc w:val="right"/>
              <w:rPr>
                <w:rFonts w:ascii="Calibri" w:hAnsi="Calibri" w:cs="Calibri"/>
                <w:sz w:val="18"/>
                <w:szCs w:val="18"/>
              </w:rPr>
            </w:pPr>
            <w:r>
              <w:rPr>
                <w:rFonts w:ascii="Calibri" w:hAnsi="Calibri" w:cs="Calibri"/>
                <w:sz w:val="18"/>
                <w:szCs w:val="18"/>
              </w:rPr>
              <w:t>(405 514)</w:t>
            </w:r>
          </w:p>
        </w:tc>
        <w:tc>
          <w:tcPr>
            <w:tcW w:w="992" w:type="dxa"/>
            <w:shd w:val="clear" w:color="auto" w:fill="D9E2F3" w:themeFill="accent5" w:themeFillTint="33"/>
            <w:noWrap/>
            <w:vAlign w:val="center"/>
          </w:tcPr>
          <w:p w14:paraId="49B25CB6" w14:textId="49FAAEEA" w:rsidR="00296956" w:rsidRDefault="00296956" w:rsidP="00296956">
            <w:pPr>
              <w:jc w:val="right"/>
              <w:rPr>
                <w:rFonts w:ascii="Calibri" w:hAnsi="Calibri" w:cs="Calibri"/>
                <w:sz w:val="18"/>
                <w:szCs w:val="18"/>
              </w:rPr>
            </w:pPr>
            <w:r>
              <w:rPr>
                <w:rFonts w:ascii="Calibri" w:hAnsi="Calibri" w:cs="Calibri"/>
                <w:sz w:val="18"/>
                <w:szCs w:val="18"/>
              </w:rPr>
              <w:t>61 714</w:t>
            </w:r>
          </w:p>
        </w:tc>
      </w:tr>
      <w:tr w:rsidR="00296956" w14:paraId="227BECE9" w14:textId="77777777" w:rsidTr="0023467E">
        <w:trPr>
          <w:trHeight w:hRule="exact" w:val="255"/>
        </w:trPr>
        <w:tc>
          <w:tcPr>
            <w:tcW w:w="5245" w:type="dxa"/>
            <w:shd w:val="clear" w:color="auto" w:fill="D9E2F3" w:themeFill="accent5" w:themeFillTint="33"/>
            <w:vAlign w:val="center"/>
            <w:hideMark/>
          </w:tcPr>
          <w:p w14:paraId="1C2FA95C" w14:textId="77777777" w:rsidR="00296956" w:rsidRDefault="00296956" w:rsidP="00296956">
            <w:pPr>
              <w:ind w:firstLineChars="200" w:firstLine="360"/>
              <w:rPr>
                <w:rFonts w:ascii="Calibri" w:hAnsi="Calibri" w:cs="Calibri"/>
                <w:sz w:val="18"/>
                <w:szCs w:val="18"/>
              </w:rPr>
            </w:pPr>
            <w:r>
              <w:rPr>
                <w:rFonts w:ascii="Calibri" w:hAnsi="Calibri" w:cs="Calibri"/>
                <w:sz w:val="18"/>
                <w:szCs w:val="18"/>
              </w:rPr>
              <w:t>Resultados transitados</w:t>
            </w:r>
          </w:p>
        </w:tc>
        <w:tc>
          <w:tcPr>
            <w:tcW w:w="1134" w:type="dxa"/>
            <w:shd w:val="clear" w:color="auto" w:fill="D9E2F3" w:themeFill="accent5" w:themeFillTint="33"/>
            <w:noWrap/>
            <w:vAlign w:val="center"/>
          </w:tcPr>
          <w:p w14:paraId="6B80F0A8" w14:textId="102FF250" w:rsidR="00296956" w:rsidRDefault="00296956" w:rsidP="00296956">
            <w:pPr>
              <w:jc w:val="right"/>
              <w:rPr>
                <w:rFonts w:ascii="Calibri" w:hAnsi="Calibri" w:cs="Calibri"/>
                <w:sz w:val="18"/>
                <w:szCs w:val="18"/>
              </w:rPr>
            </w:pPr>
            <w:r>
              <w:rPr>
                <w:rFonts w:ascii="Calibri" w:hAnsi="Calibri" w:cs="Calibri"/>
                <w:sz w:val="18"/>
                <w:szCs w:val="18"/>
              </w:rPr>
              <w:t>(4 465 513)</w:t>
            </w:r>
          </w:p>
        </w:tc>
        <w:tc>
          <w:tcPr>
            <w:tcW w:w="1134" w:type="dxa"/>
            <w:shd w:val="clear" w:color="auto" w:fill="D9E2F3" w:themeFill="accent5" w:themeFillTint="33"/>
            <w:noWrap/>
            <w:vAlign w:val="center"/>
            <w:hideMark/>
          </w:tcPr>
          <w:p w14:paraId="4C9D4CC0" w14:textId="47040C3E" w:rsidR="00296956" w:rsidRDefault="00296956" w:rsidP="00296956">
            <w:pPr>
              <w:jc w:val="right"/>
              <w:rPr>
                <w:rFonts w:ascii="Calibri" w:hAnsi="Calibri" w:cs="Calibri"/>
                <w:sz w:val="18"/>
                <w:szCs w:val="18"/>
              </w:rPr>
            </w:pPr>
            <w:r>
              <w:rPr>
                <w:rFonts w:ascii="Calibri" w:hAnsi="Calibri" w:cs="Calibri"/>
                <w:sz w:val="18"/>
                <w:szCs w:val="18"/>
              </w:rPr>
              <w:t>(4 479 339)</w:t>
            </w:r>
          </w:p>
        </w:tc>
        <w:tc>
          <w:tcPr>
            <w:tcW w:w="992" w:type="dxa"/>
            <w:shd w:val="clear" w:color="auto" w:fill="D9E2F3" w:themeFill="accent5" w:themeFillTint="33"/>
            <w:noWrap/>
            <w:vAlign w:val="center"/>
          </w:tcPr>
          <w:p w14:paraId="499634FF" w14:textId="70A68903" w:rsidR="00296956" w:rsidRDefault="00296956" w:rsidP="00296956">
            <w:pPr>
              <w:jc w:val="right"/>
              <w:rPr>
                <w:rFonts w:ascii="Calibri" w:hAnsi="Calibri" w:cs="Calibri"/>
                <w:sz w:val="18"/>
                <w:szCs w:val="18"/>
              </w:rPr>
            </w:pPr>
            <w:r>
              <w:rPr>
                <w:rFonts w:ascii="Calibri" w:hAnsi="Calibri" w:cs="Calibri"/>
                <w:sz w:val="18"/>
                <w:szCs w:val="18"/>
              </w:rPr>
              <w:t>13 826</w:t>
            </w:r>
          </w:p>
        </w:tc>
      </w:tr>
      <w:tr w:rsidR="00296956" w14:paraId="663A7C66" w14:textId="77777777" w:rsidTr="0023467E">
        <w:trPr>
          <w:trHeight w:hRule="exact" w:val="255"/>
        </w:trPr>
        <w:tc>
          <w:tcPr>
            <w:tcW w:w="5245" w:type="dxa"/>
            <w:shd w:val="clear" w:color="auto" w:fill="D9E2F3" w:themeFill="accent5" w:themeFillTint="33"/>
            <w:vAlign w:val="center"/>
            <w:hideMark/>
          </w:tcPr>
          <w:p w14:paraId="073C6B0F" w14:textId="77777777" w:rsidR="00296956" w:rsidRDefault="00296956" w:rsidP="00296956">
            <w:pPr>
              <w:ind w:firstLineChars="200" w:firstLine="360"/>
              <w:rPr>
                <w:rFonts w:ascii="Calibri" w:hAnsi="Calibri" w:cs="Calibri"/>
                <w:sz w:val="18"/>
                <w:szCs w:val="18"/>
              </w:rPr>
            </w:pPr>
            <w:r>
              <w:rPr>
                <w:rFonts w:ascii="Calibri" w:hAnsi="Calibri" w:cs="Calibri"/>
                <w:sz w:val="18"/>
                <w:szCs w:val="18"/>
              </w:rPr>
              <w:t>Resultado líquido do exercício</w:t>
            </w:r>
          </w:p>
        </w:tc>
        <w:tc>
          <w:tcPr>
            <w:tcW w:w="1134" w:type="dxa"/>
            <w:tcBorders>
              <w:bottom w:val="single" w:sz="8" w:space="0" w:color="FFFFFF" w:themeColor="background1"/>
            </w:tcBorders>
            <w:shd w:val="clear" w:color="auto" w:fill="D9E2F3" w:themeFill="accent5" w:themeFillTint="33"/>
            <w:noWrap/>
            <w:vAlign w:val="center"/>
          </w:tcPr>
          <w:p w14:paraId="33E3CBB5" w14:textId="0924A748" w:rsidR="00296956" w:rsidRDefault="00296956" w:rsidP="00296956">
            <w:pPr>
              <w:jc w:val="right"/>
              <w:rPr>
                <w:rFonts w:ascii="Calibri" w:hAnsi="Calibri" w:cs="Calibri"/>
                <w:sz w:val="18"/>
                <w:szCs w:val="18"/>
              </w:rPr>
            </w:pPr>
            <w:r>
              <w:rPr>
                <w:rFonts w:ascii="Calibri" w:hAnsi="Calibri" w:cs="Calibri"/>
                <w:sz w:val="18"/>
                <w:szCs w:val="18"/>
              </w:rPr>
              <w:t>(58 677)</w:t>
            </w:r>
          </w:p>
        </w:tc>
        <w:tc>
          <w:tcPr>
            <w:tcW w:w="1134" w:type="dxa"/>
            <w:tcBorders>
              <w:bottom w:val="single" w:sz="8" w:space="0" w:color="FFFFFF" w:themeColor="background1"/>
            </w:tcBorders>
            <w:shd w:val="clear" w:color="auto" w:fill="D9E2F3" w:themeFill="accent5" w:themeFillTint="33"/>
            <w:noWrap/>
            <w:vAlign w:val="center"/>
            <w:hideMark/>
          </w:tcPr>
          <w:p w14:paraId="450AAD81" w14:textId="46C62F95" w:rsidR="00296956" w:rsidRDefault="00296956" w:rsidP="00296956">
            <w:pPr>
              <w:jc w:val="right"/>
              <w:rPr>
                <w:rFonts w:ascii="Calibri" w:hAnsi="Calibri" w:cs="Calibri"/>
                <w:sz w:val="18"/>
                <w:szCs w:val="18"/>
              </w:rPr>
            </w:pPr>
            <w:r>
              <w:rPr>
                <w:rFonts w:ascii="Calibri" w:hAnsi="Calibri" w:cs="Calibri"/>
                <w:sz w:val="18"/>
                <w:szCs w:val="18"/>
              </w:rPr>
              <w:t>13 825</w:t>
            </w:r>
          </w:p>
        </w:tc>
        <w:tc>
          <w:tcPr>
            <w:tcW w:w="992" w:type="dxa"/>
            <w:tcBorders>
              <w:bottom w:val="single" w:sz="8" w:space="0" w:color="FFFFFF" w:themeColor="background1"/>
            </w:tcBorders>
            <w:shd w:val="clear" w:color="auto" w:fill="D9E2F3" w:themeFill="accent5" w:themeFillTint="33"/>
            <w:noWrap/>
            <w:vAlign w:val="center"/>
          </w:tcPr>
          <w:p w14:paraId="45AF0408" w14:textId="2279A154" w:rsidR="00296956" w:rsidRDefault="00296956" w:rsidP="00296956">
            <w:pPr>
              <w:jc w:val="right"/>
              <w:rPr>
                <w:rFonts w:ascii="Calibri" w:hAnsi="Calibri" w:cs="Calibri"/>
                <w:sz w:val="18"/>
                <w:szCs w:val="18"/>
              </w:rPr>
            </w:pPr>
            <w:r>
              <w:rPr>
                <w:rFonts w:ascii="Calibri" w:hAnsi="Calibri" w:cs="Calibri"/>
                <w:sz w:val="18"/>
                <w:szCs w:val="18"/>
              </w:rPr>
              <w:t>(72 502)</w:t>
            </w:r>
          </w:p>
        </w:tc>
      </w:tr>
      <w:tr w:rsidR="00296956" w14:paraId="7FFEAB24" w14:textId="77777777" w:rsidTr="00B36274">
        <w:trPr>
          <w:trHeight w:hRule="exact" w:val="255"/>
        </w:trPr>
        <w:tc>
          <w:tcPr>
            <w:tcW w:w="5245" w:type="dxa"/>
            <w:shd w:val="clear" w:color="auto" w:fill="D9E2F3" w:themeFill="accent5" w:themeFillTint="33"/>
            <w:vAlign w:val="center"/>
            <w:hideMark/>
          </w:tcPr>
          <w:p w14:paraId="6CC3388F" w14:textId="77777777" w:rsidR="00296956" w:rsidRDefault="00296956" w:rsidP="00296956">
            <w:pPr>
              <w:jc w:val="center"/>
              <w:rPr>
                <w:rFonts w:ascii="Calibri" w:hAnsi="Calibri" w:cs="Calibri"/>
                <w:b/>
                <w:bCs/>
                <w:sz w:val="18"/>
                <w:szCs w:val="18"/>
              </w:rPr>
            </w:pPr>
            <w:r>
              <w:rPr>
                <w:rFonts w:ascii="Calibri" w:hAnsi="Calibri" w:cs="Calibri"/>
                <w:b/>
                <w:bCs/>
                <w:sz w:val="18"/>
                <w:szCs w:val="18"/>
              </w:rPr>
              <w:t>Total do Capital próprio</w:t>
            </w:r>
          </w:p>
        </w:tc>
        <w:tc>
          <w:tcPr>
            <w:tcW w:w="1134" w:type="dxa"/>
            <w:tcBorders>
              <w:top w:val="single" w:sz="8" w:space="0" w:color="FFFFFF" w:themeColor="background1"/>
            </w:tcBorders>
            <w:shd w:val="clear" w:color="auto" w:fill="D9E2F3" w:themeFill="accent5" w:themeFillTint="33"/>
            <w:noWrap/>
            <w:vAlign w:val="center"/>
          </w:tcPr>
          <w:p w14:paraId="185DA82F" w14:textId="3412C7BA" w:rsidR="00296956" w:rsidRDefault="00296956" w:rsidP="00296956">
            <w:pPr>
              <w:jc w:val="right"/>
              <w:rPr>
                <w:rFonts w:ascii="Calibri" w:hAnsi="Calibri" w:cs="Calibri"/>
                <w:b/>
                <w:bCs/>
                <w:sz w:val="18"/>
                <w:szCs w:val="18"/>
              </w:rPr>
            </w:pPr>
            <w:r>
              <w:rPr>
                <w:rFonts w:ascii="Calibri" w:hAnsi="Calibri" w:cs="Calibri"/>
                <w:b/>
                <w:bCs/>
                <w:sz w:val="18"/>
                <w:szCs w:val="18"/>
              </w:rPr>
              <w:t>(4 866 377)</w:t>
            </w:r>
          </w:p>
        </w:tc>
        <w:tc>
          <w:tcPr>
            <w:tcW w:w="1134" w:type="dxa"/>
            <w:tcBorders>
              <w:top w:val="single" w:sz="8" w:space="0" w:color="FFFFFF" w:themeColor="background1"/>
            </w:tcBorders>
            <w:shd w:val="clear" w:color="auto" w:fill="D9E2F3" w:themeFill="accent5" w:themeFillTint="33"/>
            <w:noWrap/>
            <w:vAlign w:val="center"/>
            <w:hideMark/>
          </w:tcPr>
          <w:p w14:paraId="5C09CBA5" w14:textId="3A9CFD9F" w:rsidR="00296956" w:rsidRDefault="00296956" w:rsidP="00296956">
            <w:pPr>
              <w:jc w:val="right"/>
              <w:rPr>
                <w:rFonts w:ascii="Calibri" w:hAnsi="Calibri" w:cs="Calibri"/>
                <w:b/>
                <w:bCs/>
                <w:sz w:val="18"/>
                <w:szCs w:val="18"/>
              </w:rPr>
            </w:pPr>
            <w:r>
              <w:rPr>
                <w:rFonts w:ascii="Calibri" w:hAnsi="Calibri" w:cs="Calibri"/>
                <w:b/>
                <w:bCs/>
                <w:sz w:val="18"/>
                <w:szCs w:val="18"/>
              </w:rPr>
              <w:t>(4 869 491)</w:t>
            </w:r>
          </w:p>
        </w:tc>
        <w:tc>
          <w:tcPr>
            <w:tcW w:w="992" w:type="dxa"/>
            <w:tcBorders>
              <w:top w:val="single" w:sz="8" w:space="0" w:color="FFFFFF" w:themeColor="background1"/>
            </w:tcBorders>
            <w:shd w:val="clear" w:color="auto" w:fill="D9E2F3" w:themeFill="accent5" w:themeFillTint="33"/>
            <w:noWrap/>
            <w:vAlign w:val="center"/>
          </w:tcPr>
          <w:p w14:paraId="7ED65819" w14:textId="18ABFE0F" w:rsidR="00296956" w:rsidRDefault="00296956" w:rsidP="00296956">
            <w:pPr>
              <w:jc w:val="right"/>
              <w:rPr>
                <w:rFonts w:ascii="Calibri" w:hAnsi="Calibri" w:cs="Calibri"/>
                <w:b/>
                <w:bCs/>
                <w:sz w:val="18"/>
                <w:szCs w:val="18"/>
              </w:rPr>
            </w:pPr>
            <w:r>
              <w:rPr>
                <w:rFonts w:ascii="Calibri" w:hAnsi="Calibri" w:cs="Calibri"/>
                <w:b/>
                <w:bCs/>
                <w:sz w:val="18"/>
                <w:szCs w:val="18"/>
              </w:rPr>
              <w:t>3 114</w:t>
            </w:r>
          </w:p>
        </w:tc>
      </w:tr>
      <w:tr w:rsidR="001E4F8A" w14:paraId="409A1051" w14:textId="77777777" w:rsidTr="00B36274">
        <w:trPr>
          <w:trHeight w:hRule="exact" w:val="255"/>
        </w:trPr>
        <w:tc>
          <w:tcPr>
            <w:tcW w:w="5245" w:type="dxa"/>
            <w:shd w:val="clear" w:color="auto" w:fill="D9E2F3" w:themeFill="accent5" w:themeFillTint="33"/>
            <w:vAlign w:val="center"/>
            <w:hideMark/>
          </w:tcPr>
          <w:p w14:paraId="67F89237" w14:textId="77777777" w:rsidR="001E4F8A" w:rsidRDefault="001E4F8A" w:rsidP="001E4F8A">
            <w:pPr>
              <w:rPr>
                <w:rFonts w:ascii="Calibri" w:hAnsi="Calibri" w:cs="Calibri"/>
                <w:b/>
                <w:bCs/>
                <w:sz w:val="18"/>
                <w:szCs w:val="18"/>
              </w:rPr>
            </w:pPr>
            <w:r>
              <w:rPr>
                <w:rFonts w:ascii="Calibri" w:hAnsi="Calibri" w:cs="Calibri"/>
                <w:b/>
                <w:bCs/>
                <w:sz w:val="18"/>
                <w:szCs w:val="18"/>
              </w:rPr>
              <w:t>Passivo</w:t>
            </w:r>
          </w:p>
        </w:tc>
        <w:tc>
          <w:tcPr>
            <w:tcW w:w="1134" w:type="dxa"/>
            <w:shd w:val="clear" w:color="auto" w:fill="D9E2F3" w:themeFill="accent5" w:themeFillTint="33"/>
            <w:noWrap/>
            <w:vAlign w:val="center"/>
          </w:tcPr>
          <w:p w14:paraId="460E37D9" w14:textId="77777777" w:rsidR="001E4F8A" w:rsidRDefault="001E4F8A" w:rsidP="001E4F8A">
            <w:pPr>
              <w:jc w:val="right"/>
              <w:rPr>
                <w:rFonts w:ascii="Calibri" w:hAnsi="Calibri" w:cs="Calibri"/>
                <w:sz w:val="18"/>
                <w:szCs w:val="18"/>
              </w:rPr>
            </w:pPr>
          </w:p>
        </w:tc>
        <w:tc>
          <w:tcPr>
            <w:tcW w:w="1134" w:type="dxa"/>
            <w:shd w:val="clear" w:color="auto" w:fill="D9E2F3" w:themeFill="accent5" w:themeFillTint="33"/>
            <w:noWrap/>
            <w:vAlign w:val="center"/>
            <w:hideMark/>
          </w:tcPr>
          <w:p w14:paraId="2A8160F1" w14:textId="77777777" w:rsidR="001E4F8A" w:rsidRDefault="001E4F8A" w:rsidP="001E4F8A">
            <w:pPr>
              <w:jc w:val="right"/>
              <w:rPr>
                <w:rFonts w:ascii="Calibri" w:hAnsi="Calibri" w:cs="Calibri"/>
                <w:sz w:val="18"/>
                <w:szCs w:val="18"/>
              </w:rPr>
            </w:pPr>
          </w:p>
        </w:tc>
        <w:tc>
          <w:tcPr>
            <w:tcW w:w="992" w:type="dxa"/>
            <w:shd w:val="clear" w:color="auto" w:fill="D9E2F3" w:themeFill="accent5" w:themeFillTint="33"/>
            <w:noWrap/>
            <w:vAlign w:val="center"/>
          </w:tcPr>
          <w:p w14:paraId="4070C09D" w14:textId="77777777" w:rsidR="001E4F8A" w:rsidRDefault="001E4F8A" w:rsidP="001E4F8A">
            <w:pPr>
              <w:jc w:val="right"/>
              <w:rPr>
                <w:rFonts w:ascii="Calibri" w:hAnsi="Calibri" w:cs="Calibri"/>
                <w:sz w:val="18"/>
                <w:szCs w:val="18"/>
              </w:rPr>
            </w:pPr>
          </w:p>
        </w:tc>
      </w:tr>
      <w:tr w:rsidR="001E4F8A" w14:paraId="1429220F" w14:textId="77777777" w:rsidTr="00B36274">
        <w:trPr>
          <w:trHeight w:hRule="exact" w:val="255"/>
        </w:trPr>
        <w:tc>
          <w:tcPr>
            <w:tcW w:w="5245" w:type="dxa"/>
            <w:shd w:val="clear" w:color="auto" w:fill="D9E2F3" w:themeFill="accent5" w:themeFillTint="33"/>
            <w:vAlign w:val="center"/>
            <w:hideMark/>
          </w:tcPr>
          <w:p w14:paraId="7170BFA0" w14:textId="77777777" w:rsidR="001E4F8A" w:rsidRDefault="001E4F8A" w:rsidP="001E4F8A">
            <w:pPr>
              <w:ind w:firstLineChars="100" w:firstLine="180"/>
              <w:rPr>
                <w:rFonts w:ascii="Calibri" w:hAnsi="Calibri" w:cs="Calibri"/>
                <w:sz w:val="18"/>
                <w:szCs w:val="18"/>
                <w:u w:val="single"/>
              </w:rPr>
            </w:pPr>
            <w:r>
              <w:rPr>
                <w:rFonts w:ascii="Calibri" w:hAnsi="Calibri" w:cs="Calibri"/>
                <w:sz w:val="18"/>
                <w:szCs w:val="18"/>
                <w:u w:val="single"/>
              </w:rPr>
              <w:t>Passivo não corrente:</w:t>
            </w:r>
          </w:p>
        </w:tc>
        <w:tc>
          <w:tcPr>
            <w:tcW w:w="1134" w:type="dxa"/>
            <w:shd w:val="clear" w:color="auto" w:fill="D9E2F3" w:themeFill="accent5" w:themeFillTint="33"/>
            <w:noWrap/>
            <w:vAlign w:val="center"/>
          </w:tcPr>
          <w:p w14:paraId="0D7452EA" w14:textId="77777777" w:rsidR="001E4F8A" w:rsidRDefault="001E4F8A" w:rsidP="001E4F8A">
            <w:pPr>
              <w:rPr>
                <w:rFonts w:ascii="Calibri" w:hAnsi="Calibri" w:cs="Calibri"/>
                <w:sz w:val="18"/>
                <w:szCs w:val="18"/>
              </w:rPr>
            </w:pPr>
          </w:p>
        </w:tc>
        <w:tc>
          <w:tcPr>
            <w:tcW w:w="1134" w:type="dxa"/>
            <w:shd w:val="clear" w:color="auto" w:fill="D9E2F3" w:themeFill="accent5" w:themeFillTint="33"/>
            <w:noWrap/>
            <w:vAlign w:val="center"/>
            <w:hideMark/>
          </w:tcPr>
          <w:p w14:paraId="429DA32A" w14:textId="77777777" w:rsidR="001E4F8A" w:rsidRDefault="001E4F8A" w:rsidP="001E4F8A">
            <w:pPr>
              <w:rPr>
                <w:rFonts w:ascii="Calibri" w:hAnsi="Calibri" w:cs="Calibri"/>
                <w:sz w:val="18"/>
                <w:szCs w:val="18"/>
              </w:rPr>
            </w:pPr>
          </w:p>
        </w:tc>
        <w:tc>
          <w:tcPr>
            <w:tcW w:w="992" w:type="dxa"/>
            <w:shd w:val="clear" w:color="auto" w:fill="D9E2F3" w:themeFill="accent5" w:themeFillTint="33"/>
            <w:noWrap/>
            <w:vAlign w:val="center"/>
          </w:tcPr>
          <w:p w14:paraId="34895907" w14:textId="77777777" w:rsidR="001E4F8A" w:rsidRDefault="001E4F8A" w:rsidP="001E4F8A">
            <w:pPr>
              <w:rPr>
                <w:rFonts w:ascii="Calibri" w:hAnsi="Calibri" w:cs="Calibri"/>
                <w:sz w:val="18"/>
                <w:szCs w:val="18"/>
              </w:rPr>
            </w:pPr>
          </w:p>
        </w:tc>
      </w:tr>
      <w:tr w:rsidR="00A2266F" w14:paraId="569B8F29" w14:textId="77777777" w:rsidTr="004A1598">
        <w:trPr>
          <w:trHeight w:hRule="exact" w:val="255"/>
        </w:trPr>
        <w:tc>
          <w:tcPr>
            <w:tcW w:w="5245" w:type="dxa"/>
            <w:shd w:val="clear" w:color="auto" w:fill="D9E2F3" w:themeFill="accent5" w:themeFillTint="33"/>
            <w:vAlign w:val="center"/>
            <w:hideMark/>
          </w:tcPr>
          <w:p w14:paraId="149DC09D" w14:textId="77777777" w:rsidR="00A2266F" w:rsidRDefault="00A2266F" w:rsidP="00A2266F">
            <w:pPr>
              <w:ind w:firstLineChars="200" w:firstLine="360"/>
              <w:rPr>
                <w:rFonts w:ascii="Calibri" w:hAnsi="Calibri" w:cs="Calibri"/>
                <w:sz w:val="18"/>
                <w:szCs w:val="18"/>
              </w:rPr>
            </w:pPr>
            <w:r>
              <w:rPr>
                <w:rFonts w:ascii="Calibri" w:hAnsi="Calibri" w:cs="Calibri"/>
                <w:sz w:val="18"/>
                <w:szCs w:val="18"/>
              </w:rPr>
              <w:t>Provisões</w:t>
            </w:r>
          </w:p>
        </w:tc>
        <w:tc>
          <w:tcPr>
            <w:tcW w:w="1134" w:type="dxa"/>
            <w:shd w:val="clear" w:color="auto" w:fill="D9E2F3" w:themeFill="accent5" w:themeFillTint="33"/>
            <w:noWrap/>
            <w:vAlign w:val="center"/>
          </w:tcPr>
          <w:p w14:paraId="02F2FA84" w14:textId="528C4A62" w:rsidR="00A2266F" w:rsidRDefault="00A2266F" w:rsidP="00A2266F">
            <w:pPr>
              <w:jc w:val="right"/>
              <w:rPr>
                <w:rFonts w:ascii="Calibri" w:hAnsi="Calibri" w:cs="Calibri"/>
                <w:sz w:val="18"/>
                <w:szCs w:val="18"/>
              </w:rPr>
            </w:pPr>
            <w:r>
              <w:rPr>
                <w:rFonts w:ascii="Calibri" w:hAnsi="Calibri" w:cs="Calibri"/>
                <w:sz w:val="18"/>
                <w:szCs w:val="18"/>
              </w:rPr>
              <w:t>30 876</w:t>
            </w:r>
          </w:p>
        </w:tc>
        <w:tc>
          <w:tcPr>
            <w:tcW w:w="1134" w:type="dxa"/>
            <w:shd w:val="clear" w:color="auto" w:fill="D9E2F3" w:themeFill="accent5" w:themeFillTint="33"/>
            <w:noWrap/>
            <w:vAlign w:val="center"/>
            <w:hideMark/>
          </w:tcPr>
          <w:p w14:paraId="3E814543" w14:textId="259284D3" w:rsidR="00A2266F" w:rsidRDefault="00A2266F" w:rsidP="00A2266F">
            <w:pPr>
              <w:jc w:val="right"/>
              <w:rPr>
                <w:rFonts w:ascii="Calibri" w:hAnsi="Calibri" w:cs="Calibri"/>
                <w:sz w:val="18"/>
                <w:szCs w:val="18"/>
              </w:rPr>
            </w:pPr>
            <w:r>
              <w:rPr>
                <w:rFonts w:ascii="Calibri" w:hAnsi="Calibri" w:cs="Calibri"/>
                <w:sz w:val="18"/>
                <w:szCs w:val="18"/>
              </w:rPr>
              <w:t>15 115</w:t>
            </w:r>
          </w:p>
        </w:tc>
        <w:tc>
          <w:tcPr>
            <w:tcW w:w="992" w:type="dxa"/>
            <w:shd w:val="clear" w:color="auto" w:fill="D9E2F3" w:themeFill="accent5" w:themeFillTint="33"/>
            <w:noWrap/>
            <w:vAlign w:val="center"/>
          </w:tcPr>
          <w:p w14:paraId="004AF4BC" w14:textId="00FE5F02" w:rsidR="00A2266F" w:rsidRDefault="00A2266F" w:rsidP="00A2266F">
            <w:pPr>
              <w:jc w:val="right"/>
              <w:rPr>
                <w:rFonts w:ascii="Calibri" w:hAnsi="Calibri" w:cs="Calibri"/>
                <w:sz w:val="18"/>
                <w:szCs w:val="18"/>
              </w:rPr>
            </w:pPr>
            <w:r>
              <w:rPr>
                <w:rFonts w:ascii="Calibri" w:hAnsi="Calibri" w:cs="Calibri"/>
                <w:sz w:val="18"/>
                <w:szCs w:val="18"/>
              </w:rPr>
              <w:t>15 761</w:t>
            </w:r>
          </w:p>
        </w:tc>
      </w:tr>
      <w:tr w:rsidR="00A2266F" w14:paraId="0F2D9617" w14:textId="77777777" w:rsidTr="004A1598">
        <w:trPr>
          <w:trHeight w:hRule="exact" w:val="255"/>
        </w:trPr>
        <w:tc>
          <w:tcPr>
            <w:tcW w:w="5245" w:type="dxa"/>
            <w:shd w:val="clear" w:color="auto" w:fill="D9E2F3" w:themeFill="accent5" w:themeFillTint="33"/>
            <w:vAlign w:val="center"/>
          </w:tcPr>
          <w:p w14:paraId="39610C16" w14:textId="1BA8BAC4" w:rsidR="00A2266F" w:rsidRPr="004A1598" w:rsidRDefault="00A2266F" w:rsidP="00A2266F">
            <w:pPr>
              <w:ind w:firstLineChars="200" w:firstLine="360"/>
              <w:rPr>
                <w:rFonts w:ascii="Calibri" w:hAnsi="Calibri" w:cs="Calibri"/>
                <w:sz w:val="18"/>
                <w:szCs w:val="18"/>
              </w:rPr>
            </w:pPr>
            <w:r w:rsidRPr="004A1598">
              <w:rPr>
                <w:rFonts w:ascii="Calibri" w:hAnsi="Calibri" w:cs="Calibri"/>
                <w:sz w:val="18"/>
                <w:szCs w:val="18"/>
              </w:rPr>
              <w:t>Responsabilidades por benefícios pós-emprego</w:t>
            </w:r>
          </w:p>
        </w:tc>
        <w:tc>
          <w:tcPr>
            <w:tcW w:w="1134" w:type="dxa"/>
            <w:shd w:val="clear" w:color="auto" w:fill="D9E2F3" w:themeFill="accent5" w:themeFillTint="33"/>
            <w:noWrap/>
            <w:vAlign w:val="center"/>
          </w:tcPr>
          <w:p w14:paraId="5B196D99" w14:textId="398F86BA" w:rsidR="00A2266F" w:rsidRDefault="00A2266F" w:rsidP="00A2266F">
            <w:pPr>
              <w:jc w:val="right"/>
              <w:rPr>
                <w:rFonts w:ascii="Calibri" w:hAnsi="Calibri" w:cs="Calibri"/>
                <w:b/>
                <w:bCs/>
                <w:sz w:val="18"/>
                <w:szCs w:val="18"/>
              </w:rPr>
            </w:pPr>
            <w:r>
              <w:rPr>
                <w:rFonts w:ascii="Calibri" w:hAnsi="Calibri" w:cs="Calibri"/>
                <w:sz w:val="18"/>
                <w:szCs w:val="18"/>
              </w:rPr>
              <w:t>1 603</w:t>
            </w:r>
          </w:p>
        </w:tc>
        <w:tc>
          <w:tcPr>
            <w:tcW w:w="1134" w:type="dxa"/>
            <w:shd w:val="clear" w:color="auto" w:fill="D9E2F3" w:themeFill="accent5" w:themeFillTint="33"/>
            <w:noWrap/>
            <w:vAlign w:val="center"/>
          </w:tcPr>
          <w:p w14:paraId="798E7CF7" w14:textId="22197108" w:rsidR="00A2266F" w:rsidRDefault="00A2266F" w:rsidP="00A2266F">
            <w:pPr>
              <w:jc w:val="right"/>
              <w:rPr>
                <w:rFonts w:ascii="Calibri" w:hAnsi="Calibri" w:cs="Calibri"/>
                <w:b/>
                <w:bCs/>
                <w:sz w:val="18"/>
                <w:szCs w:val="18"/>
              </w:rPr>
            </w:pPr>
            <w:r>
              <w:rPr>
                <w:rFonts w:ascii="Calibri" w:hAnsi="Calibri" w:cs="Calibri"/>
                <w:sz w:val="18"/>
                <w:szCs w:val="18"/>
              </w:rPr>
              <w:t>1 611</w:t>
            </w:r>
          </w:p>
        </w:tc>
        <w:tc>
          <w:tcPr>
            <w:tcW w:w="992" w:type="dxa"/>
            <w:shd w:val="clear" w:color="auto" w:fill="D9E2F3" w:themeFill="accent5" w:themeFillTint="33"/>
            <w:noWrap/>
            <w:vAlign w:val="center"/>
          </w:tcPr>
          <w:p w14:paraId="6A5D0FA1" w14:textId="4511F15C" w:rsidR="00A2266F" w:rsidRDefault="00A2266F" w:rsidP="00A2266F">
            <w:pPr>
              <w:jc w:val="right"/>
              <w:rPr>
                <w:rFonts w:ascii="Calibri" w:hAnsi="Calibri" w:cs="Calibri"/>
                <w:b/>
                <w:bCs/>
                <w:sz w:val="18"/>
                <w:szCs w:val="18"/>
              </w:rPr>
            </w:pPr>
            <w:r>
              <w:rPr>
                <w:rFonts w:ascii="Calibri" w:hAnsi="Calibri" w:cs="Calibri"/>
                <w:sz w:val="18"/>
                <w:szCs w:val="18"/>
              </w:rPr>
              <w:t>(8)</w:t>
            </w:r>
          </w:p>
        </w:tc>
      </w:tr>
      <w:tr w:rsidR="00A2266F" w14:paraId="0CA23C06" w14:textId="77777777" w:rsidTr="00BE2AC8">
        <w:trPr>
          <w:trHeight w:hRule="exact" w:val="255"/>
        </w:trPr>
        <w:tc>
          <w:tcPr>
            <w:tcW w:w="5245" w:type="dxa"/>
            <w:shd w:val="clear" w:color="auto" w:fill="D9E2F3" w:themeFill="accent5" w:themeFillTint="33"/>
            <w:vAlign w:val="center"/>
            <w:hideMark/>
          </w:tcPr>
          <w:p w14:paraId="28D000F2" w14:textId="77777777" w:rsidR="00A2266F" w:rsidRDefault="00A2266F" w:rsidP="00A2266F">
            <w:pPr>
              <w:ind w:firstLineChars="200" w:firstLine="361"/>
              <w:jc w:val="right"/>
              <w:rPr>
                <w:rFonts w:ascii="Calibri" w:hAnsi="Calibri" w:cs="Calibri"/>
                <w:b/>
                <w:bCs/>
                <w:sz w:val="18"/>
                <w:szCs w:val="18"/>
              </w:rPr>
            </w:pPr>
            <w:r>
              <w:rPr>
                <w:rFonts w:ascii="Calibri" w:hAnsi="Calibri" w:cs="Calibri"/>
                <w:b/>
                <w:bCs/>
                <w:sz w:val="18"/>
                <w:szCs w:val="18"/>
              </w:rPr>
              <w:t>Total do passivo não corrente</w:t>
            </w:r>
          </w:p>
        </w:tc>
        <w:tc>
          <w:tcPr>
            <w:tcW w:w="1134" w:type="dxa"/>
            <w:tcBorders>
              <w:top w:val="single" w:sz="8" w:space="0" w:color="FFFFFF" w:themeColor="background1"/>
            </w:tcBorders>
            <w:shd w:val="clear" w:color="auto" w:fill="D9E2F3" w:themeFill="accent5" w:themeFillTint="33"/>
            <w:noWrap/>
            <w:vAlign w:val="center"/>
          </w:tcPr>
          <w:p w14:paraId="4EC11F1A" w14:textId="5C652BC4" w:rsidR="00A2266F" w:rsidRDefault="00A2266F" w:rsidP="00A2266F">
            <w:pPr>
              <w:jc w:val="right"/>
              <w:rPr>
                <w:rFonts w:ascii="Calibri" w:hAnsi="Calibri" w:cs="Calibri"/>
                <w:b/>
                <w:bCs/>
                <w:sz w:val="18"/>
                <w:szCs w:val="18"/>
              </w:rPr>
            </w:pPr>
            <w:r>
              <w:rPr>
                <w:rFonts w:ascii="Calibri" w:hAnsi="Calibri" w:cs="Calibri"/>
                <w:b/>
                <w:bCs/>
                <w:sz w:val="18"/>
                <w:szCs w:val="18"/>
              </w:rPr>
              <w:t>32 479</w:t>
            </w:r>
          </w:p>
        </w:tc>
        <w:tc>
          <w:tcPr>
            <w:tcW w:w="1134" w:type="dxa"/>
            <w:tcBorders>
              <w:top w:val="single" w:sz="8" w:space="0" w:color="FFFFFF" w:themeColor="background1"/>
            </w:tcBorders>
            <w:shd w:val="clear" w:color="auto" w:fill="D9E2F3" w:themeFill="accent5" w:themeFillTint="33"/>
            <w:noWrap/>
            <w:vAlign w:val="center"/>
            <w:hideMark/>
          </w:tcPr>
          <w:p w14:paraId="61D30475" w14:textId="0E65170B" w:rsidR="00A2266F" w:rsidRDefault="00A2266F" w:rsidP="00A2266F">
            <w:pPr>
              <w:jc w:val="right"/>
              <w:rPr>
                <w:rFonts w:ascii="Calibri" w:hAnsi="Calibri" w:cs="Calibri"/>
                <w:b/>
                <w:bCs/>
                <w:sz w:val="18"/>
                <w:szCs w:val="18"/>
              </w:rPr>
            </w:pPr>
            <w:r>
              <w:rPr>
                <w:rFonts w:ascii="Calibri" w:hAnsi="Calibri" w:cs="Calibri"/>
                <w:b/>
                <w:bCs/>
                <w:sz w:val="18"/>
                <w:szCs w:val="18"/>
              </w:rPr>
              <w:t>16 726</w:t>
            </w:r>
          </w:p>
        </w:tc>
        <w:tc>
          <w:tcPr>
            <w:tcW w:w="992" w:type="dxa"/>
            <w:tcBorders>
              <w:top w:val="single" w:sz="8" w:space="0" w:color="FFFFFF" w:themeColor="background1"/>
            </w:tcBorders>
            <w:shd w:val="clear" w:color="auto" w:fill="D9E2F3" w:themeFill="accent5" w:themeFillTint="33"/>
            <w:noWrap/>
            <w:vAlign w:val="center"/>
          </w:tcPr>
          <w:p w14:paraId="775ED870" w14:textId="5731B8BE" w:rsidR="00A2266F" w:rsidRDefault="00A2266F" w:rsidP="00A2266F">
            <w:pPr>
              <w:jc w:val="right"/>
              <w:rPr>
                <w:rFonts w:ascii="Calibri" w:hAnsi="Calibri" w:cs="Calibri"/>
                <w:b/>
                <w:bCs/>
                <w:sz w:val="18"/>
                <w:szCs w:val="18"/>
              </w:rPr>
            </w:pPr>
            <w:r>
              <w:rPr>
                <w:rFonts w:ascii="Calibri" w:hAnsi="Calibri" w:cs="Calibri"/>
                <w:b/>
                <w:bCs/>
                <w:sz w:val="18"/>
                <w:szCs w:val="18"/>
              </w:rPr>
              <w:t>15 753</w:t>
            </w:r>
          </w:p>
        </w:tc>
      </w:tr>
      <w:tr w:rsidR="001E4F8A" w14:paraId="617C29E7" w14:textId="77777777" w:rsidTr="00B36274">
        <w:trPr>
          <w:trHeight w:hRule="exact" w:val="255"/>
        </w:trPr>
        <w:tc>
          <w:tcPr>
            <w:tcW w:w="5245" w:type="dxa"/>
            <w:shd w:val="clear" w:color="auto" w:fill="D9E2F3" w:themeFill="accent5" w:themeFillTint="33"/>
            <w:vAlign w:val="center"/>
            <w:hideMark/>
          </w:tcPr>
          <w:p w14:paraId="46E5650E" w14:textId="77777777" w:rsidR="001E4F8A" w:rsidRDefault="001E4F8A" w:rsidP="001E4F8A">
            <w:pPr>
              <w:ind w:firstLineChars="100" w:firstLine="180"/>
              <w:rPr>
                <w:rFonts w:ascii="Calibri" w:hAnsi="Calibri" w:cs="Calibri"/>
                <w:sz w:val="18"/>
                <w:szCs w:val="18"/>
                <w:u w:val="single"/>
              </w:rPr>
            </w:pPr>
            <w:r>
              <w:rPr>
                <w:rFonts w:ascii="Calibri" w:hAnsi="Calibri" w:cs="Calibri"/>
                <w:sz w:val="18"/>
                <w:szCs w:val="18"/>
                <w:u w:val="single"/>
              </w:rPr>
              <w:t>Passivo corrente:</w:t>
            </w:r>
          </w:p>
        </w:tc>
        <w:tc>
          <w:tcPr>
            <w:tcW w:w="1134" w:type="dxa"/>
            <w:shd w:val="clear" w:color="auto" w:fill="D9E2F3" w:themeFill="accent5" w:themeFillTint="33"/>
            <w:noWrap/>
            <w:vAlign w:val="center"/>
          </w:tcPr>
          <w:p w14:paraId="6962B0BC" w14:textId="77777777" w:rsidR="001E4F8A" w:rsidRDefault="001E4F8A" w:rsidP="001E4F8A">
            <w:pPr>
              <w:rPr>
                <w:rFonts w:ascii="Calibri" w:hAnsi="Calibri" w:cs="Calibri"/>
                <w:sz w:val="18"/>
                <w:szCs w:val="18"/>
              </w:rPr>
            </w:pPr>
          </w:p>
        </w:tc>
        <w:tc>
          <w:tcPr>
            <w:tcW w:w="1134" w:type="dxa"/>
            <w:shd w:val="clear" w:color="auto" w:fill="D9E2F3" w:themeFill="accent5" w:themeFillTint="33"/>
            <w:noWrap/>
            <w:vAlign w:val="center"/>
            <w:hideMark/>
          </w:tcPr>
          <w:p w14:paraId="0A2316A9" w14:textId="77777777" w:rsidR="001E4F8A" w:rsidRDefault="001E4F8A" w:rsidP="001E4F8A">
            <w:pPr>
              <w:rPr>
                <w:rFonts w:ascii="Calibri" w:hAnsi="Calibri" w:cs="Calibri"/>
                <w:sz w:val="18"/>
                <w:szCs w:val="18"/>
              </w:rPr>
            </w:pPr>
          </w:p>
        </w:tc>
        <w:tc>
          <w:tcPr>
            <w:tcW w:w="992" w:type="dxa"/>
            <w:shd w:val="clear" w:color="auto" w:fill="D9E2F3" w:themeFill="accent5" w:themeFillTint="33"/>
            <w:noWrap/>
            <w:vAlign w:val="center"/>
          </w:tcPr>
          <w:p w14:paraId="7F28F641" w14:textId="77777777" w:rsidR="001E4F8A" w:rsidRDefault="001E4F8A" w:rsidP="001E4F8A">
            <w:pPr>
              <w:rPr>
                <w:rFonts w:ascii="Calibri" w:hAnsi="Calibri" w:cs="Calibri"/>
                <w:sz w:val="18"/>
                <w:szCs w:val="18"/>
              </w:rPr>
            </w:pPr>
          </w:p>
        </w:tc>
      </w:tr>
      <w:tr w:rsidR="00296956" w14:paraId="4903FF0E" w14:textId="77777777" w:rsidTr="00AE1E59">
        <w:trPr>
          <w:trHeight w:hRule="exact" w:val="255"/>
        </w:trPr>
        <w:tc>
          <w:tcPr>
            <w:tcW w:w="5245" w:type="dxa"/>
            <w:shd w:val="clear" w:color="auto" w:fill="D9E2F3" w:themeFill="accent5" w:themeFillTint="33"/>
            <w:vAlign w:val="center"/>
            <w:hideMark/>
          </w:tcPr>
          <w:p w14:paraId="73605A5B" w14:textId="77777777" w:rsidR="00296956" w:rsidRDefault="00296956" w:rsidP="00296956">
            <w:pPr>
              <w:ind w:firstLineChars="200" w:firstLine="360"/>
              <w:rPr>
                <w:rFonts w:ascii="Calibri" w:hAnsi="Calibri" w:cs="Calibri"/>
                <w:sz w:val="18"/>
                <w:szCs w:val="18"/>
              </w:rPr>
            </w:pPr>
            <w:r>
              <w:rPr>
                <w:rFonts w:ascii="Calibri" w:hAnsi="Calibri" w:cs="Calibri"/>
                <w:sz w:val="18"/>
                <w:szCs w:val="18"/>
              </w:rPr>
              <w:t>Outros financiamentos obtidos</w:t>
            </w:r>
          </w:p>
        </w:tc>
        <w:tc>
          <w:tcPr>
            <w:tcW w:w="1134" w:type="dxa"/>
            <w:shd w:val="clear" w:color="auto" w:fill="D9E2F3" w:themeFill="accent5" w:themeFillTint="33"/>
            <w:noWrap/>
            <w:vAlign w:val="center"/>
          </w:tcPr>
          <w:p w14:paraId="52775449" w14:textId="3D193136" w:rsidR="00296956" w:rsidRDefault="00296956" w:rsidP="00296956">
            <w:pPr>
              <w:jc w:val="right"/>
              <w:rPr>
                <w:rFonts w:ascii="Calibri" w:hAnsi="Calibri" w:cs="Calibri"/>
                <w:sz w:val="18"/>
                <w:szCs w:val="18"/>
              </w:rPr>
            </w:pPr>
            <w:r>
              <w:rPr>
                <w:rFonts w:ascii="Calibri" w:hAnsi="Calibri" w:cs="Calibri"/>
                <w:sz w:val="18"/>
                <w:szCs w:val="18"/>
              </w:rPr>
              <w:t>5 288 110</w:t>
            </w:r>
          </w:p>
        </w:tc>
        <w:tc>
          <w:tcPr>
            <w:tcW w:w="1134" w:type="dxa"/>
            <w:shd w:val="clear" w:color="auto" w:fill="D9E2F3" w:themeFill="accent5" w:themeFillTint="33"/>
            <w:noWrap/>
            <w:vAlign w:val="center"/>
            <w:hideMark/>
          </w:tcPr>
          <w:p w14:paraId="46E95ED8" w14:textId="2BE4FDAA" w:rsidR="00296956" w:rsidRDefault="00296956" w:rsidP="00296956">
            <w:pPr>
              <w:jc w:val="right"/>
              <w:rPr>
                <w:rFonts w:ascii="Calibri" w:hAnsi="Calibri" w:cs="Calibri"/>
                <w:sz w:val="18"/>
                <w:szCs w:val="18"/>
              </w:rPr>
            </w:pPr>
            <w:r>
              <w:rPr>
                <w:rFonts w:ascii="Calibri" w:hAnsi="Calibri" w:cs="Calibri"/>
                <w:sz w:val="18"/>
                <w:szCs w:val="18"/>
              </w:rPr>
              <w:t>5 363 302</w:t>
            </w:r>
          </w:p>
        </w:tc>
        <w:tc>
          <w:tcPr>
            <w:tcW w:w="992" w:type="dxa"/>
            <w:shd w:val="clear" w:color="auto" w:fill="D9E2F3" w:themeFill="accent5" w:themeFillTint="33"/>
            <w:noWrap/>
            <w:vAlign w:val="center"/>
          </w:tcPr>
          <w:p w14:paraId="01E854A5" w14:textId="6DF8EDA7" w:rsidR="00296956" w:rsidRDefault="00296956" w:rsidP="00296956">
            <w:pPr>
              <w:jc w:val="right"/>
              <w:rPr>
                <w:rFonts w:ascii="Calibri" w:hAnsi="Calibri" w:cs="Calibri"/>
                <w:sz w:val="18"/>
                <w:szCs w:val="18"/>
              </w:rPr>
            </w:pPr>
            <w:r>
              <w:rPr>
                <w:rFonts w:ascii="Calibri" w:hAnsi="Calibri" w:cs="Calibri"/>
                <w:sz w:val="18"/>
                <w:szCs w:val="18"/>
              </w:rPr>
              <w:t>(75 192)</w:t>
            </w:r>
          </w:p>
        </w:tc>
      </w:tr>
      <w:tr w:rsidR="00296956" w14:paraId="0A3EC84A" w14:textId="77777777" w:rsidTr="00AE1E59">
        <w:trPr>
          <w:trHeight w:hRule="exact" w:val="255"/>
        </w:trPr>
        <w:tc>
          <w:tcPr>
            <w:tcW w:w="5245" w:type="dxa"/>
            <w:shd w:val="clear" w:color="auto" w:fill="D9E2F3" w:themeFill="accent5" w:themeFillTint="33"/>
            <w:vAlign w:val="center"/>
            <w:hideMark/>
          </w:tcPr>
          <w:p w14:paraId="395C9002" w14:textId="77777777" w:rsidR="00296956" w:rsidRDefault="00296956" w:rsidP="00296956">
            <w:pPr>
              <w:ind w:firstLineChars="200" w:firstLine="360"/>
              <w:rPr>
                <w:rFonts w:ascii="Calibri" w:hAnsi="Calibri" w:cs="Calibri"/>
                <w:sz w:val="18"/>
                <w:szCs w:val="18"/>
              </w:rPr>
            </w:pPr>
            <w:r>
              <w:rPr>
                <w:rFonts w:ascii="Calibri" w:hAnsi="Calibri" w:cs="Calibri"/>
                <w:sz w:val="18"/>
                <w:szCs w:val="18"/>
              </w:rPr>
              <w:t>Fornecedores</w:t>
            </w:r>
          </w:p>
        </w:tc>
        <w:tc>
          <w:tcPr>
            <w:tcW w:w="1134" w:type="dxa"/>
            <w:shd w:val="clear" w:color="auto" w:fill="D9E2F3" w:themeFill="accent5" w:themeFillTint="33"/>
            <w:noWrap/>
            <w:vAlign w:val="center"/>
          </w:tcPr>
          <w:p w14:paraId="2F0D77FE" w14:textId="0CC99CBB" w:rsidR="00296956" w:rsidRDefault="00296956" w:rsidP="00296956">
            <w:pPr>
              <w:jc w:val="right"/>
              <w:rPr>
                <w:rFonts w:ascii="Calibri" w:hAnsi="Calibri" w:cs="Calibri"/>
                <w:sz w:val="18"/>
                <w:szCs w:val="18"/>
              </w:rPr>
            </w:pPr>
            <w:r>
              <w:rPr>
                <w:rFonts w:ascii="Calibri" w:hAnsi="Calibri" w:cs="Calibri"/>
                <w:sz w:val="18"/>
                <w:szCs w:val="18"/>
              </w:rPr>
              <w:t>80</w:t>
            </w:r>
          </w:p>
        </w:tc>
        <w:tc>
          <w:tcPr>
            <w:tcW w:w="1134" w:type="dxa"/>
            <w:shd w:val="clear" w:color="auto" w:fill="D9E2F3" w:themeFill="accent5" w:themeFillTint="33"/>
            <w:noWrap/>
            <w:vAlign w:val="center"/>
            <w:hideMark/>
          </w:tcPr>
          <w:p w14:paraId="32C107E4" w14:textId="4C2B666B" w:rsidR="00296956" w:rsidRDefault="00296956" w:rsidP="00296956">
            <w:pPr>
              <w:jc w:val="right"/>
              <w:rPr>
                <w:rFonts w:ascii="Calibri" w:hAnsi="Calibri" w:cs="Calibri"/>
                <w:sz w:val="18"/>
                <w:szCs w:val="18"/>
              </w:rPr>
            </w:pPr>
            <w:r>
              <w:rPr>
                <w:rFonts w:ascii="Calibri" w:hAnsi="Calibri" w:cs="Calibri"/>
                <w:sz w:val="18"/>
                <w:szCs w:val="18"/>
              </w:rPr>
              <w:t>79</w:t>
            </w:r>
          </w:p>
        </w:tc>
        <w:tc>
          <w:tcPr>
            <w:tcW w:w="992" w:type="dxa"/>
            <w:shd w:val="clear" w:color="auto" w:fill="D9E2F3" w:themeFill="accent5" w:themeFillTint="33"/>
            <w:noWrap/>
            <w:vAlign w:val="center"/>
          </w:tcPr>
          <w:p w14:paraId="32588DA5" w14:textId="33DC11ED" w:rsidR="00296956" w:rsidRDefault="00296956" w:rsidP="00296956">
            <w:pPr>
              <w:jc w:val="right"/>
              <w:rPr>
                <w:rFonts w:ascii="Calibri" w:hAnsi="Calibri" w:cs="Calibri"/>
                <w:sz w:val="18"/>
                <w:szCs w:val="18"/>
              </w:rPr>
            </w:pPr>
            <w:r>
              <w:rPr>
                <w:rFonts w:ascii="Calibri" w:hAnsi="Calibri" w:cs="Calibri"/>
                <w:sz w:val="18"/>
                <w:szCs w:val="18"/>
              </w:rPr>
              <w:t>1</w:t>
            </w:r>
          </w:p>
        </w:tc>
      </w:tr>
      <w:tr w:rsidR="00296956" w14:paraId="77DABBD9" w14:textId="77777777" w:rsidTr="00B36274">
        <w:trPr>
          <w:trHeight w:hRule="exact" w:val="255"/>
        </w:trPr>
        <w:tc>
          <w:tcPr>
            <w:tcW w:w="5245" w:type="dxa"/>
            <w:shd w:val="clear" w:color="auto" w:fill="D9E2F3" w:themeFill="accent5" w:themeFillTint="33"/>
            <w:vAlign w:val="center"/>
            <w:hideMark/>
          </w:tcPr>
          <w:p w14:paraId="25966E17" w14:textId="77777777" w:rsidR="00296956" w:rsidRDefault="00296956" w:rsidP="00296956">
            <w:pPr>
              <w:ind w:firstLineChars="200" w:firstLine="360"/>
              <w:rPr>
                <w:rFonts w:ascii="Calibri" w:hAnsi="Calibri" w:cs="Calibri"/>
                <w:sz w:val="18"/>
                <w:szCs w:val="18"/>
              </w:rPr>
            </w:pPr>
            <w:r>
              <w:rPr>
                <w:rFonts w:ascii="Calibri" w:hAnsi="Calibri" w:cs="Calibri"/>
                <w:sz w:val="18"/>
                <w:szCs w:val="18"/>
              </w:rPr>
              <w:t>Estado e outros entes públicos</w:t>
            </w:r>
          </w:p>
        </w:tc>
        <w:tc>
          <w:tcPr>
            <w:tcW w:w="1134" w:type="dxa"/>
            <w:shd w:val="clear" w:color="auto" w:fill="D9E2F3" w:themeFill="accent5" w:themeFillTint="33"/>
            <w:noWrap/>
            <w:vAlign w:val="center"/>
          </w:tcPr>
          <w:p w14:paraId="170A2C78" w14:textId="05E48D86" w:rsidR="00296956" w:rsidRDefault="00296956" w:rsidP="00296956">
            <w:pPr>
              <w:jc w:val="right"/>
              <w:rPr>
                <w:rFonts w:ascii="Calibri" w:hAnsi="Calibri" w:cs="Calibri"/>
                <w:sz w:val="18"/>
                <w:szCs w:val="18"/>
              </w:rPr>
            </w:pPr>
            <w:r>
              <w:rPr>
                <w:rFonts w:ascii="Calibri" w:hAnsi="Calibri" w:cs="Calibri"/>
                <w:sz w:val="18"/>
                <w:szCs w:val="18"/>
              </w:rPr>
              <w:t>6 242</w:t>
            </w:r>
          </w:p>
        </w:tc>
        <w:tc>
          <w:tcPr>
            <w:tcW w:w="1134" w:type="dxa"/>
            <w:shd w:val="clear" w:color="auto" w:fill="D9E2F3" w:themeFill="accent5" w:themeFillTint="33"/>
            <w:noWrap/>
            <w:vAlign w:val="center"/>
            <w:hideMark/>
          </w:tcPr>
          <w:p w14:paraId="7C58AF56" w14:textId="61EF7BF2" w:rsidR="00296956" w:rsidRDefault="00296956" w:rsidP="00296956">
            <w:pPr>
              <w:jc w:val="right"/>
              <w:rPr>
                <w:rFonts w:ascii="Calibri" w:hAnsi="Calibri" w:cs="Calibri"/>
                <w:sz w:val="18"/>
                <w:szCs w:val="18"/>
              </w:rPr>
            </w:pPr>
            <w:r>
              <w:rPr>
                <w:rFonts w:ascii="Calibri" w:hAnsi="Calibri" w:cs="Calibri"/>
                <w:sz w:val="18"/>
                <w:szCs w:val="18"/>
              </w:rPr>
              <w:t>2 065</w:t>
            </w:r>
          </w:p>
        </w:tc>
        <w:tc>
          <w:tcPr>
            <w:tcW w:w="992" w:type="dxa"/>
            <w:shd w:val="clear" w:color="auto" w:fill="D9E2F3" w:themeFill="accent5" w:themeFillTint="33"/>
            <w:noWrap/>
            <w:vAlign w:val="center"/>
          </w:tcPr>
          <w:p w14:paraId="714B7BD6" w14:textId="3F7ECA44" w:rsidR="00296956" w:rsidRDefault="00296956" w:rsidP="00296956">
            <w:pPr>
              <w:jc w:val="right"/>
              <w:rPr>
                <w:rFonts w:ascii="Calibri" w:hAnsi="Calibri" w:cs="Calibri"/>
                <w:sz w:val="18"/>
                <w:szCs w:val="18"/>
              </w:rPr>
            </w:pPr>
            <w:r>
              <w:rPr>
                <w:rFonts w:ascii="Calibri" w:hAnsi="Calibri" w:cs="Calibri"/>
                <w:sz w:val="18"/>
                <w:szCs w:val="18"/>
              </w:rPr>
              <w:t>4 177</w:t>
            </w:r>
          </w:p>
        </w:tc>
      </w:tr>
      <w:tr w:rsidR="00386F2E" w14:paraId="5DD1AEFA" w14:textId="77777777" w:rsidTr="00B36274">
        <w:trPr>
          <w:trHeight w:hRule="exact" w:val="255"/>
        </w:trPr>
        <w:tc>
          <w:tcPr>
            <w:tcW w:w="5245" w:type="dxa"/>
            <w:shd w:val="clear" w:color="auto" w:fill="D9E2F3" w:themeFill="accent5" w:themeFillTint="33"/>
            <w:vAlign w:val="center"/>
            <w:hideMark/>
          </w:tcPr>
          <w:p w14:paraId="1D655E75" w14:textId="77777777" w:rsidR="00386F2E" w:rsidRDefault="00386F2E" w:rsidP="00386F2E">
            <w:pPr>
              <w:ind w:firstLineChars="200" w:firstLine="360"/>
              <w:rPr>
                <w:rFonts w:ascii="Calibri" w:hAnsi="Calibri" w:cs="Calibri"/>
                <w:sz w:val="18"/>
                <w:szCs w:val="18"/>
              </w:rPr>
            </w:pPr>
            <w:r>
              <w:rPr>
                <w:rFonts w:ascii="Calibri" w:hAnsi="Calibri" w:cs="Calibri"/>
                <w:sz w:val="18"/>
                <w:szCs w:val="18"/>
              </w:rPr>
              <w:t>Outras contas a pagar</w:t>
            </w:r>
          </w:p>
        </w:tc>
        <w:tc>
          <w:tcPr>
            <w:tcW w:w="1134" w:type="dxa"/>
            <w:shd w:val="clear" w:color="auto" w:fill="D9E2F3" w:themeFill="accent5" w:themeFillTint="33"/>
            <w:noWrap/>
            <w:vAlign w:val="center"/>
          </w:tcPr>
          <w:p w14:paraId="54E57443" w14:textId="32CA1763" w:rsidR="00386F2E" w:rsidRDefault="00386F2E" w:rsidP="00386F2E">
            <w:pPr>
              <w:jc w:val="right"/>
              <w:rPr>
                <w:rFonts w:ascii="Calibri" w:hAnsi="Calibri" w:cs="Calibri"/>
                <w:sz w:val="18"/>
                <w:szCs w:val="18"/>
              </w:rPr>
            </w:pPr>
            <w:r>
              <w:rPr>
                <w:rFonts w:ascii="Calibri" w:hAnsi="Calibri" w:cs="Calibri"/>
                <w:sz w:val="18"/>
                <w:szCs w:val="18"/>
              </w:rPr>
              <w:t>3 767</w:t>
            </w:r>
          </w:p>
        </w:tc>
        <w:tc>
          <w:tcPr>
            <w:tcW w:w="1134" w:type="dxa"/>
            <w:shd w:val="clear" w:color="auto" w:fill="D9E2F3" w:themeFill="accent5" w:themeFillTint="33"/>
            <w:noWrap/>
            <w:vAlign w:val="center"/>
            <w:hideMark/>
          </w:tcPr>
          <w:p w14:paraId="01AA0C4E" w14:textId="0DEFF2E8" w:rsidR="00386F2E" w:rsidRDefault="00386F2E" w:rsidP="00386F2E">
            <w:pPr>
              <w:jc w:val="right"/>
              <w:rPr>
                <w:rFonts w:ascii="Calibri" w:hAnsi="Calibri" w:cs="Calibri"/>
                <w:sz w:val="18"/>
                <w:szCs w:val="18"/>
              </w:rPr>
            </w:pPr>
            <w:r>
              <w:rPr>
                <w:rFonts w:ascii="Calibri" w:hAnsi="Calibri" w:cs="Calibri"/>
                <w:sz w:val="18"/>
                <w:szCs w:val="18"/>
              </w:rPr>
              <w:t>3 800</w:t>
            </w:r>
          </w:p>
        </w:tc>
        <w:tc>
          <w:tcPr>
            <w:tcW w:w="992" w:type="dxa"/>
            <w:shd w:val="clear" w:color="auto" w:fill="D9E2F3" w:themeFill="accent5" w:themeFillTint="33"/>
            <w:noWrap/>
            <w:vAlign w:val="center"/>
          </w:tcPr>
          <w:p w14:paraId="73A6B744" w14:textId="49465BC3" w:rsidR="00386F2E" w:rsidRDefault="00386F2E" w:rsidP="00386F2E">
            <w:pPr>
              <w:jc w:val="right"/>
              <w:rPr>
                <w:rFonts w:ascii="Calibri" w:hAnsi="Calibri" w:cs="Calibri"/>
                <w:sz w:val="18"/>
                <w:szCs w:val="18"/>
              </w:rPr>
            </w:pPr>
            <w:r>
              <w:rPr>
                <w:rFonts w:ascii="Calibri" w:hAnsi="Calibri" w:cs="Calibri"/>
                <w:sz w:val="18"/>
                <w:szCs w:val="18"/>
              </w:rPr>
              <w:t>(33)</w:t>
            </w:r>
          </w:p>
        </w:tc>
      </w:tr>
      <w:tr w:rsidR="00386F2E" w14:paraId="0788C0C7" w14:textId="77777777" w:rsidTr="00670F30">
        <w:trPr>
          <w:trHeight w:hRule="exact" w:val="255"/>
        </w:trPr>
        <w:tc>
          <w:tcPr>
            <w:tcW w:w="5245" w:type="dxa"/>
            <w:shd w:val="clear" w:color="auto" w:fill="D9E2F3" w:themeFill="accent5" w:themeFillTint="33"/>
            <w:vAlign w:val="center"/>
            <w:hideMark/>
          </w:tcPr>
          <w:p w14:paraId="50329B30" w14:textId="77777777" w:rsidR="00386F2E" w:rsidRDefault="00386F2E" w:rsidP="00386F2E">
            <w:pPr>
              <w:ind w:firstLineChars="200" w:firstLine="361"/>
              <w:jc w:val="right"/>
              <w:rPr>
                <w:rFonts w:ascii="Calibri" w:hAnsi="Calibri" w:cs="Calibri"/>
                <w:b/>
                <w:bCs/>
                <w:sz w:val="18"/>
                <w:szCs w:val="18"/>
              </w:rPr>
            </w:pPr>
            <w:r>
              <w:rPr>
                <w:rFonts w:ascii="Calibri" w:hAnsi="Calibri" w:cs="Calibri"/>
                <w:b/>
                <w:bCs/>
                <w:sz w:val="18"/>
                <w:szCs w:val="18"/>
              </w:rPr>
              <w:t>Total do passivo corrente</w:t>
            </w:r>
          </w:p>
        </w:tc>
        <w:tc>
          <w:tcPr>
            <w:tcW w:w="1134" w:type="dxa"/>
            <w:tcBorders>
              <w:top w:val="single" w:sz="8" w:space="0" w:color="FFFFFF" w:themeColor="background1"/>
            </w:tcBorders>
            <w:shd w:val="clear" w:color="auto" w:fill="D9E2F3" w:themeFill="accent5" w:themeFillTint="33"/>
            <w:noWrap/>
            <w:vAlign w:val="center"/>
          </w:tcPr>
          <w:p w14:paraId="40786FA2" w14:textId="2B3B2B7F" w:rsidR="00386F2E" w:rsidRDefault="00386F2E" w:rsidP="00386F2E">
            <w:pPr>
              <w:jc w:val="right"/>
              <w:rPr>
                <w:rFonts w:ascii="Calibri" w:hAnsi="Calibri" w:cs="Calibri"/>
                <w:b/>
                <w:bCs/>
                <w:sz w:val="18"/>
                <w:szCs w:val="18"/>
              </w:rPr>
            </w:pPr>
            <w:r>
              <w:rPr>
                <w:rFonts w:ascii="Calibri" w:hAnsi="Calibri" w:cs="Calibri"/>
                <w:b/>
                <w:bCs/>
                <w:sz w:val="18"/>
                <w:szCs w:val="18"/>
              </w:rPr>
              <w:t>5 298 199</w:t>
            </w:r>
          </w:p>
        </w:tc>
        <w:tc>
          <w:tcPr>
            <w:tcW w:w="1134" w:type="dxa"/>
            <w:tcBorders>
              <w:top w:val="single" w:sz="8" w:space="0" w:color="FFFFFF" w:themeColor="background1"/>
            </w:tcBorders>
            <w:shd w:val="clear" w:color="auto" w:fill="D9E2F3" w:themeFill="accent5" w:themeFillTint="33"/>
            <w:noWrap/>
            <w:vAlign w:val="center"/>
            <w:hideMark/>
          </w:tcPr>
          <w:p w14:paraId="675F629B" w14:textId="180070F2" w:rsidR="00386F2E" w:rsidRDefault="00386F2E" w:rsidP="00386F2E">
            <w:pPr>
              <w:jc w:val="right"/>
              <w:rPr>
                <w:rFonts w:ascii="Calibri" w:hAnsi="Calibri" w:cs="Calibri"/>
                <w:b/>
                <w:bCs/>
                <w:sz w:val="18"/>
                <w:szCs w:val="18"/>
              </w:rPr>
            </w:pPr>
            <w:r>
              <w:rPr>
                <w:rFonts w:ascii="Calibri" w:hAnsi="Calibri" w:cs="Calibri"/>
                <w:b/>
                <w:bCs/>
                <w:sz w:val="18"/>
                <w:szCs w:val="18"/>
              </w:rPr>
              <w:t>5 369 246</w:t>
            </w:r>
          </w:p>
        </w:tc>
        <w:tc>
          <w:tcPr>
            <w:tcW w:w="992" w:type="dxa"/>
            <w:tcBorders>
              <w:top w:val="single" w:sz="8" w:space="0" w:color="FFFFFF" w:themeColor="background1"/>
            </w:tcBorders>
            <w:shd w:val="clear" w:color="auto" w:fill="D9E2F3" w:themeFill="accent5" w:themeFillTint="33"/>
            <w:noWrap/>
            <w:vAlign w:val="center"/>
          </w:tcPr>
          <w:p w14:paraId="5156BC75" w14:textId="63F9A42B" w:rsidR="00386F2E" w:rsidRDefault="00386F2E" w:rsidP="00386F2E">
            <w:pPr>
              <w:jc w:val="right"/>
              <w:rPr>
                <w:rFonts w:ascii="Calibri" w:hAnsi="Calibri" w:cs="Calibri"/>
                <w:b/>
                <w:bCs/>
                <w:sz w:val="18"/>
                <w:szCs w:val="18"/>
              </w:rPr>
            </w:pPr>
            <w:r>
              <w:rPr>
                <w:rFonts w:ascii="Calibri" w:hAnsi="Calibri" w:cs="Calibri"/>
                <w:b/>
                <w:bCs/>
                <w:sz w:val="18"/>
                <w:szCs w:val="18"/>
              </w:rPr>
              <w:t>(71 047)</w:t>
            </w:r>
          </w:p>
        </w:tc>
      </w:tr>
      <w:tr w:rsidR="00386F2E" w14:paraId="21080734" w14:textId="77777777" w:rsidTr="00B36274">
        <w:trPr>
          <w:trHeight w:hRule="exact" w:val="255"/>
        </w:trPr>
        <w:tc>
          <w:tcPr>
            <w:tcW w:w="5245" w:type="dxa"/>
            <w:shd w:val="clear" w:color="auto" w:fill="D9E2F3" w:themeFill="accent5" w:themeFillTint="33"/>
            <w:vAlign w:val="center"/>
            <w:hideMark/>
          </w:tcPr>
          <w:p w14:paraId="245857D4" w14:textId="77777777" w:rsidR="00386F2E" w:rsidRDefault="00386F2E" w:rsidP="00386F2E">
            <w:pPr>
              <w:jc w:val="center"/>
              <w:rPr>
                <w:rFonts w:ascii="Calibri" w:hAnsi="Calibri" w:cs="Calibri"/>
                <w:b/>
                <w:bCs/>
                <w:sz w:val="18"/>
                <w:szCs w:val="18"/>
              </w:rPr>
            </w:pPr>
            <w:r>
              <w:rPr>
                <w:rFonts w:ascii="Calibri" w:hAnsi="Calibri" w:cs="Calibri"/>
                <w:b/>
                <w:bCs/>
                <w:sz w:val="18"/>
                <w:szCs w:val="18"/>
              </w:rPr>
              <w:t>Total do Passivo</w:t>
            </w:r>
          </w:p>
        </w:tc>
        <w:tc>
          <w:tcPr>
            <w:tcW w:w="1134" w:type="dxa"/>
            <w:shd w:val="clear" w:color="auto" w:fill="D9E2F3" w:themeFill="accent5" w:themeFillTint="33"/>
            <w:noWrap/>
            <w:vAlign w:val="center"/>
          </w:tcPr>
          <w:p w14:paraId="6C2E2911" w14:textId="7B1BDE8F" w:rsidR="00386F2E" w:rsidRDefault="00386F2E" w:rsidP="00386F2E">
            <w:pPr>
              <w:jc w:val="right"/>
              <w:rPr>
                <w:rFonts w:ascii="Calibri" w:hAnsi="Calibri" w:cs="Calibri"/>
                <w:b/>
                <w:bCs/>
                <w:sz w:val="18"/>
                <w:szCs w:val="18"/>
              </w:rPr>
            </w:pPr>
            <w:r>
              <w:rPr>
                <w:rFonts w:ascii="Calibri" w:hAnsi="Calibri" w:cs="Calibri"/>
                <w:b/>
                <w:bCs/>
                <w:sz w:val="18"/>
                <w:szCs w:val="18"/>
              </w:rPr>
              <w:t>5 330 678</w:t>
            </w:r>
          </w:p>
        </w:tc>
        <w:tc>
          <w:tcPr>
            <w:tcW w:w="1134" w:type="dxa"/>
            <w:shd w:val="clear" w:color="auto" w:fill="D9E2F3" w:themeFill="accent5" w:themeFillTint="33"/>
            <w:noWrap/>
            <w:vAlign w:val="center"/>
            <w:hideMark/>
          </w:tcPr>
          <w:p w14:paraId="41EA7533" w14:textId="77360517" w:rsidR="00386F2E" w:rsidRDefault="00386F2E" w:rsidP="00386F2E">
            <w:pPr>
              <w:jc w:val="right"/>
              <w:rPr>
                <w:rFonts w:ascii="Calibri" w:hAnsi="Calibri" w:cs="Calibri"/>
                <w:b/>
                <w:bCs/>
                <w:sz w:val="18"/>
                <w:szCs w:val="18"/>
              </w:rPr>
            </w:pPr>
            <w:r>
              <w:rPr>
                <w:rFonts w:ascii="Calibri" w:hAnsi="Calibri" w:cs="Calibri"/>
                <w:b/>
                <w:bCs/>
                <w:sz w:val="18"/>
                <w:szCs w:val="18"/>
              </w:rPr>
              <w:t>5 385 972</w:t>
            </w:r>
          </w:p>
        </w:tc>
        <w:tc>
          <w:tcPr>
            <w:tcW w:w="992" w:type="dxa"/>
            <w:shd w:val="clear" w:color="auto" w:fill="D9E2F3" w:themeFill="accent5" w:themeFillTint="33"/>
            <w:noWrap/>
            <w:vAlign w:val="center"/>
          </w:tcPr>
          <w:p w14:paraId="5A9F0177" w14:textId="6E6E27FB" w:rsidR="00386F2E" w:rsidRDefault="00386F2E" w:rsidP="00386F2E">
            <w:pPr>
              <w:jc w:val="right"/>
              <w:rPr>
                <w:rFonts w:ascii="Calibri" w:hAnsi="Calibri" w:cs="Calibri"/>
                <w:b/>
                <w:bCs/>
                <w:sz w:val="18"/>
                <w:szCs w:val="18"/>
              </w:rPr>
            </w:pPr>
            <w:r>
              <w:rPr>
                <w:rFonts w:ascii="Calibri" w:hAnsi="Calibri" w:cs="Calibri"/>
                <w:b/>
                <w:bCs/>
                <w:sz w:val="18"/>
                <w:szCs w:val="18"/>
              </w:rPr>
              <w:t>(55 294)</w:t>
            </w:r>
          </w:p>
        </w:tc>
      </w:tr>
      <w:tr w:rsidR="00386F2E" w14:paraId="3EF15CC0" w14:textId="77777777" w:rsidTr="00B36274">
        <w:trPr>
          <w:trHeight w:hRule="exact" w:val="255"/>
        </w:trPr>
        <w:tc>
          <w:tcPr>
            <w:tcW w:w="5245" w:type="dxa"/>
            <w:shd w:val="clear" w:color="auto" w:fill="D9E2F3" w:themeFill="accent5" w:themeFillTint="33"/>
            <w:vAlign w:val="center"/>
            <w:hideMark/>
          </w:tcPr>
          <w:p w14:paraId="4C09089E" w14:textId="77777777" w:rsidR="00386F2E" w:rsidRDefault="00386F2E" w:rsidP="00386F2E">
            <w:pPr>
              <w:jc w:val="center"/>
              <w:rPr>
                <w:rFonts w:ascii="Calibri" w:hAnsi="Calibri" w:cs="Calibri"/>
                <w:b/>
                <w:bCs/>
                <w:sz w:val="18"/>
                <w:szCs w:val="18"/>
              </w:rPr>
            </w:pPr>
            <w:r>
              <w:rPr>
                <w:rFonts w:ascii="Calibri" w:hAnsi="Calibri" w:cs="Calibri"/>
                <w:b/>
                <w:bCs/>
                <w:sz w:val="18"/>
                <w:szCs w:val="18"/>
              </w:rPr>
              <w:t>Total do Capital Próprio e do Passivo</w:t>
            </w:r>
          </w:p>
        </w:tc>
        <w:tc>
          <w:tcPr>
            <w:tcW w:w="1134" w:type="dxa"/>
            <w:shd w:val="clear" w:color="auto" w:fill="D9E2F3" w:themeFill="accent5" w:themeFillTint="33"/>
            <w:noWrap/>
            <w:vAlign w:val="center"/>
          </w:tcPr>
          <w:p w14:paraId="119C6E1E" w14:textId="1300C64A" w:rsidR="00386F2E" w:rsidRDefault="00386F2E" w:rsidP="00386F2E">
            <w:pPr>
              <w:jc w:val="right"/>
              <w:rPr>
                <w:rFonts w:ascii="Calibri" w:hAnsi="Calibri" w:cs="Calibri"/>
                <w:b/>
                <w:bCs/>
                <w:sz w:val="18"/>
                <w:szCs w:val="18"/>
              </w:rPr>
            </w:pPr>
            <w:r>
              <w:rPr>
                <w:rFonts w:ascii="Calibri" w:hAnsi="Calibri" w:cs="Calibri"/>
                <w:b/>
                <w:bCs/>
                <w:sz w:val="18"/>
                <w:szCs w:val="18"/>
              </w:rPr>
              <w:t>464 301</w:t>
            </w:r>
          </w:p>
        </w:tc>
        <w:tc>
          <w:tcPr>
            <w:tcW w:w="1134" w:type="dxa"/>
            <w:shd w:val="clear" w:color="auto" w:fill="D9E2F3" w:themeFill="accent5" w:themeFillTint="33"/>
            <w:noWrap/>
            <w:vAlign w:val="center"/>
            <w:hideMark/>
          </w:tcPr>
          <w:p w14:paraId="39392AC6" w14:textId="1FC3D356" w:rsidR="00386F2E" w:rsidRDefault="00386F2E" w:rsidP="00386F2E">
            <w:pPr>
              <w:jc w:val="right"/>
              <w:rPr>
                <w:rFonts w:ascii="Calibri" w:hAnsi="Calibri" w:cs="Calibri"/>
                <w:b/>
                <w:bCs/>
                <w:sz w:val="18"/>
                <w:szCs w:val="18"/>
              </w:rPr>
            </w:pPr>
            <w:r>
              <w:rPr>
                <w:rFonts w:ascii="Calibri" w:hAnsi="Calibri" w:cs="Calibri"/>
                <w:b/>
                <w:bCs/>
                <w:sz w:val="18"/>
                <w:szCs w:val="18"/>
              </w:rPr>
              <w:t>516 481</w:t>
            </w:r>
          </w:p>
        </w:tc>
        <w:tc>
          <w:tcPr>
            <w:tcW w:w="992" w:type="dxa"/>
            <w:shd w:val="clear" w:color="auto" w:fill="D9E2F3" w:themeFill="accent5" w:themeFillTint="33"/>
            <w:noWrap/>
            <w:vAlign w:val="center"/>
          </w:tcPr>
          <w:p w14:paraId="612AB868" w14:textId="368F448A" w:rsidR="00386F2E" w:rsidRDefault="00386F2E" w:rsidP="00386F2E">
            <w:pPr>
              <w:jc w:val="right"/>
              <w:rPr>
                <w:rFonts w:ascii="Calibri" w:hAnsi="Calibri" w:cs="Calibri"/>
                <w:b/>
                <w:bCs/>
                <w:sz w:val="18"/>
                <w:szCs w:val="18"/>
              </w:rPr>
            </w:pPr>
            <w:r>
              <w:rPr>
                <w:rFonts w:ascii="Calibri" w:hAnsi="Calibri" w:cs="Calibri"/>
                <w:b/>
                <w:bCs/>
                <w:sz w:val="18"/>
                <w:szCs w:val="18"/>
              </w:rPr>
              <w:t>(52 180)</w:t>
            </w:r>
          </w:p>
        </w:tc>
      </w:tr>
    </w:tbl>
    <w:p w14:paraId="4C800BF7" w14:textId="77777777" w:rsidR="00C93B74" w:rsidRDefault="00C93B74" w:rsidP="00C93B74">
      <w:pPr>
        <w:jc w:val="both"/>
        <w:rPr>
          <w:rFonts w:ascii="Calibri" w:eastAsia="Calibri" w:hAnsi="Calibri" w:cs="Calibri"/>
          <w:sz w:val="22"/>
          <w:szCs w:val="22"/>
        </w:rPr>
      </w:pPr>
    </w:p>
    <w:p w14:paraId="0FADFE91" w14:textId="442C7E65" w:rsidR="00C93B74" w:rsidRDefault="00C93B74" w:rsidP="00E55DE3">
      <w:pPr>
        <w:jc w:val="both"/>
        <w:rPr>
          <w:rFonts w:asciiTheme="minorHAnsi" w:hAnsiTheme="minorHAnsi" w:cstheme="minorHAnsi"/>
          <w:sz w:val="22"/>
          <w:szCs w:val="22"/>
        </w:rPr>
      </w:pPr>
      <w:r w:rsidRPr="0060766D">
        <w:rPr>
          <w:rFonts w:ascii="Calibri" w:eastAsia="Calibri" w:hAnsi="Calibri" w:cs="Calibri"/>
          <w:sz w:val="22"/>
          <w:szCs w:val="22"/>
        </w:rPr>
        <w:t xml:space="preserve">O Passivo totalizou € </w:t>
      </w:r>
      <w:r w:rsidRPr="00671DAB">
        <w:rPr>
          <w:rFonts w:ascii="Calibri" w:eastAsia="Calibri" w:hAnsi="Calibri" w:cs="Calibri"/>
          <w:sz w:val="22"/>
          <w:szCs w:val="22"/>
        </w:rPr>
        <w:t>5.</w:t>
      </w:r>
      <w:r w:rsidR="0060766D" w:rsidRPr="00671DAB">
        <w:rPr>
          <w:rFonts w:ascii="Calibri" w:eastAsia="Calibri" w:hAnsi="Calibri" w:cs="Calibri"/>
          <w:sz w:val="22"/>
          <w:szCs w:val="22"/>
        </w:rPr>
        <w:t>3</w:t>
      </w:r>
      <w:r w:rsidR="00813D86">
        <w:rPr>
          <w:rFonts w:ascii="Calibri" w:eastAsia="Calibri" w:hAnsi="Calibri" w:cs="Calibri"/>
          <w:sz w:val="22"/>
          <w:szCs w:val="22"/>
        </w:rPr>
        <w:t>30,7</w:t>
      </w:r>
      <w:r w:rsidRPr="00671DAB">
        <w:rPr>
          <w:rFonts w:ascii="Calibri" w:eastAsia="Calibri" w:hAnsi="Calibri" w:cs="Calibri"/>
          <w:sz w:val="22"/>
          <w:szCs w:val="22"/>
        </w:rPr>
        <w:t xml:space="preserve"> milhões, </w:t>
      </w:r>
      <w:r w:rsidR="00E55DE3" w:rsidRPr="00671DAB">
        <w:rPr>
          <w:rFonts w:ascii="Calibri" w:eastAsia="Calibri" w:hAnsi="Calibri" w:cs="Calibri"/>
          <w:sz w:val="22"/>
          <w:szCs w:val="22"/>
        </w:rPr>
        <w:t>sendo</w:t>
      </w:r>
      <w:r w:rsidRPr="00671DAB">
        <w:rPr>
          <w:rFonts w:ascii="Calibri" w:eastAsia="Calibri" w:hAnsi="Calibri" w:cs="Calibri"/>
          <w:sz w:val="22"/>
          <w:szCs w:val="22"/>
        </w:rPr>
        <w:t xml:space="preserve"> constituído essencialmente pelos empréstimos formalizados </w:t>
      </w:r>
      <w:r w:rsidR="00F57EA8" w:rsidRPr="00671DAB">
        <w:rPr>
          <w:rFonts w:ascii="Calibri" w:eastAsia="Calibri" w:hAnsi="Calibri" w:cs="Calibri"/>
          <w:sz w:val="22"/>
          <w:szCs w:val="22"/>
        </w:rPr>
        <w:t>com</w:t>
      </w:r>
      <w:r w:rsidRPr="00671DAB">
        <w:rPr>
          <w:rFonts w:ascii="Calibri" w:eastAsia="Calibri" w:hAnsi="Calibri" w:cs="Calibri"/>
          <w:sz w:val="22"/>
          <w:szCs w:val="22"/>
        </w:rPr>
        <w:t xml:space="preserve"> o Estado Português, através da </w:t>
      </w:r>
      <w:r w:rsidR="00B310BF" w:rsidRPr="00671DAB">
        <w:rPr>
          <w:rFonts w:ascii="Calibri" w:eastAsia="Calibri" w:hAnsi="Calibri" w:cs="Calibri"/>
          <w:sz w:val="22"/>
          <w:szCs w:val="22"/>
        </w:rPr>
        <w:t>Entidade</w:t>
      </w:r>
      <w:r w:rsidRPr="00671DAB">
        <w:rPr>
          <w:rFonts w:ascii="Calibri" w:eastAsia="Calibri" w:hAnsi="Calibri" w:cs="Calibri"/>
          <w:sz w:val="22"/>
          <w:szCs w:val="22"/>
        </w:rPr>
        <w:t xml:space="preserve"> do Tesouro e Finanças, num total de € 5.</w:t>
      </w:r>
      <w:r w:rsidR="0060766D" w:rsidRPr="00671DAB">
        <w:rPr>
          <w:rFonts w:ascii="Calibri" w:eastAsia="Calibri" w:hAnsi="Calibri" w:cs="Calibri"/>
          <w:sz w:val="22"/>
          <w:szCs w:val="22"/>
        </w:rPr>
        <w:t>28</w:t>
      </w:r>
      <w:r w:rsidR="00296956">
        <w:rPr>
          <w:rFonts w:ascii="Calibri" w:eastAsia="Calibri" w:hAnsi="Calibri" w:cs="Calibri"/>
          <w:sz w:val="22"/>
          <w:szCs w:val="22"/>
        </w:rPr>
        <w:t>8</w:t>
      </w:r>
      <w:r w:rsidR="0060766D" w:rsidRPr="00671DAB">
        <w:rPr>
          <w:rFonts w:ascii="Calibri" w:eastAsia="Calibri" w:hAnsi="Calibri" w:cs="Calibri"/>
          <w:sz w:val="22"/>
          <w:szCs w:val="22"/>
        </w:rPr>
        <w:t>,</w:t>
      </w:r>
      <w:r w:rsidR="00296956">
        <w:rPr>
          <w:rFonts w:ascii="Calibri" w:eastAsia="Calibri" w:hAnsi="Calibri" w:cs="Calibri"/>
          <w:sz w:val="22"/>
          <w:szCs w:val="22"/>
        </w:rPr>
        <w:t>1</w:t>
      </w:r>
      <w:r w:rsidRPr="00671DAB">
        <w:rPr>
          <w:rFonts w:ascii="Calibri" w:eastAsia="Calibri" w:hAnsi="Calibri" w:cs="Calibri"/>
          <w:sz w:val="22"/>
          <w:szCs w:val="22"/>
        </w:rPr>
        <w:t xml:space="preserve"> milhões (incluindo</w:t>
      </w:r>
      <w:r w:rsidRPr="0060766D">
        <w:rPr>
          <w:rFonts w:ascii="Calibri" w:eastAsia="Calibri" w:hAnsi="Calibri" w:cs="Calibri"/>
          <w:sz w:val="22"/>
          <w:szCs w:val="22"/>
        </w:rPr>
        <w:t xml:space="preserve"> juros). </w:t>
      </w:r>
      <w:r w:rsidRPr="0060766D">
        <w:rPr>
          <w:rFonts w:asciiTheme="minorHAnsi" w:hAnsiTheme="minorHAnsi" w:cstheme="minorHAnsi"/>
          <w:sz w:val="22"/>
          <w:szCs w:val="22"/>
        </w:rPr>
        <w:t>Em 202</w:t>
      </w:r>
      <w:r w:rsidR="0060766D" w:rsidRPr="0060766D">
        <w:rPr>
          <w:rFonts w:asciiTheme="minorHAnsi" w:hAnsiTheme="minorHAnsi" w:cstheme="minorHAnsi"/>
          <w:sz w:val="22"/>
          <w:szCs w:val="22"/>
        </w:rPr>
        <w:t>5</w:t>
      </w:r>
      <w:r w:rsidRPr="0060766D">
        <w:rPr>
          <w:rFonts w:asciiTheme="minorHAnsi" w:hAnsiTheme="minorHAnsi" w:cstheme="minorHAnsi"/>
          <w:sz w:val="22"/>
          <w:szCs w:val="22"/>
        </w:rPr>
        <w:t xml:space="preserve">, verificou-se o reembolso de € </w:t>
      </w:r>
      <w:r w:rsidR="0060766D" w:rsidRPr="0060766D">
        <w:rPr>
          <w:rFonts w:asciiTheme="minorHAnsi" w:hAnsiTheme="minorHAnsi" w:cstheme="minorHAnsi"/>
          <w:sz w:val="22"/>
          <w:szCs w:val="22"/>
        </w:rPr>
        <w:t>80</w:t>
      </w:r>
      <w:r w:rsidRPr="0060766D">
        <w:rPr>
          <w:rFonts w:asciiTheme="minorHAnsi" w:hAnsiTheme="minorHAnsi" w:cstheme="minorHAnsi"/>
          <w:sz w:val="22"/>
          <w:szCs w:val="22"/>
        </w:rPr>
        <w:t xml:space="preserve"> milhões (liquidação parcial do mútuo contraído junto da </w:t>
      </w:r>
      <w:r w:rsidR="00C23F31" w:rsidRPr="0060766D">
        <w:rPr>
          <w:rFonts w:asciiTheme="minorHAnsi" w:hAnsiTheme="minorHAnsi" w:cstheme="minorHAnsi"/>
          <w:sz w:val="22"/>
          <w:szCs w:val="22"/>
        </w:rPr>
        <w:t>E</w:t>
      </w:r>
      <w:r w:rsidRPr="0060766D">
        <w:rPr>
          <w:rFonts w:asciiTheme="minorHAnsi" w:hAnsiTheme="minorHAnsi" w:cstheme="minorHAnsi"/>
          <w:sz w:val="22"/>
          <w:szCs w:val="22"/>
        </w:rPr>
        <w:t>TF em 2012</w:t>
      </w:r>
      <w:r w:rsidR="0060766D" w:rsidRPr="0060766D">
        <w:rPr>
          <w:rFonts w:asciiTheme="minorHAnsi" w:hAnsiTheme="minorHAnsi" w:cstheme="minorHAnsi"/>
          <w:sz w:val="22"/>
          <w:szCs w:val="22"/>
        </w:rPr>
        <w:t>).</w:t>
      </w:r>
    </w:p>
    <w:p w14:paraId="33CDC51B" w14:textId="77777777" w:rsidR="00671DAB" w:rsidRDefault="00671DAB" w:rsidP="00E55DE3">
      <w:pPr>
        <w:jc w:val="both"/>
        <w:rPr>
          <w:rFonts w:asciiTheme="minorHAnsi" w:hAnsiTheme="minorHAnsi" w:cstheme="minorHAnsi"/>
          <w:sz w:val="22"/>
          <w:szCs w:val="22"/>
        </w:rPr>
      </w:pPr>
    </w:p>
    <w:p w14:paraId="01A6EE3E" w14:textId="79F9B2A4" w:rsidR="00671DAB" w:rsidRDefault="00671DAB" w:rsidP="00E55DE3">
      <w:pPr>
        <w:jc w:val="both"/>
        <w:rPr>
          <w:rFonts w:asciiTheme="minorHAnsi" w:hAnsiTheme="minorHAnsi" w:cstheme="minorHAnsi"/>
          <w:sz w:val="22"/>
          <w:szCs w:val="22"/>
        </w:rPr>
      </w:pPr>
      <w:r>
        <w:rPr>
          <w:rFonts w:asciiTheme="minorHAnsi" w:hAnsiTheme="minorHAnsi" w:cstheme="minorHAnsi"/>
          <w:sz w:val="22"/>
          <w:szCs w:val="22"/>
        </w:rPr>
        <w:t xml:space="preserve">As provisões </w:t>
      </w:r>
      <w:r w:rsidR="00272B8F">
        <w:rPr>
          <w:rFonts w:asciiTheme="minorHAnsi" w:hAnsiTheme="minorHAnsi" w:cstheme="minorHAnsi"/>
          <w:sz w:val="22"/>
          <w:szCs w:val="22"/>
        </w:rPr>
        <w:t xml:space="preserve">apresentam um aumento de </w:t>
      </w:r>
      <w:r>
        <w:rPr>
          <w:rFonts w:asciiTheme="minorHAnsi" w:hAnsiTheme="minorHAnsi" w:cstheme="minorHAnsi"/>
          <w:sz w:val="22"/>
          <w:szCs w:val="22"/>
        </w:rPr>
        <w:t>€ 15,</w:t>
      </w:r>
      <w:r w:rsidR="00AB0937">
        <w:rPr>
          <w:rFonts w:asciiTheme="minorHAnsi" w:hAnsiTheme="minorHAnsi" w:cstheme="minorHAnsi"/>
          <w:sz w:val="22"/>
          <w:szCs w:val="22"/>
        </w:rPr>
        <w:t xml:space="preserve">8 </w:t>
      </w:r>
      <w:r>
        <w:rPr>
          <w:rFonts w:asciiTheme="minorHAnsi" w:hAnsiTheme="minorHAnsi" w:cstheme="minorHAnsi"/>
          <w:sz w:val="22"/>
          <w:szCs w:val="22"/>
        </w:rPr>
        <w:t xml:space="preserve">milhões </w:t>
      </w:r>
      <w:r w:rsidR="00272B8F">
        <w:rPr>
          <w:rFonts w:asciiTheme="minorHAnsi" w:hAnsiTheme="minorHAnsi" w:cstheme="minorHAnsi"/>
          <w:sz w:val="22"/>
          <w:szCs w:val="22"/>
        </w:rPr>
        <w:t xml:space="preserve">derivado, essencialmente, do reforço da provisão para o processo judicial </w:t>
      </w:r>
      <w:proofErr w:type="spellStart"/>
      <w:r w:rsidR="00272B8F">
        <w:rPr>
          <w:rFonts w:asciiTheme="minorHAnsi" w:hAnsiTheme="minorHAnsi" w:cstheme="minorHAnsi"/>
          <w:sz w:val="22"/>
          <w:szCs w:val="22"/>
        </w:rPr>
        <w:t>Visesh</w:t>
      </w:r>
      <w:proofErr w:type="spellEnd"/>
      <w:r w:rsidR="00272B8F">
        <w:rPr>
          <w:rFonts w:asciiTheme="minorHAnsi" w:hAnsiTheme="minorHAnsi" w:cstheme="minorHAnsi"/>
          <w:sz w:val="22"/>
          <w:szCs w:val="22"/>
        </w:rPr>
        <w:t xml:space="preserve"> (8,8 milhões), da constituição de </w:t>
      </w:r>
      <w:r w:rsidR="00272B8F" w:rsidRPr="00272B8F">
        <w:rPr>
          <w:rFonts w:asciiTheme="minorHAnsi" w:hAnsiTheme="minorHAnsi" w:cstheme="minorHAnsi"/>
          <w:sz w:val="22"/>
          <w:szCs w:val="22"/>
        </w:rPr>
        <w:t>provis</w:t>
      </w:r>
      <w:r w:rsidR="00272B8F">
        <w:rPr>
          <w:rFonts w:asciiTheme="minorHAnsi" w:hAnsiTheme="minorHAnsi" w:cstheme="minorHAnsi"/>
          <w:sz w:val="22"/>
          <w:szCs w:val="22"/>
        </w:rPr>
        <w:t>ão</w:t>
      </w:r>
      <w:r w:rsidR="00272B8F" w:rsidRPr="00272B8F">
        <w:rPr>
          <w:rFonts w:asciiTheme="minorHAnsi" w:hAnsiTheme="minorHAnsi" w:cstheme="minorHAnsi"/>
          <w:sz w:val="22"/>
          <w:szCs w:val="22"/>
        </w:rPr>
        <w:t xml:space="preserve"> para o Programa de Revogações por Mútuo Acordo de 2025 (€ 9,9 milhões)</w:t>
      </w:r>
      <w:r w:rsidR="00272B8F">
        <w:rPr>
          <w:rFonts w:asciiTheme="minorHAnsi" w:hAnsiTheme="minorHAnsi" w:cstheme="minorHAnsi"/>
          <w:sz w:val="22"/>
          <w:szCs w:val="22"/>
        </w:rPr>
        <w:t xml:space="preserve">, e da reversão da provisão relativa a contingências fiscais decorrentes da liquidação da BPN </w:t>
      </w:r>
      <w:proofErr w:type="spellStart"/>
      <w:r w:rsidR="00272B8F">
        <w:rPr>
          <w:rFonts w:asciiTheme="minorHAnsi" w:hAnsiTheme="minorHAnsi" w:cstheme="minorHAnsi"/>
          <w:sz w:val="22"/>
          <w:szCs w:val="22"/>
        </w:rPr>
        <w:t>Creditus</w:t>
      </w:r>
      <w:proofErr w:type="spellEnd"/>
      <w:r w:rsidR="00272B8F">
        <w:rPr>
          <w:rFonts w:asciiTheme="minorHAnsi" w:hAnsiTheme="minorHAnsi" w:cstheme="minorHAnsi"/>
          <w:sz w:val="22"/>
          <w:szCs w:val="22"/>
        </w:rPr>
        <w:t xml:space="preserve"> Brasil (€ 2,5 milhões).</w:t>
      </w:r>
    </w:p>
    <w:p w14:paraId="523CED65" w14:textId="77777777" w:rsidR="00671DAB" w:rsidRPr="0060766D" w:rsidRDefault="00671DAB" w:rsidP="00E55DE3">
      <w:pPr>
        <w:jc w:val="both"/>
        <w:rPr>
          <w:rFonts w:asciiTheme="minorHAnsi" w:hAnsiTheme="minorHAnsi" w:cstheme="minorHAnsi"/>
          <w:sz w:val="22"/>
          <w:szCs w:val="22"/>
        </w:rPr>
      </w:pPr>
    </w:p>
    <w:p w14:paraId="5A0AE254" w14:textId="66DE313A" w:rsidR="00C93B74" w:rsidRDefault="00C93B74" w:rsidP="00C93B74">
      <w:pPr>
        <w:jc w:val="both"/>
        <w:rPr>
          <w:rFonts w:asciiTheme="minorHAnsi" w:hAnsiTheme="minorHAnsi" w:cstheme="minorHAnsi"/>
          <w:sz w:val="22"/>
          <w:szCs w:val="22"/>
        </w:rPr>
      </w:pPr>
      <w:r w:rsidRPr="0004609F">
        <w:rPr>
          <w:rFonts w:ascii="Calibri" w:eastAsia="Calibri" w:hAnsi="Calibri" w:cs="Calibri"/>
          <w:sz w:val="22"/>
          <w:szCs w:val="22"/>
        </w:rPr>
        <w:t xml:space="preserve">O Capital Próprio da </w:t>
      </w:r>
      <w:r w:rsidRPr="0004609F">
        <w:rPr>
          <w:rFonts w:ascii="Calibri" w:eastAsia="Calibri" w:hAnsi="Calibri" w:cs="Calibri"/>
          <w:smallCaps/>
          <w:sz w:val="22"/>
          <w:szCs w:val="22"/>
        </w:rPr>
        <w:t>PARVALOREM</w:t>
      </w:r>
      <w:r w:rsidRPr="0004609F">
        <w:rPr>
          <w:rFonts w:ascii="Calibri" w:eastAsia="Calibri" w:hAnsi="Calibri" w:cs="Calibri"/>
          <w:sz w:val="22"/>
          <w:szCs w:val="22"/>
        </w:rPr>
        <w:t xml:space="preserve"> </w:t>
      </w:r>
      <w:r w:rsidR="007D6A43">
        <w:rPr>
          <w:rFonts w:ascii="Calibri" w:eastAsia="Calibri" w:hAnsi="Calibri" w:cs="Calibri"/>
          <w:sz w:val="22"/>
          <w:szCs w:val="22"/>
        </w:rPr>
        <w:t>aumentou</w:t>
      </w:r>
      <w:r w:rsidRPr="0004609F">
        <w:rPr>
          <w:rFonts w:ascii="Calibri" w:eastAsia="Calibri" w:hAnsi="Calibri" w:cs="Calibri"/>
          <w:sz w:val="22"/>
          <w:szCs w:val="22"/>
        </w:rPr>
        <w:t xml:space="preserve"> € </w:t>
      </w:r>
      <w:r w:rsidR="007A7AEE">
        <w:rPr>
          <w:rFonts w:ascii="Calibri" w:eastAsia="Calibri" w:hAnsi="Calibri" w:cs="Calibri"/>
          <w:sz w:val="22"/>
          <w:szCs w:val="22"/>
        </w:rPr>
        <w:t>3</w:t>
      </w:r>
      <w:r w:rsidR="0060766D" w:rsidRPr="0004609F">
        <w:rPr>
          <w:rFonts w:ascii="Calibri" w:eastAsia="Calibri" w:hAnsi="Calibri" w:cs="Calibri"/>
          <w:sz w:val="22"/>
          <w:szCs w:val="22"/>
        </w:rPr>
        <w:t>,</w:t>
      </w:r>
      <w:r w:rsidR="00296956">
        <w:rPr>
          <w:rFonts w:ascii="Calibri" w:eastAsia="Calibri" w:hAnsi="Calibri" w:cs="Calibri"/>
          <w:sz w:val="22"/>
          <w:szCs w:val="22"/>
        </w:rPr>
        <w:t>1</w:t>
      </w:r>
      <w:r w:rsidRPr="0004609F">
        <w:rPr>
          <w:rFonts w:ascii="Calibri" w:eastAsia="Calibri" w:hAnsi="Calibri" w:cs="Calibri"/>
          <w:sz w:val="22"/>
          <w:szCs w:val="22"/>
        </w:rPr>
        <w:t xml:space="preserve"> milhões durante o ano de 202</w:t>
      </w:r>
      <w:r w:rsidR="0060766D" w:rsidRPr="0004609F">
        <w:rPr>
          <w:rFonts w:ascii="Calibri" w:eastAsia="Calibri" w:hAnsi="Calibri" w:cs="Calibri"/>
          <w:sz w:val="22"/>
          <w:szCs w:val="22"/>
        </w:rPr>
        <w:t>5</w:t>
      </w:r>
      <w:r w:rsidRPr="0004609F">
        <w:rPr>
          <w:rFonts w:ascii="Calibri" w:eastAsia="Calibri" w:hAnsi="Calibri" w:cs="Calibri"/>
          <w:sz w:val="22"/>
          <w:szCs w:val="22"/>
        </w:rPr>
        <w:t xml:space="preserve">. As principais variações foram: (i) </w:t>
      </w:r>
      <w:r w:rsidR="00D74EAD">
        <w:rPr>
          <w:rFonts w:asciiTheme="minorHAnsi" w:hAnsiTheme="minorHAnsi" w:cstheme="minorHAnsi"/>
          <w:sz w:val="22"/>
          <w:szCs w:val="22"/>
        </w:rPr>
        <w:t>prejuízo</w:t>
      </w:r>
      <w:r w:rsidRPr="0004609F">
        <w:rPr>
          <w:rFonts w:asciiTheme="minorHAnsi" w:hAnsiTheme="minorHAnsi" w:cstheme="minorHAnsi"/>
          <w:sz w:val="22"/>
          <w:szCs w:val="22"/>
        </w:rPr>
        <w:t xml:space="preserve"> do exercício de € </w:t>
      </w:r>
      <w:r w:rsidR="007D6A43">
        <w:rPr>
          <w:rFonts w:asciiTheme="minorHAnsi" w:hAnsiTheme="minorHAnsi" w:cstheme="minorHAnsi"/>
          <w:sz w:val="22"/>
          <w:szCs w:val="22"/>
        </w:rPr>
        <w:t>5</w:t>
      </w:r>
      <w:r w:rsidR="007A7AEE">
        <w:rPr>
          <w:rFonts w:asciiTheme="minorHAnsi" w:hAnsiTheme="minorHAnsi" w:cstheme="minorHAnsi"/>
          <w:sz w:val="22"/>
          <w:szCs w:val="22"/>
        </w:rPr>
        <w:t>8</w:t>
      </w:r>
      <w:r w:rsidR="007C30FC" w:rsidRPr="0004609F">
        <w:rPr>
          <w:rFonts w:asciiTheme="minorHAnsi" w:hAnsiTheme="minorHAnsi" w:cstheme="minorHAnsi"/>
          <w:sz w:val="22"/>
          <w:szCs w:val="22"/>
        </w:rPr>
        <w:t>,</w:t>
      </w:r>
      <w:r w:rsidR="00296956">
        <w:rPr>
          <w:rFonts w:asciiTheme="minorHAnsi" w:hAnsiTheme="minorHAnsi" w:cstheme="minorHAnsi"/>
          <w:sz w:val="22"/>
          <w:szCs w:val="22"/>
        </w:rPr>
        <w:t>7</w:t>
      </w:r>
      <w:r w:rsidRPr="0004609F">
        <w:rPr>
          <w:rFonts w:asciiTheme="minorHAnsi" w:hAnsiTheme="minorHAnsi" w:cstheme="minorHAnsi"/>
          <w:sz w:val="22"/>
          <w:szCs w:val="22"/>
        </w:rPr>
        <w:t xml:space="preserve"> milhões, e (</w:t>
      </w:r>
      <w:proofErr w:type="spellStart"/>
      <w:r w:rsidRPr="0004609F">
        <w:rPr>
          <w:rFonts w:asciiTheme="minorHAnsi" w:hAnsiTheme="minorHAnsi" w:cstheme="minorHAnsi"/>
          <w:sz w:val="22"/>
          <w:szCs w:val="22"/>
        </w:rPr>
        <w:t>iii</w:t>
      </w:r>
      <w:proofErr w:type="spellEnd"/>
      <w:r w:rsidRPr="0004609F">
        <w:rPr>
          <w:rFonts w:asciiTheme="minorHAnsi" w:hAnsiTheme="minorHAnsi" w:cstheme="minorHAnsi"/>
          <w:sz w:val="22"/>
          <w:szCs w:val="22"/>
        </w:rPr>
        <w:t xml:space="preserve">) aumento das Outras reservas, </w:t>
      </w:r>
      <w:r w:rsidR="00684764" w:rsidRPr="00671DAB">
        <w:rPr>
          <w:rFonts w:asciiTheme="minorHAnsi" w:hAnsiTheme="minorHAnsi" w:cstheme="minorHAnsi"/>
          <w:sz w:val="22"/>
          <w:szCs w:val="22"/>
        </w:rPr>
        <w:t xml:space="preserve">em € </w:t>
      </w:r>
      <w:r w:rsidR="0017605F" w:rsidRPr="00671DAB">
        <w:rPr>
          <w:rFonts w:asciiTheme="minorHAnsi" w:hAnsiTheme="minorHAnsi" w:cstheme="minorHAnsi"/>
          <w:sz w:val="22"/>
          <w:szCs w:val="22"/>
        </w:rPr>
        <w:t>6</w:t>
      </w:r>
      <w:r w:rsidR="0004609F" w:rsidRPr="00671DAB">
        <w:rPr>
          <w:rFonts w:asciiTheme="minorHAnsi" w:hAnsiTheme="minorHAnsi" w:cstheme="minorHAnsi"/>
          <w:sz w:val="22"/>
          <w:szCs w:val="22"/>
        </w:rPr>
        <w:t>1</w:t>
      </w:r>
      <w:r w:rsidR="0017605F" w:rsidRPr="00671DAB">
        <w:rPr>
          <w:rFonts w:asciiTheme="minorHAnsi" w:hAnsiTheme="minorHAnsi" w:cstheme="minorHAnsi"/>
          <w:sz w:val="22"/>
          <w:szCs w:val="22"/>
        </w:rPr>
        <w:t>,</w:t>
      </w:r>
      <w:r w:rsidR="0004609F" w:rsidRPr="00671DAB">
        <w:rPr>
          <w:rFonts w:asciiTheme="minorHAnsi" w:hAnsiTheme="minorHAnsi" w:cstheme="minorHAnsi"/>
          <w:sz w:val="22"/>
          <w:szCs w:val="22"/>
        </w:rPr>
        <w:t>7</w:t>
      </w:r>
      <w:r w:rsidR="00684764" w:rsidRPr="00671DAB">
        <w:rPr>
          <w:rFonts w:asciiTheme="minorHAnsi" w:hAnsiTheme="minorHAnsi" w:cstheme="minorHAnsi"/>
          <w:sz w:val="22"/>
          <w:szCs w:val="22"/>
        </w:rPr>
        <w:t xml:space="preserve"> milhões em </w:t>
      </w:r>
      <w:r w:rsidRPr="00671DAB">
        <w:rPr>
          <w:rFonts w:asciiTheme="minorHAnsi" w:hAnsiTheme="minorHAnsi" w:cstheme="minorHAnsi"/>
          <w:sz w:val="22"/>
          <w:szCs w:val="22"/>
        </w:rPr>
        <w:t>consequência do rec</w:t>
      </w:r>
      <w:r w:rsidR="005F0D46" w:rsidRPr="00671DAB">
        <w:rPr>
          <w:rFonts w:asciiTheme="minorHAnsi" w:hAnsiTheme="minorHAnsi" w:cstheme="minorHAnsi"/>
          <w:sz w:val="22"/>
          <w:szCs w:val="22"/>
        </w:rPr>
        <w:t>á</w:t>
      </w:r>
      <w:r w:rsidRPr="00671DAB">
        <w:rPr>
          <w:rFonts w:asciiTheme="minorHAnsi" w:hAnsiTheme="minorHAnsi" w:cstheme="minorHAnsi"/>
          <w:sz w:val="22"/>
          <w:szCs w:val="22"/>
        </w:rPr>
        <w:t>lculo do custo amortizado dos financiamentos da</w:t>
      </w:r>
      <w:r w:rsidRPr="0004609F">
        <w:rPr>
          <w:rFonts w:asciiTheme="minorHAnsi" w:hAnsiTheme="minorHAnsi" w:cstheme="minorHAnsi"/>
          <w:sz w:val="22"/>
          <w:szCs w:val="22"/>
        </w:rPr>
        <w:t xml:space="preserve"> </w:t>
      </w:r>
      <w:r w:rsidR="00C23F31" w:rsidRPr="0004609F">
        <w:rPr>
          <w:rFonts w:asciiTheme="minorHAnsi" w:hAnsiTheme="minorHAnsi" w:cstheme="minorHAnsi"/>
          <w:sz w:val="22"/>
          <w:szCs w:val="22"/>
        </w:rPr>
        <w:t>E</w:t>
      </w:r>
      <w:r w:rsidRPr="0004609F">
        <w:rPr>
          <w:rFonts w:asciiTheme="minorHAnsi" w:hAnsiTheme="minorHAnsi" w:cstheme="minorHAnsi"/>
          <w:sz w:val="22"/>
          <w:szCs w:val="22"/>
        </w:rPr>
        <w:t>TF</w:t>
      </w:r>
      <w:r w:rsidR="007D6A43">
        <w:rPr>
          <w:rFonts w:asciiTheme="minorHAnsi" w:hAnsiTheme="minorHAnsi" w:cstheme="minorHAnsi"/>
          <w:sz w:val="22"/>
          <w:szCs w:val="22"/>
        </w:rPr>
        <w:t xml:space="preserve">. </w:t>
      </w:r>
      <w:r w:rsidRPr="0004609F">
        <w:rPr>
          <w:rFonts w:asciiTheme="minorHAnsi" w:hAnsiTheme="minorHAnsi" w:cstheme="minorHAnsi"/>
          <w:sz w:val="22"/>
          <w:szCs w:val="22"/>
        </w:rPr>
        <w:t>No final do exercício os capitais próprios da Sociedade registavam um valor negativo de € 4.</w:t>
      </w:r>
      <w:r w:rsidR="00684764" w:rsidRPr="0004609F">
        <w:rPr>
          <w:rFonts w:asciiTheme="minorHAnsi" w:hAnsiTheme="minorHAnsi" w:cstheme="minorHAnsi"/>
          <w:sz w:val="22"/>
          <w:szCs w:val="22"/>
        </w:rPr>
        <w:t>8</w:t>
      </w:r>
      <w:r w:rsidR="007A7AEE">
        <w:rPr>
          <w:rFonts w:asciiTheme="minorHAnsi" w:hAnsiTheme="minorHAnsi" w:cstheme="minorHAnsi"/>
          <w:sz w:val="22"/>
          <w:szCs w:val="22"/>
        </w:rPr>
        <w:t>6</w:t>
      </w:r>
      <w:r w:rsidR="007655E9">
        <w:rPr>
          <w:rFonts w:asciiTheme="minorHAnsi" w:hAnsiTheme="minorHAnsi" w:cstheme="minorHAnsi"/>
          <w:sz w:val="22"/>
          <w:szCs w:val="22"/>
        </w:rPr>
        <w:t>6</w:t>
      </w:r>
      <w:r w:rsidRPr="0004609F">
        <w:rPr>
          <w:rFonts w:asciiTheme="minorHAnsi" w:hAnsiTheme="minorHAnsi" w:cstheme="minorHAnsi"/>
          <w:sz w:val="22"/>
          <w:szCs w:val="22"/>
        </w:rPr>
        <w:t>,</w:t>
      </w:r>
      <w:r w:rsidR="007655E9">
        <w:rPr>
          <w:rFonts w:asciiTheme="minorHAnsi" w:hAnsiTheme="minorHAnsi" w:cstheme="minorHAnsi"/>
          <w:sz w:val="22"/>
          <w:szCs w:val="22"/>
        </w:rPr>
        <w:t>4</w:t>
      </w:r>
      <w:r w:rsidR="007655E9" w:rsidRPr="0004609F">
        <w:rPr>
          <w:rFonts w:asciiTheme="minorHAnsi" w:hAnsiTheme="minorHAnsi" w:cstheme="minorHAnsi"/>
          <w:sz w:val="22"/>
          <w:szCs w:val="22"/>
        </w:rPr>
        <w:t xml:space="preserve"> </w:t>
      </w:r>
      <w:r w:rsidRPr="0004609F">
        <w:rPr>
          <w:rFonts w:asciiTheme="minorHAnsi" w:hAnsiTheme="minorHAnsi" w:cstheme="minorHAnsi"/>
          <w:sz w:val="22"/>
          <w:szCs w:val="22"/>
        </w:rPr>
        <w:t>milhões.</w:t>
      </w:r>
    </w:p>
    <w:p w14:paraId="6E999AC3" w14:textId="77777777" w:rsidR="00C93B74" w:rsidRDefault="00C93B74" w:rsidP="00C93B74">
      <w:pPr>
        <w:jc w:val="both"/>
        <w:rPr>
          <w:rFonts w:ascii="Calibri" w:eastAsia="Calibri" w:hAnsi="Calibri" w:cs="Calibri"/>
          <w:sz w:val="22"/>
          <w:szCs w:val="22"/>
        </w:rPr>
      </w:pPr>
    </w:p>
    <w:p w14:paraId="73F17382" w14:textId="77777777" w:rsidR="00F536EF" w:rsidRDefault="00F536EF" w:rsidP="00C93B74">
      <w:pPr>
        <w:jc w:val="both"/>
        <w:rPr>
          <w:rFonts w:ascii="Calibri" w:eastAsia="Calibri" w:hAnsi="Calibri" w:cs="Calibri"/>
          <w:sz w:val="22"/>
          <w:szCs w:val="22"/>
        </w:rPr>
      </w:pPr>
    </w:p>
    <w:p w14:paraId="00D46D3F" w14:textId="27E3C024" w:rsidR="00C93B74" w:rsidRPr="008D13D6" w:rsidRDefault="00C93B74" w:rsidP="00C93B74">
      <w:pPr>
        <w:pStyle w:val="Ttulo2"/>
        <w:tabs>
          <w:tab w:val="clear" w:pos="426"/>
          <w:tab w:val="clear" w:pos="567"/>
          <w:tab w:val="clear" w:pos="3969"/>
          <w:tab w:val="clear" w:pos="4962"/>
          <w:tab w:val="clear" w:pos="6096"/>
          <w:tab w:val="clear" w:pos="7230"/>
          <w:tab w:val="clear" w:pos="8222"/>
        </w:tabs>
        <w:ind w:left="0" w:right="-340" w:firstLine="0"/>
        <w:jc w:val="left"/>
        <w:rPr>
          <w:rFonts w:asciiTheme="minorHAnsi" w:hAnsiTheme="minorHAnsi" w:cstheme="minorHAnsi"/>
          <w:sz w:val="22"/>
          <w:szCs w:val="22"/>
        </w:rPr>
      </w:pPr>
      <w:bookmarkStart w:id="38" w:name="_Toc163060209"/>
      <w:bookmarkStart w:id="39" w:name="_Toc221618461"/>
      <w:r w:rsidRPr="008D13D6">
        <w:rPr>
          <w:rFonts w:asciiTheme="minorHAnsi" w:hAnsiTheme="minorHAnsi" w:cstheme="minorHAnsi"/>
          <w:bCs/>
          <w:iCs/>
          <w:sz w:val="22"/>
          <w:szCs w:val="22"/>
        </w:rPr>
        <w:t>1.</w:t>
      </w:r>
      <w:r w:rsidR="00E13A52" w:rsidRPr="008D13D6">
        <w:rPr>
          <w:rFonts w:asciiTheme="minorHAnsi" w:hAnsiTheme="minorHAnsi" w:cstheme="minorHAnsi"/>
          <w:bCs/>
          <w:iCs/>
          <w:sz w:val="22"/>
          <w:szCs w:val="22"/>
        </w:rPr>
        <w:t>7</w:t>
      </w:r>
      <w:r w:rsidRPr="008D13D6">
        <w:rPr>
          <w:rFonts w:asciiTheme="minorHAnsi" w:hAnsiTheme="minorHAnsi" w:cstheme="minorHAnsi"/>
          <w:bCs/>
          <w:iCs/>
          <w:sz w:val="22"/>
          <w:szCs w:val="22"/>
        </w:rPr>
        <w:t xml:space="preserve"> Fatores Relevantes Ocorridos Após o Termo de Exercício</w:t>
      </w:r>
      <w:bookmarkEnd w:id="38"/>
      <w:bookmarkEnd w:id="39"/>
    </w:p>
    <w:p w14:paraId="706FBD5C" w14:textId="77777777" w:rsidR="00C93B74" w:rsidRPr="008D13D6" w:rsidRDefault="00C93B74" w:rsidP="00152AC0">
      <w:pPr>
        <w:jc w:val="both"/>
        <w:rPr>
          <w:rFonts w:ascii="Calibri" w:eastAsia="Calibri" w:hAnsi="Calibri" w:cs="Calibri"/>
          <w:sz w:val="22"/>
          <w:szCs w:val="22"/>
        </w:rPr>
      </w:pPr>
    </w:p>
    <w:p w14:paraId="6FC7BFD4" w14:textId="77777777" w:rsidR="00152AC0" w:rsidRPr="00B83E88" w:rsidRDefault="00152AC0" w:rsidP="00152AC0">
      <w:pPr>
        <w:jc w:val="both"/>
        <w:rPr>
          <w:rFonts w:ascii="Calibri" w:eastAsia="Calibri" w:hAnsi="Calibri" w:cs="Calibri"/>
          <w:sz w:val="22"/>
          <w:szCs w:val="22"/>
        </w:rPr>
      </w:pPr>
      <w:r w:rsidRPr="008D13D6">
        <w:rPr>
          <w:rFonts w:ascii="Calibri" w:eastAsia="Calibri" w:hAnsi="Calibri" w:cs="Calibri"/>
          <w:sz w:val="22"/>
          <w:szCs w:val="22"/>
        </w:rPr>
        <w:t>Após o fecho de contas não ocorreram quaisquer factos relevantes que possam alterar os pressupostos tomados como base para a produção deste Relatório.</w:t>
      </w:r>
    </w:p>
    <w:p w14:paraId="5D171EC7" w14:textId="77777777" w:rsidR="00152AC0" w:rsidRPr="00B83E88" w:rsidRDefault="00152AC0" w:rsidP="00152AC0">
      <w:pPr>
        <w:jc w:val="both"/>
        <w:rPr>
          <w:rFonts w:ascii="Calibri" w:eastAsia="Calibri" w:hAnsi="Calibri" w:cs="Calibri"/>
          <w:sz w:val="22"/>
          <w:szCs w:val="22"/>
        </w:rPr>
      </w:pPr>
    </w:p>
    <w:p w14:paraId="58D73A7D" w14:textId="77777777" w:rsidR="00152AC0" w:rsidRDefault="00152AC0" w:rsidP="00C93B74">
      <w:pPr>
        <w:pStyle w:val="Ttulo2"/>
        <w:tabs>
          <w:tab w:val="clear" w:pos="426"/>
          <w:tab w:val="clear" w:pos="567"/>
          <w:tab w:val="clear" w:pos="3969"/>
          <w:tab w:val="clear" w:pos="4962"/>
          <w:tab w:val="clear" w:pos="6096"/>
          <w:tab w:val="clear" w:pos="7230"/>
          <w:tab w:val="clear" w:pos="8222"/>
        </w:tabs>
        <w:ind w:left="0" w:right="-340" w:firstLine="0"/>
        <w:jc w:val="left"/>
        <w:rPr>
          <w:rFonts w:asciiTheme="minorHAnsi" w:hAnsiTheme="minorHAnsi" w:cstheme="minorHAnsi"/>
          <w:bCs/>
          <w:iCs/>
          <w:sz w:val="22"/>
          <w:szCs w:val="22"/>
        </w:rPr>
      </w:pPr>
      <w:bookmarkStart w:id="40" w:name="_Toc163060210"/>
    </w:p>
    <w:p w14:paraId="60EA5AC6" w14:textId="7D505103" w:rsidR="00C04DC9" w:rsidRDefault="00C04DC9">
      <w:pPr>
        <w:rPr>
          <w:rFonts w:asciiTheme="minorHAnsi" w:hAnsiTheme="minorHAnsi" w:cstheme="minorHAnsi"/>
          <w:b/>
          <w:bCs/>
          <w:iCs/>
          <w:sz w:val="22"/>
          <w:szCs w:val="22"/>
          <w:lang w:eastAsia="en-US"/>
        </w:rPr>
      </w:pPr>
    </w:p>
    <w:p w14:paraId="74D3B0E8" w14:textId="77777777" w:rsidR="00F00873" w:rsidRDefault="00F00873">
      <w:pPr>
        <w:rPr>
          <w:rFonts w:asciiTheme="minorHAnsi" w:hAnsiTheme="minorHAnsi" w:cstheme="minorHAnsi"/>
          <w:b/>
          <w:bCs/>
          <w:iCs/>
          <w:sz w:val="22"/>
          <w:szCs w:val="22"/>
          <w:lang w:eastAsia="en-US"/>
        </w:rPr>
      </w:pPr>
      <w:r>
        <w:rPr>
          <w:rFonts w:asciiTheme="minorHAnsi" w:hAnsiTheme="minorHAnsi" w:cstheme="minorHAnsi"/>
          <w:bCs/>
          <w:iCs/>
          <w:sz w:val="22"/>
          <w:szCs w:val="22"/>
        </w:rPr>
        <w:br w:type="page"/>
      </w:r>
    </w:p>
    <w:p w14:paraId="45AE4280" w14:textId="5AE741C9" w:rsidR="00C93B74" w:rsidRPr="00E41B0E" w:rsidRDefault="00C93B74" w:rsidP="00C93B74">
      <w:pPr>
        <w:pStyle w:val="Ttulo2"/>
        <w:tabs>
          <w:tab w:val="clear" w:pos="426"/>
          <w:tab w:val="clear" w:pos="567"/>
          <w:tab w:val="clear" w:pos="3969"/>
          <w:tab w:val="clear" w:pos="4962"/>
          <w:tab w:val="clear" w:pos="6096"/>
          <w:tab w:val="clear" w:pos="7230"/>
          <w:tab w:val="clear" w:pos="8222"/>
        </w:tabs>
        <w:ind w:left="0" w:right="-340" w:firstLine="0"/>
        <w:jc w:val="left"/>
        <w:rPr>
          <w:rFonts w:asciiTheme="minorHAnsi" w:hAnsiTheme="minorHAnsi" w:cstheme="minorHAnsi"/>
          <w:sz w:val="22"/>
          <w:szCs w:val="22"/>
        </w:rPr>
      </w:pPr>
      <w:bookmarkStart w:id="41" w:name="_Toc221618462"/>
      <w:r w:rsidRPr="00E41B0E">
        <w:rPr>
          <w:rFonts w:asciiTheme="minorHAnsi" w:hAnsiTheme="minorHAnsi" w:cstheme="minorHAnsi"/>
          <w:bCs/>
          <w:iCs/>
          <w:sz w:val="22"/>
          <w:szCs w:val="22"/>
        </w:rPr>
        <w:lastRenderedPageBreak/>
        <w:t>1.</w:t>
      </w:r>
      <w:r w:rsidR="00E13A52">
        <w:rPr>
          <w:rFonts w:asciiTheme="minorHAnsi" w:hAnsiTheme="minorHAnsi" w:cstheme="minorHAnsi"/>
          <w:bCs/>
          <w:iCs/>
          <w:sz w:val="22"/>
          <w:szCs w:val="22"/>
        </w:rPr>
        <w:t>8</w:t>
      </w:r>
      <w:r w:rsidRPr="00E41B0E">
        <w:rPr>
          <w:rFonts w:asciiTheme="minorHAnsi" w:hAnsiTheme="minorHAnsi" w:cstheme="minorHAnsi"/>
          <w:bCs/>
          <w:iCs/>
          <w:sz w:val="22"/>
          <w:szCs w:val="22"/>
        </w:rPr>
        <w:t xml:space="preserve"> Gestão do Capital e Proposta de Aplicação de Resultados</w:t>
      </w:r>
      <w:bookmarkEnd w:id="40"/>
      <w:bookmarkEnd w:id="41"/>
    </w:p>
    <w:p w14:paraId="493A05C9" w14:textId="77777777" w:rsidR="00C93B74" w:rsidRPr="00E41B0E" w:rsidRDefault="00C93B74" w:rsidP="00C93B74">
      <w:pPr>
        <w:rPr>
          <w:rFonts w:asciiTheme="minorHAnsi" w:hAnsiTheme="minorHAnsi" w:cstheme="minorHAnsi"/>
          <w:sz w:val="22"/>
          <w:szCs w:val="22"/>
          <w:lang w:eastAsia="en-US"/>
        </w:rPr>
      </w:pPr>
    </w:p>
    <w:p w14:paraId="51FCCF54" w14:textId="327BFB6F" w:rsidR="00C93B74" w:rsidRPr="00E41B0E" w:rsidRDefault="00C93B74" w:rsidP="00C93B74">
      <w:pPr>
        <w:jc w:val="both"/>
        <w:rPr>
          <w:rFonts w:asciiTheme="minorHAnsi" w:hAnsiTheme="minorHAnsi" w:cstheme="minorHAnsi"/>
          <w:sz w:val="22"/>
          <w:szCs w:val="22"/>
        </w:rPr>
      </w:pPr>
      <w:r w:rsidRPr="00E41B0E">
        <w:rPr>
          <w:rFonts w:asciiTheme="minorHAnsi" w:hAnsiTheme="minorHAnsi" w:cstheme="minorHAnsi"/>
          <w:sz w:val="22"/>
          <w:szCs w:val="22"/>
        </w:rPr>
        <w:t>As demonstrações financeiras da Sociedade, em 31 de dezembro de 202</w:t>
      </w:r>
      <w:r w:rsidR="006B648A">
        <w:rPr>
          <w:rFonts w:asciiTheme="minorHAnsi" w:hAnsiTheme="minorHAnsi" w:cstheme="minorHAnsi"/>
          <w:sz w:val="22"/>
          <w:szCs w:val="22"/>
        </w:rPr>
        <w:t>5</w:t>
      </w:r>
      <w:r w:rsidRPr="00E41B0E">
        <w:rPr>
          <w:rFonts w:asciiTheme="minorHAnsi" w:hAnsiTheme="minorHAnsi" w:cstheme="minorHAnsi"/>
          <w:sz w:val="22"/>
          <w:szCs w:val="22"/>
        </w:rPr>
        <w:t xml:space="preserve">, apresentam capitais </w:t>
      </w:r>
      <w:r w:rsidRPr="00A5307C">
        <w:rPr>
          <w:rFonts w:asciiTheme="minorHAnsi" w:hAnsiTheme="minorHAnsi" w:cstheme="minorHAnsi"/>
          <w:sz w:val="22"/>
          <w:szCs w:val="22"/>
        </w:rPr>
        <w:t>próprios negativos de </w:t>
      </w:r>
      <w:r w:rsidRPr="00C04DC9">
        <w:rPr>
          <w:rFonts w:asciiTheme="minorHAnsi" w:hAnsiTheme="minorHAnsi" w:cstheme="minorHAnsi"/>
          <w:sz w:val="22"/>
          <w:szCs w:val="22"/>
        </w:rPr>
        <w:t xml:space="preserve">€ </w:t>
      </w:r>
      <w:r w:rsidR="0081585B" w:rsidRPr="0081585B">
        <w:rPr>
          <w:rFonts w:asciiTheme="minorHAnsi" w:hAnsiTheme="minorHAnsi" w:cstheme="minorHAnsi"/>
          <w:sz w:val="22"/>
          <w:szCs w:val="22"/>
        </w:rPr>
        <w:t>4</w:t>
      </w:r>
      <w:r w:rsidR="0081585B">
        <w:rPr>
          <w:rFonts w:asciiTheme="minorHAnsi" w:hAnsiTheme="minorHAnsi" w:cstheme="minorHAnsi"/>
          <w:sz w:val="22"/>
          <w:szCs w:val="22"/>
        </w:rPr>
        <w:t>.</w:t>
      </w:r>
      <w:r w:rsidR="0081585B" w:rsidRPr="0081585B">
        <w:rPr>
          <w:rFonts w:asciiTheme="minorHAnsi" w:hAnsiTheme="minorHAnsi" w:cstheme="minorHAnsi"/>
          <w:sz w:val="22"/>
          <w:szCs w:val="22"/>
        </w:rPr>
        <w:t>8</w:t>
      </w:r>
      <w:r w:rsidR="00296956">
        <w:rPr>
          <w:rFonts w:asciiTheme="minorHAnsi" w:hAnsiTheme="minorHAnsi" w:cstheme="minorHAnsi"/>
          <w:sz w:val="22"/>
          <w:szCs w:val="22"/>
        </w:rPr>
        <w:t>66</w:t>
      </w:r>
      <w:r w:rsidR="0081585B">
        <w:rPr>
          <w:rFonts w:asciiTheme="minorHAnsi" w:hAnsiTheme="minorHAnsi" w:cstheme="minorHAnsi"/>
          <w:sz w:val="22"/>
          <w:szCs w:val="22"/>
        </w:rPr>
        <w:t>.</w:t>
      </w:r>
      <w:r w:rsidR="00296956">
        <w:rPr>
          <w:rFonts w:asciiTheme="minorHAnsi" w:hAnsiTheme="minorHAnsi" w:cstheme="minorHAnsi"/>
          <w:sz w:val="22"/>
          <w:szCs w:val="22"/>
        </w:rPr>
        <w:t>37</w:t>
      </w:r>
      <w:r w:rsidR="0081585B" w:rsidRPr="0081585B">
        <w:rPr>
          <w:rFonts w:asciiTheme="minorHAnsi" w:hAnsiTheme="minorHAnsi" w:cstheme="minorHAnsi"/>
          <w:sz w:val="22"/>
          <w:szCs w:val="22"/>
        </w:rPr>
        <w:t>7</w:t>
      </w:r>
      <w:r w:rsidRPr="00C04DC9">
        <w:rPr>
          <w:rFonts w:asciiTheme="minorHAnsi" w:hAnsiTheme="minorHAnsi" w:cstheme="minorHAnsi"/>
          <w:sz w:val="22"/>
          <w:szCs w:val="22"/>
        </w:rPr>
        <w:t xml:space="preserve"> milhares</w:t>
      </w:r>
      <w:r w:rsidRPr="00A5307C">
        <w:rPr>
          <w:rFonts w:asciiTheme="minorHAnsi" w:hAnsiTheme="minorHAnsi" w:cstheme="minorHAnsi"/>
          <w:sz w:val="22"/>
          <w:szCs w:val="22"/>
        </w:rPr>
        <w:t>, o que significa que se encontra perdida mais de</w:t>
      </w:r>
      <w:r w:rsidRPr="00E41B0E">
        <w:rPr>
          <w:rFonts w:asciiTheme="minorHAnsi" w:hAnsiTheme="minorHAnsi" w:cstheme="minorHAnsi"/>
          <w:sz w:val="22"/>
          <w:szCs w:val="22"/>
        </w:rPr>
        <w:t xml:space="preserve"> metade do capital social. Assim, nos termos do </w:t>
      </w:r>
      <w:r w:rsidRPr="008D13D6">
        <w:rPr>
          <w:rFonts w:asciiTheme="minorHAnsi" w:hAnsiTheme="minorHAnsi" w:cstheme="minorHAnsi"/>
          <w:sz w:val="22"/>
          <w:szCs w:val="22"/>
        </w:rPr>
        <w:t>artigo 35.º do Código das Sociedades Comerciais, incumbe ao Conselho de Administração informar o acionista único daquela situação, para que este possa tomar as medidas julgadas convenientes, designadamente as previstas no referido dispositivo legal. O Estado Português é o</w:t>
      </w:r>
      <w:r w:rsidRPr="00E41B0E">
        <w:rPr>
          <w:rFonts w:asciiTheme="minorHAnsi" w:hAnsiTheme="minorHAnsi" w:cstheme="minorHAnsi"/>
          <w:sz w:val="22"/>
          <w:szCs w:val="22"/>
        </w:rPr>
        <w:t xml:space="preserve"> acionista único da PARVALOREM, visto que, na sequência do Despacho n.º 825/11–SETF, de 3 de junho de 2011, e através da</w:t>
      </w:r>
      <w:r w:rsidR="00F00873">
        <w:rPr>
          <w:rFonts w:asciiTheme="minorHAnsi" w:hAnsiTheme="minorHAnsi" w:cstheme="minorHAnsi"/>
          <w:sz w:val="22"/>
          <w:szCs w:val="22"/>
        </w:rPr>
        <w:t xml:space="preserve"> ETF</w:t>
      </w:r>
      <w:r w:rsidRPr="00E41B0E">
        <w:rPr>
          <w:rFonts w:asciiTheme="minorHAnsi" w:hAnsiTheme="minorHAnsi" w:cstheme="minorHAnsi"/>
          <w:sz w:val="22"/>
          <w:szCs w:val="22"/>
        </w:rPr>
        <w:t>, adquiriu ao BPN-Banco Português de Negócios, S.A., no âmbito do processo de reprivatização daquele Banco, a totalidade das ações representativas do capital social da Sociedade. A operação concretizou-se em 14 de fevereiro de 2012, data a partir da qual o Estado Português assumiu diretamente todos os correspondentes direitos e obrigações.</w:t>
      </w:r>
    </w:p>
    <w:p w14:paraId="6AAAA527" w14:textId="77777777" w:rsidR="00C93B74" w:rsidRPr="00CB1B6E" w:rsidRDefault="00C93B74" w:rsidP="00C93B74">
      <w:pPr>
        <w:pStyle w:val="xmsonormal"/>
        <w:shd w:val="clear" w:color="auto" w:fill="FFFFFF"/>
        <w:spacing w:before="0" w:beforeAutospacing="0" w:after="0" w:afterAutospacing="0" w:line="233" w:lineRule="atLeast"/>
        <w:jc w:val="both"/>
        <w:rPr>
          <w:rFonts w:asciiTheme="minorHAnsi" w:hAnsiTheme="minorHAnsi" w:cstheme="minorHAnsi"/>
          <w:sz w:val="22"/>
          <w:szCs w:val="22"/>
          <w:lang w:val="pt-PT" w:eastAsia="pt-PT"/>
        </w:rPr>
      </w:pPr>
      <w:r w:rsidRPr="00CB1B6E">
        <w:rPr>
          <w:rFonts w:asciiTheme="minorHAnsi" w:hAnsiTheme="minorHAnsi" w:cstheme="minorHAnsi"/>
          <w:sz w:val="22"/>
          <w:szCs w:val="22"/>
          <w:lang w:val="pt-PT" w:eastAsia="pt-PT"/>
        </w:rPr>
        <w:t> </w:t>
      </w:r>
    </w:p>
    <w:p w14:paraId="2F8EA8A1" w14:textId="03F67F07" w:rsidR="00C93B74" w:rsidRPr="00CB1B6E" w:rsidRDefault="00C93B74" w:rsidP="00C93B74">
      <w:pPr>
        <w:pStyle w:val="xmsonormal"/>
        <w:shd w:val="clear" w:color="auto" w:fill="FFFFFF"/>
        <w:spacing w:before="0" w:beforeAutospacing="0" w:after="0" w:afterAutospacing="0" w:line="233" w:lineRule="atLeast"/>
        <w:jc w:val="both"/>
        <w:rPr>
          <w:rFonts w:asciiTheme="minorHAnsi" w:hAnsiTheme="minorHAnsi" w:cstheme="minorHAnsi"/>
          <w:sz w:val="22"/>
          <w:szCs w:val="22"/>
          <w:lang w:val="pt-PT" w:eastAsia="pt-PT"/>
        </w:rPr>
      </w:pPr>
      <w:r w:rsidRPr="00CB1B6E">
        <w:rPr>
          <w:rFonts w:asciiTheme="minorHAnsi" w:hAnsiTheme="minorHAnsi" w:cstheme="minorHAnsi"/>
          <w:sz w:val="22"/>
          <w:szCs w:val="22"/>
          <w:lang w:val="pt-PT" w:eastAsia="pt-PT"/>
        </w:rPr>
        <w:t xml:space="preserve">Nos termos da alínea f) do n.º 5 do artigo 66.º do Código das Sociedades Comerciais, propõe-se que o Resultado Líquido do Exercício, </w:t>
      </w:r>
      <w:r w:rsidR="00B77435">
        <w:rPr>
          <w:rFonts w:asciiTheme="minorHAnsi" w:hAnsiTheme="minorHAnsi" w:cstheme="minorHAnsi"/>
          <w:sz w:val="22"/>
          <w:szCs w:val="22"/>
          <w:lang w:val="pt-PT" w:eastAsia="pt-PT"/>
        </w:rPr>
        <w:t>negativo</w:t>
      </w:r>
      <w:r w:rsidRPr="00CB1B6E">
        <w:rPr>
          <w:rFonts w:asciiTheme="minorHAnsi" w:hAnsiTheme="minorHAnsi" w:cstheme="minorHAnsi"/>
          <w:sz w:val="22"/>
          <w:szCs w:val="22"/>
          <w:lang w:val="pt-PT" w:eastAsia="pt-PT"/>
        </w:rPr>
        <w:t xml:space="preserve"> em </w:t>
      </w:r>
      <w:bookmarkStart w:id="42" w:name="_Hlk108443174"/>
      <w:r w:rsidRPr="00CB1B6E">
        <w:rPr>
          <w:rFonts w:asciiTheme="minorHAnsi" w:hAnsiTheme="minorHAnsi" w:cstheme="minorHAnsi"/>
          <w:sz w:val="22"/>
          <w:szCs w:val="22"/>
          <w:lang w:val="pt-PT" w:eastAsia="pt-PT"/>
        </w:rPr>
        <w:t>€</w:t>
      </w:r>
      <w:bookmarkEnd w:id="42"/>
      <w:r w:rsidR="00B4166D" w:rsidRPr="00CB1B6E">
        <w:rPr>
          <w:rFonts w:asciiTheme="minorHAnsi" w:hAnsiTheme="minorHAnsi" w:cstheme="minorHAnsi"/>
          <w:sz w:val="22"/>
          <w:szCs w:val="22"/>
          <w:lang w:val="pt-PT" w:eastAsia="pt-PT"/>
        </w:rPr>
        <w:t xml:space="preserve"> </w:t>
      </w:r>
      <w:r w:rsidR="00296956" w:rsidRPr="00296956">
        <w:rPr>
          <w:rFonts w:asciiTheme="minorHAnsi" w:hAnsiTheme="minorHAnsi" w:cstheme="minorHAnsi"/>
          <w:sz w:val="22"/>
          <w:szCs w:val="22"/>
          <w:lang w:val="pt-PT" w:eastAsia="pt-PT"/>
        </w:rPr>
        <w:t>58</w:t>
      </w:r>
      <w:r w:rsidR="00296956">
        <w:rPr>
          <w:rFonts w:asciiTheme="minorHAnsi" w:hAnsiTheme="minorHAnsi" w:cstheme="minorHAnsi"/>
          <w:sz w:val="22"/>
          <w:szCs w:val="22"/>
          <w:lang w:val="pt-PT" w:eastAsia="pt-PT"/>
        </w:rPr>
        <w:t>.</w:t>
      </w:r>
      <w:r w:rsidR="00296956" w:rsidRPr="00296956">
        <w:rPr>
          <w:rFonts w:asciiTheme="minorHAnsi" w:hAnsiTheme="minorHAnsi" w:cstheme="minorHAnsi"/>
          <w:sz w:val="22"/>
          <w:szCs w:val="22"/>
          <w:lang w:val="pt-PT" w:eastAsia="pt-PT"/>
        </w:rPr>
        <w:t>676</w:t>
      </w:r>
      <w:r w:rsidR="00296956">
        <w:rPr>
          <w:rFonts w:asciiTheme="minorHAnsi" w:hAnsiTheme="minorHAnsi" w:cstheme="minorHAnsi"/>
          <w:sz w:val="22"/>
          <w:szCs w:val="22"/>
          <w:lang w:val="pt-PT" w:eastAsia="pt-PT"/>
        </w:rPr>
        <w:t>.</w:t>
      </w:r>
      <w:r w:rsidR="00296956" w:rsidRPr="00296956">
        <w:rPr>
          <w:rFonts w:asciiTheme="minorHAnsi" w:hAnsiTheme="minorHAnsi" w:cstheme="minorHAnsi"/>
          <w:sz w:val="22"/>
          <w:szCs w:val="22"/>
          <w:lang w:val="pt-PT" w:eastAsia="pt-PT"/>
        </w:rPr>
        <w:t>718,88</w:t>
      </w:r>
      <w:r w:rsidR="00B4166D" w:rsidRPr="00CB1B6E">
        <w:rPr>
          <w:rFonts w:asciiTheme="minorHAnsi" w:hAnsiTheme="minorHAnsi" w:cstheme="minorHAnsi"/>
          <w:sz w:val="22"/>
          <w:szCs w:val="22"/>
          <w:lang w:val="pt-PT" w:eastAsia="pt-PT"/>
        </w:rPr>
        <w:t>,</w:t>
      </w:r>
      <w:r w:rsidRPr="00CB1B6E">
        <w:rPr>
          <w:rFonts w:asciiTheme="minorHAnsi" w:hAnsiTheme="minorHAnsi" w:cstheme="minorHAnsi"/>
          <w:sz w:val="22"/>
          <w:szCs w:val="22"/>
          <w:lang w:val="pt-PT" w:eastAsia="pt-PT"/>
        </w:rPr>
        <w:t xml:space="preserve"> seja totalmente transferido para Resultados Transitados.</w:t>
      </w:r>
    </w:p>
    <w:p w14:paraId="0EE7EBB4" w14:textId="77777777" w:rsidR="00C93B74" w:rsidRPr="00E41B0E" w:rsidRDefault="00C93B74" w:rsidP="00C93B74">
      <w:pPr>
        <w:rPr>
          <w:rFonts w:asciiTheme="minorHAnsi" w:hAnsiTheme="minorHAnsi" w:cstheme="minorHAnsi"/>
          <w:sz w:val="22"/>
          <w:szCs w:val="22"/>
          <w:lang w:eastAsia="en-US"/>
        </w:rPr>
      </w:pPr>
    </w:p>
    <w:p w14:paraId="724A093E" w14:textId="38036A89" w:rsidR="00C93B74" w:rsidRPr="00E41B0E" w:rsidRDefault="00C93B74" w:rsidP="00C93B74">
      <w:pPr>
        <w:pStyle w:val="CorpodotextoMP"/>
        <w:rPr>
          <w:rFonts w:ascii="Calibri" w:hAnsi="Calibri" w:cs="Calibri"/>
          <w:sz w:val="22"/>
          <w:szCs w:val="22"/>
          <w:shd w:val="clear" w:color="auto" w:fill="FFFFFF"/>
        </w:rPr>
      </w:pPr>
      <w:r w:rsidRPr="00517F2E">
        <w:rPr>
          <w:rFonts w:ascii="Calibri" w:hAnsi="Calibri" w:cs="Calibri"/>
          <w:sz w:val="22"/>
          <w:szCs w:val="22"/>
          <w:shd w:val="clear" w:color="auto" w:fill="FFFFFF"/>
        </w:rPr>
        <w:t>Miraflores (Algés-</w:t>
      </w:r>
      <w:r w:rsidRPr="008D13D6">
        <w:rPr>
          <w:rFonts w:ascii="Calibri" w:hAnsi="Calibri" w:cs="Calibri"/>
          <w:sz w:val="22"/>
          <w:szCs w:val="22"/>
          <w:shd w:val="clear" w:color="auto" w:fill="FFFFFF"/>
        </w:rPr>
        <w:t xml:space="preserve">Oeiras), </w:t>
      </w:r>
      <w:r w:rsidR="008D13D6" w:rsidRPr="008D13D6">
        <w:rPr>
          <w:rFonts w:ascii="Calibri" w:hAnsi="Calibri" w:cs="Calibri"/>
          <w:sz w:val="22"/>
          <w:szCs w:val="22"/>
          <w:shd w:val="clear" w:color="auto" w:fill="FFFFFF"/>
        </w:rPr>
        <w:t>9</w:t>
      </w:r>
      <w:r w:rsidRPr="008D13D6">
        <w:rPr>
          <w:rFonts w:ascii="Calibri" w:eastAsia="Calibri" w:hAnsi="Calibri" w:cs="Calibri"/>
          <w:sz w:val="22"/>
          <w:szCs w:val="22"/>
          <w:lang w:eastAsia="pt-PT"/>
        </w:rPr>
        <w:t xml:space="preserve"> </w:t>
      </w:r>
      <w:r w:rsidRPr="008D13D6">
        <w:rPr>
          <w:rFonts w:ascii="Calibri" w:hAnsi="Calibri" w:cs="Calibri"/>
          <w:sz w:val="22"/>
          <w:szCs w:val="22"/>
          <w:shd w:val="clear" w:color="auto" w:fill="FFFFFF"/>
        </w:rPr>
        <w:t xml:space="preserve">de </w:t>
      </w:r>
      <w:r w:rsidR="009351B8" w:rsidRPr="008D13D6">
        <w:rPr>
          <w:rFonts w:ascii="Calibri" w:hAnsi="Calibri" w:cs="Calibri"/>
          <w:sz w:val="22"/>
          <w:szCs w:val="22"/>
          <w:shd w:val="clear" w:color="auto" w:fill="FFFFFF"/>
        </w:rPr>
        <w:t>março</w:t>
      </w:r>
      <w:r w:rsidRPr="008D13D6">
        <w:rPr>
          <w:rFonts w:ascii="Calibri" w:hAnsi="Calibri" w:cs="Calibri"/>
          <w:sz w:val="22"/>
          <w:szCs w:val="22"/>
          <w:shd w:val="clear" w:color="auto" w:fill="FFFFFF"/>
        </w:rPr>
        <w:t xml:space="preserve"> de 202</w:t>
      </w:r>
      <w:r w:rsidR="006B648A" w:rsidRPr="008D13D6">
        <w:rPr>
          <w:rFonts w:ascii="Calibri" w:hAnsi="Calibri" w:cs="Calibri"/>
          <w:sz w:val="22"/>
          <w:szCs w:val="22"/>
          <w:shd w:val="clear" w:color="auto" w:fill="FFFFFF"/>
        </w:rPr>
        <w:t>6</w:t>
      </w:r>
    </w:p>
    <w:p w14:paraId="1D5179D9" w14:textId="77777777" w:rsidR="00C93B74" w:rsidRDefault="00C93B74" w:rsidP="00C93B74">
      <w:pPr>
        <w:pStyle w:val="CorpodotextoMP"/>
        <w:rPr>
          <w:rFonts w:asciiTheme="minorHAnsi" w:hAnsiTheme="minorHAnsi" w:cstheme="minorHAnsi"/>
          <w:sz w:val="22"/>
          <w:szCs w:val="22"/>
        </w:rPr>
      </w:pPr>
    </w:p>
    <w:p w14:paraId="1080B959" w14:textId="77777777" w:rsidR="008D13D6" w:rsidRPr="00E41B0E" w:rsidRDefault="008D13D6" w:rsidP="00C93B74">
      <w:pPr>
        <w:pStyle w:val="CorpodotextoMP"/>
        <w:rPr>
          <w:rFonts w:asciiTheme="minorHAnsi" w:hAnsiTheme="minorHAnsi" w:cstheme="minorHAnsi"/>
          <w:sz w:val="22"/>
          <w:szCs w:val="22"/>
        </w:rPr>
      </w:pPr>
    </w:p>
    <w:p w14:paraId="3DF9448B" w14:textId="129CCFAE" w:rsidR="009864B4" w:rsidRPr="00A17270" w:rsidRDefault="009864B4" w:rsidP="009864B4">
      <w:pPr>
        <w:pStyle w:val="efcorpodetextoRGS"/>
        <w:jc w:val="center"/>
      </w:pPr>
      <w:r w:rsidRPr="008D13D6">
        <w:t>O Conselho de Administração</w:t>
      </w:r>
    </w:p>
    <w:p w14:paraId="2772CFB6" w14:textId="77777777" w:rsidR="00C93B74" w:rsidRPr="009A4D5D" w:rsidRDefault="00C93B74" w:rsidP="00C93B74">
      <w:pPr>
        <w:pStyle w:val="CorpodotextoMP"/>
        <w:spacing w:after="0"/>
        <w:rPr>
          <w:rFonts w:asciiTheme="minorHAnsi" w:hAnsiTheme="minorHAnsi" w:cstheme="minorHAnsi"/>
          <w:sz w:val="22"/>
          <w:szCs w:val="22"/>
        </w:rPr>
      </w:pPr>
    </w:p>
    <w:p w14:paraId="7A9748EA" w14:textId="77777777" w:rsidR="00C93B74" w:rsidRDefault="00C93B74" w:rsidP="00C93B74">
      <w:pPr>
        <w:pStyle w:val="CorpodotextoMP"/>
        <w:spacing w:after="0"/>
        <w:rPr>
          <w:rFonts w:asciiTheme="minorHAnsi" w:hAnsiTheme="minorHAnsi" w:cstheme="minorHAnsi"/>
          <w:sz w:val="22"/>
          <w:szCs w:val="22"/>
        </w:rPr>
      </w:pPr>
    </w:p>
    <w:p w14:paraId="18D52402" w14:textId="77777777" w:rsidR="00C93B74" w:rsidRPr="009A4D5D" w:rsidRDefault="00C93B74" w:rsidP="00C93B74">
      <w:pPr>
        <w:pStyle w:val="CorpodotextoMP"/>
        <w:spacing w:after="0"/>
        <w:rPr>
          <w:rFonts w:asciiTheme="minorHAnsi" w:hAnsiTheme="minorHAnsi" w:cstheme="minorHAnsi"/>
          <w:sz w:val="22"/>
          <w:szCs w:val="22"/>
        </w:rPr>
      </w:pPr>
    </w:p>
    <w:p w14:paraId="43D322E3" w14:textId="77777777" w:rsidR="00C93B74" w:rsidRPr="003A0E56" w:rsidRDefault="00C93B74" w:rsidP="00C93B74">
      <w:pPr>
        <w:pStyle w:val="CorpodotextoMP"/>
        <w:jc w:val="center"/>
        <w:rPr>
          <w:rFonts w:asciiTheme="minorHAnsi" w:hAnsiTheme="minorHAnsi" w:cstheme="minorHAnsi"/>
          <w:sz w:val="22"/>
          <w:szCs w:val="22"/>
        </w:rPr>
      </w:pPr>
      <w:r w:rsidRPr="003A0E56">
        <w:rPr>
          <w:rFonts w:asciiTheme="minorHAnsi" w:hAnsiTheme="minorHAnsi" w:cstheme="minorHAnsi"/>
          <w:sz w:val="22"/>
          <w:szCs w:val="22"/>
        </w:rPr>
        <w:t>Presidente</w:t>
      </w:r>
    </w:p>
    <w:p w14:paraId="15EE4738" w14:textId="77777777" w:rsidR="00C93B74" w:rsidRPr="003A0E56" w:rsidRDefault="00C93B74" w:rsidP="00C93B74">
      <w:pPr>
        <w:pStyle w:val="CorpodotextoMP"/>
        <w:spacing w:after="0"/>
        <w:jc w:val="center"/>
        <w:rPr>
          <w:rFonts w:asciiTheme="minorHAnsi" w:hAnsiTheme="minorHAnsi" w:cstheme="minorHAnsi"/>
          <w:sz w:val="22"/>
          <w:szCs w:val="22"/>
        </w:rPr>
      </w:pPr>
      <w:r w:rsidRPr="00C55377">
        <w:rPr>
          <w:rFonts w:asciiTheme="minorHAnsi" w:hAnsiTheme="minorHAnsi" w:cstheme="minorHAnsi"/>
          <w:sz w:val="22"/>
          <w:szCs w:val="22"/>
        </w:rPr>
        <w:t>Sofia Brígida Correia dos Santos de Marçal Teixeira Furtado Torres</w:t>
      </w:r>
    </w:p>
    <w:p w14:paraId="712EE045" w14:textId="77777777" w:rsidR="00C93B74" w:rsidRPr="009A4D5D" w:rsidRDefault="00C93B74" w:rsidP="00C93B74">
      <w:pPr>
        <w:pStyle w:val="CorpodotextoMP"/>
        <w:spacing w:after="0"/>
        <w:rPr>
          <w:rFonts w:asciiTheme="minorHAnsi" w:hAnsiTheme="minorHAnsi" w:cstheme="minorHAnsi"/>
          <w:sz w:val="22"/>
          <w:szCs w:val="22"/>
        </w:rPr>
      </w:pPr>
    </w:p>
    <w:p w14:paraId="2E5EA85C" w14:textId="77777777" w:rsidR="00C93B74" w:rsidRPr="009A4D5D" w:rsidRDefault="00C93B74" w:rsidP="00C93B74">
      <w:pPr>
        <w:pStyle w:val="CorpodotextoMP"/>
        <w:spacing w:after="0"/>
        <w:rPr>
          <w:rFonts w:asciiTheme="minorHAnsi" w:hAnsiTheme="minorHAnsi" w:cstheme="minorHAnsi"/>
          <w:sz w:val="22"/>
          <w:szCs w:val="22"/>
        </w:rPr>
      </w:pPr>
    </w:p>
    <w:p w14:paraId="1B0B540F" w14:textId="77777777" w:rsidR="009864B4" w:rsidRDefault="009864B4" w:rsidP="00C93B74">
      <w:pPr>
        <w:pStyle w:val="CorpodotextoMP"/>
        <w:jc w:val="center"/>
        <w:rPr>
          <w:rFonts w:asciiTheme="minorHAnsi" w:hAnsiTheme="minorHAnsi" w:cstheme="minorHAnsi"/>
          <w:sz w:val="22"/>
          <w:szCs w:val="22"/>
        </w:rPr>
      </w:pPr>
    </w:p>
    <w:p w14:paraId="006D9D7A" w14:textId="512F34D9" w:rsidR="00C93B74" w:rsidRPr="0089381B" w:rsidRDefault="00C93B74" w:rsidP="00C93B74">
      <w:pPr>
        <w:pStyle w:val="CorpodotextoMP"/>
        <w:jc w:val="center"/>
        <w:rPr>
          <w:rFonts w:asciiTheme="minorHAnsi" w:hAnsiTheme="minorHAnsi" w:cstheme="minorHAnsi"/>
          <w:sz w:val="22"/>
          <w:szCs w:val="22"/>
        </w:rPr>
      </w:pPr>
      <w:r w:rsidRPr="0089381B">
        <w:rPr>
          <w:rFonts w:asciiTheme="minorHAnsi" w:hAnsiTheme="minorHAnsi" w:cstheme="minorHAnsi"/>
          <w:sz w:val="22"/>
          <w:szCs w:val="22"/>
        </w:rPr>
        <w:t>Vogal</w:t>
      </w:r>
    </w:p>
    <w:p w14:paraId="76C15F98" w14:textId="09431479" w:rsidR="00C93B74" w:rsidRPr="009A4D5D" w:rsidRDefault="009E3CF2" w:rsidP="009E3CF2">
      <w:pPr>
        <w:pStyle w:val="CorpodotextoMP"/>
        <w:spacing w:after="0"/>
        <w:jc w:val="center"/>
        <w:rPr>
          <w:rFonts w:asciiTheme="minorHAnsi" w:hAnsiTheme="minorHAnsi" w:cstheme="minorHAnsi"/>
          <w:sz w:val="22"/>
          <w:szCs w:val="22"/>
        </w:rPr>
      </w:pPr>
      <w:r w:rsidRPr="009E3CF2">
        <w:rPr>
          <w:rFonts w:asciiTheme="minorHAnsi" w:hAnsiTheme="minorHAnsi" w:cstheme="minorHAnsi"/>
          <w:sz w:val="22"/>
          <w:szCs w:val="22"/>
        </w:rPr>
        <w:t>António José Fonseca Duarte</w:t>
      </w:r>
    </w:p>
    <w:p w14:paraId="737D5219" w14:textId="77777777" w:rsidR="00C93B74" w:rsidRDefault="00C93B74" w:rsidP="00C93B74">
      <w:pPr>
        <w:pStyle w:val="CorpodotextoMP"/>
        <w:spacing w:after="0"/>
        <w:rPr>
          <w:rFonts w:asciiTheme="minorHAnsi" w:hAnsiTheme="minorHAnsi" w:cstheme="minorHAnsi"/>
          <w:sz w:val="22"/>
          <w:szCs w:val="22"/>
        </w:rPr>
      </w:pPr>
    </w:p>
    <w:p w14:paraId="5241E933" w14:textId="77777777" w:rsidR="009E3CF2" w:rsidRDefault="009E3CF2" w:rsidP="00C93B74">
      <w:pPr>
        <w:pStyle w:val="CorpodotextoMP"/>
        <w:spacing w:after="0"/>
        <w:rPr>
          <w:rFonts w:asciiTheme="minorHAnsi" w:hAnsiTheme="minorHAnsi" w:cstheme="minorHAnsi"/>
          <w:sz w:val="22"/>
          <w:szCs w:val="22"/>
        </w:rPr>
      </w:pPr>
    </w:p>
    <w:p w14:paraId="158C3637" w14:textId="77777777" w:rsidR="009E3CF2" w:rsidRPr="009A4D5D" w:rsidRDefault="009E3CF2" w:rsidP="00C93B74">
      <w:pPr>
        <w:pStyle w:val="CorpodotextoMP"/>
        <w:spacing w:after="0"/>
        <w:rPr>
          <w:rFonts w:asciiTheme="minorHAnsi" w:hAnsiTheme="minorHAnsi" w:cstheme="minorHAnsi"/>
          <w:sz w:val="22"/>
          <w:szCs w:val="22"/>
        </w:rPr>
      </w:pPr>
    </w:p>
    <w:p w14:paraId="6C08D88D" w14:textId="77777777" w:rsidR="009864B4" w:rsidRDefault="009864B4" w:rsidP="00C93B74">
      <w:pPr>
        <w:pStyle w:val="CorpodotextoMP"/>
        <w:jc w:val="center"/>
        <w:rPr>
          <w:rFonts w:asciiTheme="minorHAnsi" w:hAnsiTheme="minorHAnsi" w:cstheme="minorHAnsi"/>
          <w:sz w:val="22"/>
          <w:szCs w:val="22"/>
        </w:rPr>
      </w:pPr>
    </w:p>
    <w:p w14:paraId="29C385B1" w14:textId="1CA47428" w:rsidR="00C93B74" w:rsidRPr="003A0E56" w:rsidRDefault="00C93B74" w:rsidP="00C93B74">
      <w:pPr>
        <w:pStyle w:val="CorpodotextoMP"/>
        <w:jc w:val="center"/>
        <w:rPr>
          <w:rFonts w:asciiTheme="minorHAnsi" w:hAnsiTheme="minorHAnsi" w:cstheme="minorHAnsi"/>
          <w:sz w:val="22"/>
          <w:szCs w:val="22"/>
        </w:rPr>
      </w:pPr>
      <w:r w:rsidRPr="003A0E56">
        <w:rPr>
          <w:rFonts w:asciiTheme="minorHAnsi" w:hAnsiTheme="minorHAnsi" w:cstheme="minorHAnsi"/>
          <w:sz w:val="22"/>
          <w:szCs w:val="22"/>
        </w:rPr>
        <w:t>Vogal</w:t>
      </w:r>
    </w:p>
    <w:p w14:paraId="47EFBC1B" w14:textId="5A880144" w:rsidR="009E3CF2" w:rsidRPr="009E3CF2" w:rsidRDefault="009E3CF2" w:rsidP="009E3CF2">
      <w:pPr>
        <w:pStyle w:val="CorpodotextoMP"/>
        <w:spacing w:after="0"/>
        <w:jc w:val="center"/>
        <w:rPr>
          <w:rFonts w:asciiTheme="minorHAnsi" w:hAnsiTheme="minorHAnsi" w:cstheme="minorHAnsi"/>
          <w:sz w:val="22"/>
          <w:szCs w:val="22"/>
        </w:rPr>
      </w:pPr>
      <w:r w:rsidRPr="009E3CF2">
        <w:rPr>
          <w:rFonts w:asciiTheme="minorHAnsi" w:hAnsiTheme="minorHAnsi" w:cstheme="minorHAnsi"/>
          <w:sz w:val="22"/>
          <w:szCs w:val="22"/>
        </w:rPr>
        <w:t>Joaquim Manuel da Cruz Valente</w:t>
      </w:r>
    </w:p>
    <w:p w14:paraId="29FC4150" w14:textId="77777777" w:rsidR="00C93B74" w:rsidRDefault="00C93B74" w:rsidP="00C93B74">
      <w:pPr>
        <w:pStyle w:val="CorpodotextoMP"/>
        <w:spacing w:after="0"/>
        <w:jc w:val="center"/>
        <w:rPr>
          <w:rFonts w:asciiTheme="minorHAnsi" w:hAnsiTheme="minorHAnsi" w:cstheme="minorHAnsi"/>
          <w:b/>
          <w:smallCaps/>
          <w:sz w:val="22"/>
          <w:szCs w:val="22"/>
        </w:rPr>
      </w:pPr>
      <w:r>
        <w:rPr>
          <w:rFonts w:asciiTheme="minorHAnsi" w:hAnsiTheme="minorHAnsi" w:cstheme="minorHAnsi"/>
          <w:b/>
          <w:smallCaps/>
          <w:sz w:val="22"/>
          <w:szCs w:val="22"/>
        </w:rPr>
        <w:br w:type="page"/>
      </w:r>
    </w:p>
    <w:p w14:paraId="4D62522F" w14:textId="77777777" w:rsidR="00C93B74" w:rsidRDefault="00C93B74" w:rsidP="00C93B74">
      <w:pPr>
        <w:jc w:val="center"/>
        <w:rPr>
          <w:rFonts w:asciiTheme="minorHAnsi" w:hAnsiTheme="minorHAnsi" w:cstheme="minorHAnsi"/>
          <w:b/>
          <w:smallCaps/>
          <w:sz w:val="22"/>
          <w:szCs w:val="22"/>
        </w:rPr>
      </w:pPr>
    </w:p>
    <w:p w14:paraId="4FF7B0C9" w14:textId="77777777" w:rsidR="00C93B74" w:rsidRDefault="00C93B74" w:rsidP="00C93B74">
      <w:pPr>
        <w:jc w:val="center"/>
        <w:rPr>
          <w:rFonts w:asciiTheme="minorHAnsi" w:hAnsiTheme="minorHAnsi" w:cstheme="minorHAnsi"/>
          <w:b/>
          <w:smallCaps/>
          <w:sz w:val="22"/>
          <w:szCs w:val="22"/>
        </w:rPr>
      </w:pPr>
    </w:p>
    <w:p w14:paraId="6C45F572" w14:textId="77777777" w:rsidR="00C93B74" w:rsidRDefault="00C93B74" w:rsidP="00C93B74">
      <w:pPr>
        <w:jc w:val="center"/>
        <w:rPr>
          <w:rFonts w:asciiTheme="minorHAnsi" w:hAnsiTheme="minorHAnsi" w:cstheme="minorHAnsi"/>
          <w:b/>
          <w:smallCaps/>
          <w:sz w:val="22"/>
          <w:szCs w:val="22"/>
        </w:rPr>
      </w:pPr>
      <w:r w:rsidRPr="009A4D5D">
        <w:rPr>
          <w:rFonts w:asciiTheme="minorHAnsi" w:hAnsiTheme="minorHAnsi" w:cstheme="minorHAnsi"/>
          <w:b/>
          <w:smallCaps/>
          <w:sz w:val="22"/>
          <w:szCs w:val="22"/>
        </w:rPr>
        <w:t>Anexo I</w:t>
      </w:r>
    </w:p>
    <w:p w14:paraId="52E5FBDE" w14:textId="77777777" w:rsidR="00C93B74" w:rsidRPr="009A4D5D" w:rsidRDefault="00C93B74" w:rsidP="00C93B74">
      <w:pPr>
        <w:jc w:val="center"/>
        <w:rPr>
          <w:rFonts w:asciiTheme="minorHAnsi" w:hAnsiTheme="minorHAnsi" w:cstheme="minorHAnsi"/>
          <w:b/>
          <w:smallCaps/>
          <w:sz w:val="22"/>
          <w:szCs w:val="22"/>
        </w:rPr>
      </w:pPr>
    </w:p>
    <w:p w14:paraId="5BFC4B63" w14:textId="0D05027A" w:rsidR="00C93B74" w:rsidRPr="009A4D5D" w:rsidRDefault="00C93B74" w:rsidP="00C93B74">
      <w:pPr>
        <w:jc w:val="both"/>
        <w:rPr>
          <w:rFonts w:asciiTheme="minorHAnsi" w:hAnsiTheme="minorHAnsi" w:cstheme="minorHAnsi"/>
          <w:sz w:val="22"/>
          <w:szCs w:val="22"/>
          <w:lang w:eastAsia="en-US"/>
        </w:rPr>
      </w:pPr>
      <w:r w:rsidRPr="009A4D5D">
        <w:rPr>
          <w:rFonts w:asciiTheme="minorHAnsi" w:hAnsiTheme="minorHAnsi" w:cstheme="minorHAnsi"/>
          <w:sz w:val="22"/>
          <w:szCs w:val="22"/>
          <w:lang w:eastAsia="en-US"/>
        </w:rPr>
        <w:t>Para efeitos do n.º 5 do artigo 447º do Código das Sociedades Comerciais, informa-se que, durante o exercício de 20</w:t>
      </w:r>
      <w:r>
        <w:rPr>
          <w:rFonts w:asciiTheme="minorHAnsi" w:hAnsiTheme="minorHAnsi" w:cstheme="minorHAnsi"/>
          <w:sz w:val="22"/>
          <w:szCs w:val="22"/>
          <w:lang w:eastAsia="en-US"/>
        </w:rPr>
        <w:t>2</w:t>
      </w:r>
      <w:r w:rsidR="00C77367">
        <w:rPr>
          <w:rFonts w:asciiTheme="minorHAnsi" w:hAnsiTheme="minorHAnsi" w:cstheme="minorHAnsi"/>
          <w:sz w:val="22"/>
          <w:szCs w:val="22"/>
          <w:lang w:eastAsia="en-US"/>
        </w:rPr>
        <w:t>5</w:t>
      </w:r>
      <w:r w:rsidRPr="009A4D5D">
        <w:rPr>
          <w:rFonts w:asciiTheme="minorHAnsi" w:hAnsiTheme="minorHAnsi" w:cstheme="minorHAnsi"/>
          <w:sz w:val="22"/>
          <w:szCs w:val="22"/>
          <w:lang w:eastAsia="en-US"/>
        </w:rPr>
        <w:t>, cada um dos Membros dos</w:t>
      </w:r>
      <w:r>
        <w:rPr>
          <w:rFonts w:asciiTheme="minorHAnsi" w:hAnsiTheme="minorHAnsi" w:cstheme="minorHAnsi"/>
          <w:sz w:val="22"/>
          <w:szCs w:val="22"/>
          <w:lang w:eastAsia="en-US"/>
        </w:rPr>
        <w:t xml:space="preserve"> Órgãos </w:t>
      </w:r>
      <w:r w:rsidRPr="009A4D5D">
        <w:rPr>
          <w:rFonts w:asciiTheme="minorHAnsi" w:hAnsiTheme="minorHAnsi" w:cstheme="minorHAnsi"/>
          <w:sz w:val="22"/>
          <w:szCs w:val="22"/>
          <w:lang w:eastAsia="en-US"/>
        </w:rPr>
        <w:t>de Administração e de Fiscalização não possuía qualquer ação ou obrigação das referidas nos números 1 e 2 do mesmo preceito legal.</w:t>
      </w:r>
    </w:p>
    <w:p w14:paraId="78E509B3" w14:textId="77777777" w:rsidR="00C93B74" w:rsidRDefault="00C93B74" w:rsidP="00C93B74">
      <w:pPr>
        <w:jc w:val="center"/>
        <w:rPr>
          <w:rFonts w:asciiTheme="minorHAnsi" w:hAnsiTheme="minorHAnsi" w:cstheme="minorHAnsi"/>
          <w:b/>
          <w:smallCaps/>
          <w:sz w:val="22"/>
          <w:szCs w:val="22"/>
        </w:rPr>
      </w:pPr>
    </w:p>
    <w:p w14:paraId="05B21815" w14:textId="77777777" w:rsidR="00C93B74" w:rsidRDefault="00C93B74" w:rsidP="00C93B74">
      <w:pPr>
        <w:jc w:val="center"/>
        <w:rPr>
          <w:rFonts w:asciiTheme="minorHAnsi" w:hAnsiTheme="minorHAnsi" w:cstheme="minorHAnsi"/>
          <w:b/>
          <w:smallCaps/>
          <w:sz w:val="22"/>
          <w:szCs w:val="22"/>
        </w:rPr>
      </w:pPr>
    </w:p>
    <w:p w14:paraId="1C52A171" w14:textId="77777777" w:rsidR="00C93B74" w:rsidRPr="009A4D5D" w:rsidRDefault="00C93B74" w:rsidP="00C93B74">
      <w:pPr>
        <w:jc w:val="center"/>
        <w:rPr>
          <w:rFonts w:asciiTheme="minorHAnsi" w:hAnsiTheme="minorHAnsi" w:cstheme="minorHAnsi"/>
          <w:b/>
          <w:smallCaps/>
          <w:sz w:val="22"/>
          <w:szCs w:val="22"/>
        </w:rPr>
      </w:pPr>
    </w:p>
    <w:p w14:paraId="29082E4A" w14:textId="77777777" w:rsidR="00C93B74" w:rsidRDefault="00C93B74" w:rsidP="00C93B74">
      <w:pPr>
        <w:jc w:val="center"/>
        <w:rPr>
          <w:rFonts w:asciiTheme="minorHAnsi" w:hAnsiTheme="minorHAnsi" w:cstheme="minorHAnsi"/>
          <w:b/>
          <w:smallCaps/>
          <w:sz w:val="22"/>
          <w:szCs w:val="22"/>
        </w:rPr>
      </w:pPr>
      <w:r w:rsidRPr="009A4D5D">
        <w:rPr>
          <w:rFonts w:asciiTheme="minorHAnsi" w:hAnsiTheme="minorHAnsi" w:cstheme="minorHAnsi"/>
          <w:b/>
          <w:smallCaps/>
          <w:sz w:val="22"/>
          <w:szCs w:val="22"/>
        </w:rPr>
        <w:t>Anexo II</w:t>
      </w:r>
    </w:p>
    <w:p w14:paraId="39E4963D" w14:textId="77777777" w:rsidR="00C93B74" w:rsidRPr="009A4D5D" w:rsidRDefault="00C93B74" w:rsidP="00C93B74">
      <w:pPr>
        <w:jc w:val="center"/>
        <w:rPr>
          <w:rFonts w:asciiTheme="minorHAnsi" w:hAnsiTheme="minorHAnsi" w:cstheme="minorHAnsi"/>
          <w:b/>
          <w:smallCaps/>
          <w:sz w:val="22"/>
          <w:szCs w:val="22"/>
        </w:rPr>
      </w:pPr>
    </w:p>
    <w:p w14:paraId="11647555" w14:textId="0136AC13" w:rsidR="00C93B74" w:rsidRPr="009A4D5D" w:rsidRDefault="00C93B74" w:rsidP="00C93B74">
      <w:pPr>
        <w:jc w:val="both"/>
        <w:rPr>
          <w:rFonts w:asciiTheme="minorHAnsi" w:hAnsiTheme="minorHAnsi" w:cstheme="minorHAnsi"/>
          <w:sz w:val="22"/>
          <w:szCs w:val="22"/>
        </w:rPr>
      </w:pPr>
      <w:r>
        <w:rPr>
          <w:rFonts w:asciiTheme="minorHAnsi" w:hAnsiTheme="minorHAnsi" w:cstheme="minorHAnsi"/>
          <w:sz w:val="22"/>
          <w:szCs w:val="22"/>
        </w:rPr>
        <w:t>I</w:t>
      </w:r>
      <w:r w:rsidRPr="002B046F">
        <w:rPr>
          <w:rFonts w:asciiTheme="minorHAnsi" w:hAnsiTheme="minorHAnsi" w:cstheme="minorHAnsi"/>
          <w:sz w:val="22"/>
          <w:szCs w:val="22"/>
        </w:rPr>
        <w:t xml:space="preserve">nforma-se que, </w:t>
      </w:r>
      <w:r>
        <w:rPr>
          <w:rFonts w:asciiTheme="minorHAnsi" w:hAnsiTheme="minorHAnsi" w:cstheme="minorHAnsi"/>
          <w:sz w:val="22"/>
          <w:szCs w:val="22"/>
        </w:rPr>
        <w:t>desde</w:t>
      </w:r>
      <w:r w:rsidRPr="002B046F">
        <w:rPr>
          <w:rFonts w:asciiTheme="minorHAnsi" w:hAnsiTheme="minorHAnsi" w:cstheme="minorHAnsi"/>
          <w:sz w:val="22"/>
          <w:szCs w:val="22"/>
        </w:rPr>
        <w:t xml:space="preserve"> 14 de fevereiro de 2012</w:t>
      </w:r>
      <w:r>
        <w:rPr>
          <w:rFonts w:asciiTheme="minorHAnsi" w:hAnsiTheme="minorHAnsi" w:cstheme="minorHAnsi"/>
          <w:sz w:val="22"/>
          <w:szCs w:val="22"/>
        </w:rPr>
        <w:t>,</w:t>
      </w:r>
      <w:r w:rsidRPr="002B046F">
        <w:rPr>
          <w:rFonts w:asciiTheme="minorHAnsi" w:hAnsiTheme="minorHAnsi" w:cstheme="minorHAnsi"/>
          <w:sz w:val="22"/>
          <w:szCs w:val="22"/>
        </w:rPr>
        <w:t xml:space="preserve"> o </w:t>
      </w:r>
      <w:r w:rsidRPr="00AB3C20">
        <w:rPr>
          <w:rFonts w:asciiTheme="minorHAnsi" w:hAnsiTheme="minorHAnsi"/>
          <w:sz w:val="22"/>
          <w:szCs w:val="22"/>
        </w:rPr>
        <w:t>Estado Português</w:t>
      </w:r>
      <w:r w:rsidRPr="002B046F">
        <w:rPr>
          <w:rFonts w:asciiTheme="minorHAnsi" w:hAnsiTheme="minorHAnsi" w:cstheme="minorHAnsi"/>
          <w:sz w:val="22"/>
          <w:szCs w:val="22"/>
        </w:rPr>
        <w:t xml:space="preserve">, através da </w:t>
      </w:r>
      <w:r w:rsidR="009D3586">
        <w:rPr>
          <w:rFonts w:asciiTheme="minorHAnsi" w:hAnsiTheme="minorHAnsi" w:cstheme="minorHAnsi"/>
          <w:sz w:val="22"/>
          <w:szCs w:val="22"/>
        </w:rPr>
        <w:t>Entidade</w:t>
      </w:r>
      <w:r>
        <w:rPr>
          <w:rFonts w:asciiTheme="minorHAnsi" w:hAnsiTheme="minorHAnsi" w:cstheme="minorHAnsi"/>
          <w:sz w:val="22"/>
          <w:szCs w:val="22"/>
        </w:rPr>
        <w:t xml:space="preserve"> do Tesouro e Finanças,</w:t>
      </w:r>
      <w:r w:rsidRPr="002B046F">
        <w:rPr>
          <w:rFonts w:asciiTheme="minorHAnsi" w:hAnsiTheme="minorHAnsi" w:cstheme="minorHAnsi"/>
          <w:sz w:val="22"/>
          <w:szCs w:val="22"/>
        </w:rPr>
        <w:t xml:space="preserve"> </w:t>
      </w:r>
      <w:r>
        <w:rPr>
          <w:rFonts w:asciiTheme="minorHAnsi" w:hAnsiTheme="minorHAnsi" w:cstheme="minorHAnsi"/>
          <w:sz w:val="22"/>
          <w:szCs w:val="22"/>
        </w:rPr>
        <w:t>é</w:t>
      </w:r>
      <w:r w:rsidRPr="009A4D5D">
        <w:rPr>
          <w:rFonts w:asciiTheme="minorHAnsi" w:hAnsiTheme="minorHAnsi" w:cstheme="minorHAnsi"/>
          <w:sz w:val="22"/>
          <w:szCs w:val="22"/>
        </w:rPr>
        <w:t xml:space="preserve"> o acionista único da sociedade, mantendo-se, nesta data, essa situação.</w:t>
      </w:r>
    </w:p>
    <w:p w14:paraId="55F6092E" w14:textId="77777777" w:rsidR="00C93B74" w:rsidRDefault="00C93B74" w:rsidP="00C93B74">
      <w:pPr>
        <w:jc w:val="center"/>
        <w:rPr>
          <w:rFonts w:asciiTheme="minorHAnsi" w:hAnsiTheme="minorHAnsi" w:cstheme="minorHAnsi"/>
          <w:b/>
          <w:smallCaps/>
          <w:sz w:val="22"/>
          <w:szCs w:val="22"/>
        </w:rPr>
      </w:pPr>
    </w:p>
    <w:p w14:paraId="5ACB189A" w14:textId="77777777" w:rsidR="00C93B74" w:rsidRDefault="00C93B74" w:rsidP="00C93B74">
      <w:pPr>
        <w:jc w:val="center"/>
        <w:rPr>
          <w:rFonts w:asciiTheme="minorHAnsi" w:hAnsiTheme="minorHAnsi" w:cstheme="minorHAnsi"/>
          <w:b/>
          <w:smallCaps/>
          <w:sz w:val="22"/>
          <w:szCs w:val="22"/>
        </w:rPr>
      </w:pPr>
    </w:p>
    <w:p w14:paraId="3B2DEA7F" w14:textId="616DFA7E" w:rsidR="00075918" w:rsidRDefault="00075918" w:rsidP="00075918">
      <w:pPr>
        <w:jc w:val="center"/>
        <w:rPr>
          <w:rFonts w:asciiTheme="minorHAnsi" w:hAnsiTheme="minorHAnsi" w:cstheme="minorHAnsi"/>
          <w:b/>
          <w:smallCaps/>
          <w:sz w:val="22"/>
          <w:szCs w:val="22"/>
        </w:rPr>
      </w:pPr>
    </w:p>
    <w:p w14:paraId="532FA151" w14:textId="77777777" w:rsidR="0086476E" w:rsidRDefault="0086476E" w:rsidP="00075918">
      <w:pPr>
        <w:jc w:val="center"/>
        <w:rPr>
          <w:rFonts w:asciiTheme="minorHAnsi" w:hAnsiTheme="minorHAnsi" w:cstheme="minorHAnsi"/>
          <w:b/>
          <w:smallCaps/>
          <w:sz w:val="22"/>
          <w:szCs w:val="22"/>
        </w:rPr>
      </w:pPr>
    </w:p>
    <w:p w14:paraId="560A6113" w14:textId="29FAFC1C" w:rsidR="000647AA" w:rsidRPr="00B162F1" w:rsidRDefault="001E0EBA">
      <w:pPr>
        <w:rPr>
          <w:rFonts w:asciiTheme="minorHAnsi" w:hAnsiTheme="minorHAnsi" w:cstheme="minorHAnsi"/>
          <w:lang w:eastAsia="en-US"/>
        </w:rPr>
      </w:pPr>
      <w:r>
        <w:rPr>
          <w:rFonts w:asciiTheme="minorHAnsi" w:hAnsiTheme="minorHAnsi" w:cstheme="minorHAnsi"/>
          <w:sz w:val="22"/>
          <w:szCs w:val="22"/>
          <w:lang w:eastAsia="en-US"/>
        </w:rPr>
        <w:br w:type="page"/>
      </w:r>
      <w:bookmarkStart w:id="43" w:name="_Toc132621087"/>
    </w:p>
    <w:p w14:paraId="673B0CA9" w14:textId="77777777" w:rsidR="00075918" w:rsidRPr="00B162F1" w:rsidRDefault="00075918" w:rsidP="001B2310">
      <w:pPr>
        <w:pStyle w:val="Ttulo"/>
        <w:jc w:val="center"/>
        <w:outlineLvl w:val="9"/>
        <w:rPr>
          <w:rFonts w:asciiTheme="minorHAnsi" w:hAnsiTheme="minorHAnsi" w:cstheme="minorHAnsi"/>
          <w:sz w:val="23"/>
          <w:szCs w:val="23"/>
          <w:lang w:val="pt-PT"/>
        </w:rPr>
      </w:pPr>
    </w:p>
    <w:p w14:paraId="5F61ABC6" w14:textId="77777777" w:rsidR="00A861B3" w:rsidRPr="00B162F1" w:rsidRDefault="00A861B3" w:rsidP="001B2310">
      <w:pPr>
        <w:pStyle w:val="Ttulo"/>
        <w:jc w:val="center"/>
        <w:outlineLvl w:val="9"/>
        <w:rPr>
          <w:rFonts w:asciiTheme="minorHAnsi" w:hAnsiTheme="minorHAnsi" w:cstheme="minorHAnsi"/>
          <w:sz w:val="23"/>
          <w:szCs w:val="23"/>
          <w:lang w:val="pt-PT"/>
        </w:rPr>
      </w:pPr>
    </w:p>
    <w:p w14:paraId="4107B8DA" w14:textId="77777777" w:rsidR="00196982" w:rsidRPr="00B162F1" w:rsidRDefault="00196982" w:rsidP="001B2310">
      <w:pPr>
        <w:pStyle w:val="Ttulo"/>
        <w:jc w:val="center"/>
        <w:outlineLvl w:val="9"/>
        <w:rPr>
          <w:rFonts w:asciiTheme="minorHAnsi" w:hAnsiTheme="minorHAnsi" w:cstheme="minorHAnsi"/>
          <w:sz w:val="23"/>
          <w:szCs w:val="23"/>
          <w:lang w:val="pt-PT"/>
        </w:rPr>
      </w:pPr>
    </w:p>
    <w:p w14:paraId="604B4894" w14:textId="77777777" w:rsidR="00196982" w:rsidRPr="00B162F1" w:rsidRDefault="00196982" w:rsidP="001B2310">
      <w:pPr>
        <w:pStyle w:val="Ttulo"/>
        <w:jc w:val="center"/>
        <w:outlineLvl w:val="9"/>
        <w:rPr>
          <w:rFonts w:asciiTheme="minorHAnsi" w:hAnsiTheme="minorHAnsi" w:cstheme="minorHAnsi"/>
          <w:sz w:val="23"/>
          <w:szCs w:val="23"/>
          <w:lang w:val="pt-PT"/>
        </w:rPr>
      </w:pPr>
    </w:p>
    <w:p w14:paraId="432C373F" w14:textId="3B7552B4" w:rsidR="00196982" w:rsidRDefault="00196982" w:rsidP="001B2310">
      <w:pPr>
        <w:pStyle w:val="Ttulo"/>
        <w:jc w:val="center"/>
        <w:outlineLvl w:val="9"/>
        <w:rPr>
          <w:rFonts w:asciiTheme="minorHAnsi" w:hAnsiTheme="minorHAnsi" w:cstheme="minorHAnsi"/>
          <w:sz w:val="23"/>
          <w:szCs w:val="23"/>
          <w:lang w:val="pt-PT"/>
        </w:rPr>
      </w:pPr>
    </w:p>
    <w:p w14:paraId="1EF29930" w14:textId="77777777" w:rsidR="00183BC5" w:rsidRPr="00B162F1" w:rsidRDefault="00183BC5" w:rsidP="001B2310">
      <w:pPr>
        <w:pStyle w:val="Ttulo"/>
        <w:jc w:val="center"/>
        <w:outlineLvl w:val="9"/>
        <w:rPr>
          <w:rFonts w:asciiTheme="minorHAnsi" w:hAnsiTheme="minorHAnsi" w:cstheme="minorHAnsi"/>
          <w:sz w:val="23"/>
          <w:szCs w:val="23"/>
          <w:lang w:val="pt-PT"/>
        </w:rPr>
      </w:pPr>
    </w:p>
    <w:p w14:paraId="125051CB" w14:textId="77777777" w:rsidR="00196982" w:rsidRPr="00B162F1" w:rsidRDefault="00196982" w:rsidP="001B2310">
      <w:pPr>
        <w:pStyle w:val="Ttulo"/>
        <w:jc w:val="center"/>
        <w:outlineLvl w:val="9"/>
        <w:rPr>
          <w:rFonts w:asciiTheme="minorHAnsi" w:hAnsiTheme="minorHAnsi" w:cstheme="minorHAnsi"/>
          <w:sz w:val="23"/>
          <w:szCs w:val="23"/>
          <w:lang w:val="pt-PT"/>
        </w:rPr>
      </w:pPr>
    </w:p>
    <w:p w14:paraId="2E5E8D6C" w14:textId="77777777" w:rsidR="00196982" w:rsidRPr="00B162F1" w:rsidRDefault="00196982" w:rsidP="001B2310">
      <w:pPr>
        <w:pStyle w:val="Ttulo"/>
        <w:jc w:val="center"/>
        <w:outlineLvl w:val="9"/>
        <w:rPr>
          <w:rFonts w:asciiTheme="minorHAnsi" w:hAnsiTheme="minorHAnsi" w:cstheme="minorHAnsi"/>
          <w:sz w:val="23"/>
          <w:szCs w:val="23"/>
          <w:lang w:val="pt-PT"/>
        </w:rPr>
      </w:pPr>
    </w:p>
    <w:p w14:paraId="7C64364E" w14:textId="77777777" w:rsidR="00196982" w:rsidRPr="00B162F1" w:rsidRDefault="00196982" w:rsidP="001B2310">
      <w:pPr>
        <w:pStyle w:val="Ttulo"/>
        <w:jc w:val="center"/>
        <w:outlineLvl w:val="9"/>
        <w:rPr>
          <w:rFonts w:asciiTheme="minorHAnsi" w:hAnsiTheme="minorHAnsi" w:cstheme="minorHAnsi"/>
          <w:sz w:val="23"/>
          <w:szCs w:val="23"/>
          <w:lang w:val="pt-PT"/>
        </w:rPr>
      </w:pPr>
    </w:p>
    <w:p w14:paraId="2B8458E1" w14:textId="77777777" w:rsidR="003F5861" w:rsidRPr="00BB1986" w:rsidRDefault="003F5861" w:rsidP="003F5861">
      <w:pPr>
        <w:pStyle w:val="Ttulo"/>
        <w:jc w:val="center"/>
        <w:rPr>
          <w:rFonts w:asciiTheme="minorHAnsi" w:hAnsiTheme="minorHAnsi" w:cstheme="minorHAnsi"/>
          <w:color w:val="365F91"/>
          <w:sz w:val="28"/>
          <w:szCs w:val="22"/>
          <w:lang w:val="pt-PT"/>
        </w:rPr>
      </w:pPr>
      <w:bookmarkStart w:id="44" w:name="_Toc482900437"/>
      <w:bookmarkStart w:id="45" w:name="_Toc221618463"/>
      <w:r w:rsidRPr="00BB1986">
        <w:rPr>
          <w:rFonts w:asciiTheme="minorHAnsi" w:hAnsiTheme="minorHAnsi" w:cstheme="minorHAnsi"/>
          <w:color w:val="365F91"/>
          <w:sz w:val="28"/>
          <w:szCs w:val="22"/>
          <w:lang w:val="pt-PT"/>
        </w:rPr>
        <w:t>2. DEMONSTRAÇÕES FINANCEIRAS INDIVIDUAIS</w:t>
      </w:r>
      <w:bookmarkEnd w:id="44"/>
      <w:bookmarkEnd w:id="45"/>
    </w:p>
    <w:p w14:paraId="0F528409" w14:textId="77777777" w:rsidR="00B96271" w:rsidRPr="009A4D5D" w:rsidRDefault="00B96271" w:rsidP="001B2310">
      <w:pPr>
        <w:pStyle w:val="Ttulo"/>
        <w:jc w:val="center"/>
        <w:outlineLvl w:val="9"/>
        <w:rPr>
          <w:rFonts w:asciiTheme="minorHAnsi" w:hAnsiTheme="minorHAnsi" w:cstheme="minorHAnsi"/>
          <w:color w:val="0070C0"/>
          <w:sz w:val="28"/>
          <w:szCs w:val="28"/>
          <w:lang w:val="pt-PT"/>
        </w:rPr>
      </w:pPr>
    </w:p>
    <w:p w14:paraId="6BA00E01" w14:textId="77777777" w:rsidR="00B96271" w:rsidRPr="00B162F1" w:rsidRDefault="00B96271" w:rsidP="001B2310">
      <w:pPr>
        <w:pStyle w:val="Ttulo"/>
        <w:jc w:val="center"/>
        <w:outlineLvl w:val="9"/>
        <w:rPr>
          <w:rFonts w:asciiTheme="minorHAnsi" w:hAnsiTheme="minorHAnsi" w:cstheme="minorHAnsi"/>
          <w:color w:val="365F91"/>
          <w:sz w:val="23"/>
          <w:szCs w:val="23"/>
          <w:lang w:val="pt-PT"/>
        </w:rPr>
      </w:pPr>
    </w:p>
    <w:p w14:paraId="76463A2A" w14:textId="77777777" w:rsidR="00B96271" w:rsidRPr="00B162F1" w:rsidRDefault="00B96271" w:rsidP="001B2310">
      <w:pPr>
        <w:pStyle w:val="Ttulo"/>
        <w:jc w:val="center"/>
        <w:outlineLvl w:val="9"/>
        <w:rPr>
          <w:rFonts w:asciiTheme="minorHAnsi" w:hAnsiTheme="minorHAnsi" w:cstheme="minorHAnsi"/>
          <w:color w:val="365F91"/>
          <w:sz w:val="23"/>
          <w:szCs w:val="23"/>
          <w:lang w:val="pt-PT"/>
        </w:rPr>
      </w:pPr>
    </w:p>
    <w:p w14:paraId="7F325C8F" w14:textId="77777777" w:rsidR="00B96271" w:rsidRPr="00B162F1" w:rsidRDefault="00B96271" w:rsidP="001B2310">
      <w:pPr>
        <w:pStyle w:val="Ttulo"/>
        <w:jc w:val="center"/>
        <w:outlineLvl w:val="9"/>
        <w:rPr>
          <w:rFonts w:asciiTheme="minorHAnsi" w:hAnsiTheme="minorHAnsi" w:cstheme="minorHAnsi"/>
          <w:color w:val="365F91"/>
          <w:sz w:val="23"/>
          <w:szCs w:val="23"/>
          <w:lang w:val="pt-PT"/>
        </w:rPr>
      </w:pPr>
    </w:p>
    <w:p w14:paraId="4A15CB2A" w14:textId="77777777" w:rsidR="00B96271" w:rsidRPr="00B162F1" w:rsidRDefault="00B96271" w:rsidP="001B2310">
      <w:pPr>
        <w:pStyle w:val="Ttulo"/>
        <w:jc w:val="center"/>
        <w:outlineLvl w:val="9"/>
        <w:rPr>
          <w:rFonts w:asciiTheme="minorHAnsi" w:hAnsiTheme="minorHAnsi" w:cstheme="minorHAnsi"/>
          <w:color w:val="365F91"/>
          <w:sz w:val="23"/>
          <w:szCs w:val="23"/>
          <w:lang w:val="pt-PT"/>
        </w:rPr>
      </w:pPr>
    </w:p>
    <w:p w14:paraId="411FF5C8" w14:textId="77777777" w:rsidR="00B96271" w:rsidRPr="00B162F1" w:rsidRDefault="00B96271" w:rsidP="001B2310">
      <w:pPr>
        <w:pStyle w:val="Ttulo"/>
        <w:jc w:val="center"/>
        <w:outlineLvl w:val="9"/>
        <w:rPr>
          <w:rFonts w:asciiTheme="minorHAnsi" w:hAnsiTheme="minorHAnsi" w:cstheme="minorHAnsi"/>
          <w:color w:val="365F91"/>
          <w:sz w:val="23"/>
          <w:szCs w:val="23"/>
          <w:lang w:val="pt-PT"/>
        </w:rPr>
      </w:pPr>
    </w:p>
    <w:p w14:paraId="0224C63D" w14:textId="77777777" w:rsidR="00B96271" w:rsidRPr="00B162F1" w:rsidRDefault="00B96271" w:rsidP="001B2310">
      <w:pPr>
        <w:pStyle w:val="Ttulo"/>
        <w:jc w:val="center"/>
        <w:outlineLvl w:val="9"/>
        <w:rPr>
          <w:rFonts w:asciiTheme="minorHAnsi" w:hAnsiTheme="minorHAnsi" w:cstheme="minorHAnsi"/>
          <w:color w:val="365F91"/>
          <w:sz w:val="23"/>
          <w:szCs w:val="23"/>
          <w:lang w:val="pt-PT"/>
        </w:rPr>
      </w:pPr>
    </w:p>
    <w:p w14:paraId="57D5B7B3" w14:textId="77777777" w:rsidR="00B96271" w:rsidRPr="00B162F1" w:rsidRDefault="00B96271" w:rsidP="001B2310">
      <w:pPr>
        <w:pStyle w:val="Ttulo"/>
        <w:jc w:val="center"/>
        <w:outlineLvl w:val="9"/>
        <w:rPr>
          <w:rFonts w:asciiTheme="minorHAnsi" w:hAnsiTheme="minorHAnsi" w:cstheme="minorHAnsi"/>
          <w:color w:val="365F91"/>
          <w:sz w:val="23"/>
          <w:szCs w:val="23"/>
          <w:lang w:val="pt-PT"/>
        </w:rPr>
      </w:pPr>
    </w:p>
    <w:p w14:paraId="3CF527F2" w14:textId="77777777" w:rsidR="00B96271" w:rsidRPr="00B162F1" w:rsidRDefault="00B96271" w:rsidP="001B2310">
      <w:pPr>
        <w:pStyle w:val="Ttulo"/>
        <w:jc w:val="center"/>
        <w:outlineLvl w:val="9"/>
        <w:rPr>
          <w:rFonts w:asciiTheme="minorHAnsi" w:hAnsiTheme="minorHAnsi" w:cstheme="minorHAnsi"/>
          <w:color w:val="365F91"/>
          <w:sz w:val="23"/>
          <w:szCs w:val="23"/>
          <w:lang w:val="pt-PT"/>
        </w:rPr>
      </w:pPr>
    </w:p>
    <w:p w14:paraId="240A3832" w14:textId="77777777" w:rsidR="00B96271" w:rsidRPr="00B162F1" w:rsidRDefault="00B96271" w:rsidP="004B7583">
      <w:pPr>
        <w:rPr>
          <w:rFonts w:asciiTheme="minorHAnsi" w:hAnsiTheme="minorHAnsi" w:cstheme="minorHAnsi"/>
        </w:rPr>
        <w:sectPr w:rsidR="00B96271" w:rsidRPr="00B162F1" w:rsidSect="006866A9">
          <w:headerReference w:type="default" r:id="rId19"/>
          <w:footerReference w:type="default" r:id="rId20"/>
          <w:headerReference w:type="first" r:id="rId21"/>
          <w:type w:val="continuous"/>
          <w:pgSz w:w="11906" w:h="16838" w:code="9"/>
          <w:pgMar w:top="1418" w:right="1701" w:bottom="1276" w:left="1701" w:header="794" w:footer="623" w:gutter="0"/>
          <w:pgBorders w:offsetFrom="page">
            <w:left w:val="single" w:sz="4" w:space="24" w:color="FFFFFF" w:themeColor="background1"/>
            <w:right w:val="single" w:sz="4" w:space="24" w:color="FFFFFF" w:themeColor="background1"/>
          </w:pgBorders>
          <w:pgNumType w:start="1"/>
          <w:cols w:space="708"/>
          <w:titlePg/>
          <w:docGrid w:linePitch="360"/>
        </w:sectPr>
      </w:pPr>
      <w:bookmarkStart w:id="46" w:name="_Toc132621088"/>
      <w:bookmarkEnd w:id="43"/>
    </w:p>
    <w:p w14:paraId="371AA25E" w14:textId="77777777" w:rsidR="008B756F" w:rsidRDefault="008B756F" w:rsidP="001B1133">
      <w:pPr>
        <w:pStyle w:val="Ttulo2"/>
        <w:tabs>
          <w:tab w:val="clear" w:pos="426"/>
          <w:tab w:val="clear" w:pos="567"/>
          <w:tab w:val="clear" w:pos="3969"/>
          <w:tab w:val="clear" w:pos="4962"/>
          <w:tab w:val="clear" w:pos="6096"/>
          <w:tab w:val="clear" w:pos="7230"/>
          <w:tab w:val="clear" w:pos="8222"/>
        </w:tabs>
        <w:ind w:left="0" w:right="-340" w:firstLine="0"/>
        <w:jc w:val="left"/>
        <w:rPr>
          <w:rFonts w:asciiTheme="minorHAnsi" w:hAnsiTheme="minorHAnsi" w:cstheme="minorHAnsi"/>
          <w:bCs/>
          <w:iCs/>
          <w:sz w:val="22"/>
          <w:szCs w:val="22"/>
        </w:rPr>
      </w:pPr>
      <w:bookmarkStart w:id="47" w:name="_Toc221618464"/>
      <w:r w:rsidRPr="009A4D5D">
        <w:rPr>
          <w:rFonts w:asciiTheme="minorHAnsi" w:hAnsiTheme="minorHAnsi" w:cstheme="minorHAnsi"/>
          <w:bCs/>
          <w:iCs/>
          <w:sz w:val="22"/>
          <w:szCs w:val="22"/>
        </w:rPr>
        <w:lastRenderedPageBreak/>
        <w:t xml:space="preserve">2.1 </w:t>
      </w:r>
      <w:bookmarkEnd w:id="46"/>
      <w:r w:rsidRPr="009A4D5D">
        <w:rPr>
          <w:rFonts w:asciiTheme="minorHAnsi" w:hAnsiTheme="minorHAnsi" w:cstheme="minorHAnsi"/>
          <w:bCs/>
          <w:iCs/>
          <w:sz w:val="22"/>
          <w:szCs w:val="22"/>
        </w:rPr>
        <w:t>Balanço</w:t>
      </w:r>
      <w:r w:rsidR="00A86BFE" w:rsidRPr="009A4D5D">
        <w:rPr>
          <w:rFonts w:asciiTheme="minorHAnsi" w:hAnsiTheme="minorHAnsi" w:cstheme="minorHAnsi"/>
          <w:bCs/>
          <w:iCs/>
          <w:sz w:val="22"/>
          <w:szCs w:val="22"/>
        </w:rPr>
        <w:t>s</w:t>
      </w:r>
      <w:bookmarkEnd w:id="47"/>
    </w:p>
    <w:p w14:paraId="571D4236" w14:textId="77777777" w:rsidR="008B6178" w:rsidRDefault="008B6178" w:rsidP="00BC7B37">
      <w:pPr>
        <w:jc w:val="center"/>
        <w:rPr>
          <w:rFonts w:asciiTheme="minorHAnsi" w:hAnsiTheme="minorHAnsi" w:cstheme="minorHAnsi"/>
          <w:lang w:eastAsia="en-US"/>
        </w:rPr>
      </w:pPr>
    </w:p>
    <w:p w14:paraId="240C41DD" w14:textId="77777777" w:rsidR="00736CB4" w:rsidRDefault="00736CB4" w:rsidP="00BC7B37">
      <w:pPr>
        <w:jc w:val="center"/>
        <w:rPr>
          <w:rFonts w:asciiTheme="minorHAnsi" w:hAnsiTheme="minorHAnsi" w:cstheme="minorHAnsi"/>
          <w:lang w:eastAsia="en-US"/>
        </w:rPr>
      </w:pPr>
    </w:p>
    <w:p w14:paraId="513FD005" w14:textId="75136EE9" w:rsidR="00150A36" w:rsidRDefault="00500D67" w:rsidP="00BC7B37">
      <w:pPr>
        <w:jc w:val="center"/>
        <w:rPr>
          <w:rFonts w:asciiTheme="minorHAnsi" w:hAnsiTheme="minorHAnsi" w:cstheme="minorHAnsi"/>
          <w:lang w:eastAsia="en-US"/>
        </w:rPr>
      </w:pPr>
      <w:r w:rsidRPr="00E57839">
        <w:rPr>
          <w:noProof/>
        </w:rPr>
        <w:drawing>
          <wp:inline distT="0" distB="0" distL="0" distR="0" wp14:anchorId="169061C7" wp14:editId="3EF96748">
            <wp:extent cx="8891270" cy="3896360"/>
            <wp:effectExtent l="0" t="0" r="5080" b="0"/>
            <wp:docPr id="189029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91270" cy="3896360"/>
                    </a:xfrm>
                    <a:prstGeom prst="rect">
                      <a:avLst/>
                    </a:prstGeom>
                    <a:noFill/>
                    <a:ln>
                      <a:noFill/>
                    </a:ln>
                  </pic:spPr>
                </pic:pic>
              </a:graphicData>
            </a:graphic>
          </wp:inline>
        </w:drawing>
      </w:r>
    </w:p>
    <w:p w14:paraId="28B40F7B" w14:textId="143CB6A0" w:rsidR="00704298" w:rsidRPr="00B162F1" w:rsidRDefault="00704298" w:rsidP="00BC7B37">
      <w:pPr>
        <w:jc w:val="center"/>
        <w:rPr>
          <w:rFonts w:asciiTheme="minorHAnsi" w:hAnsiTheme="minorHAnsi" w:cstheme="minorHAnsi"/>
          <w:lang w:eastAsia="en-US"/>
        </w:rPr>
      </w:pPr>
    </w:p>
    <w:p w14:paraId="3D69328F" w14:textId="77777777" w:rsidR="008B6F35" w:rsidRDefault="008B6F35">
      <w:pPr>
        <w:rPr>
          <w:rFonts w:asciiTheme="minorHAnsi" w:hAnsiTheme="minorHAnsi" w:cstheme="minorHAnsi"/>
        </w:rPr>
        <w:sectPr w:rsidR="008B6F35" w:rsidSect="006866A9">
          <w:pgSz w:w="16838" w:h="11906" w:orient="landscape" w:code="9"/>
          <w:pgMar w:top="1701" w:right="1418" w:bottom="1701" w:left="1418" w:header="709" w:footer="709" w:gutter="0"/>
          <w:pgBorders w:offsetFrom="page">
            <w:left w:val="single" w:sz="4" w:space="24" w:color="FFFFFF" w:themeColor="background1"/>
            <w:right w:val="single" w:sz="4" w:space="24" w:color="FFFFFF" w:themeColor="background1"/>
          </w:pgBorders>
          <w:cols w:space="708"/>
          <w:docGrid w:linePitch="360"/>
        </w:sectPr>
      </w:pPr>
    </w:p>
    <w:p w14:paraId="3C35495C" w14:textId="6E4975C0" w:rsidR="00A86BFE" w:rsidRDefault="00A86BFE" w:rsidP="001B1133">
      <w:pPr>
        <w:pStyle w:val="Ttulo2"/>
        <w:tabs>
          <w:tab w:val="clear" w:pos="426"/>
          <w:tab w:val="clear" w:pos="567"/>
          <w:tab w:val="clear" w:pos="3969"/>
          <w:tab w:val="clear" w:pos="4962"/>
          <w:tab w:val="clear" w:pos="6096"/>
          <w:tab w:val="clear" w:pos="7230"/>
          <w:tab w:val="clear" w:pos="8222"/>
        </w:tabs>
        <w:ind w:left="0" w:right="-340" w:firstLine="0"/>
        <w:jc w:val="left"/>
        <w:rPr>
          <w:rFonts w:asciiTheme="minorHAnsi" w:hAnsiTheme="minorHAnsi" w:cstheme="minorHAnsi"/>
          <w:bCs/>
          <w:iCs/>
          <w:sz w:val="22"/>
          <w:szCs w:val="22"/>
        </w:rPr>
      </w:pPr>
      <w:bookmarkStart w:id="48" w:name="_Toc221618465"/>
      <w:r w:rsidRPr="009A4D5D">
        <w:rPr>
          <w:rFonts w:asciiTheme="minorHAnsi" w:hAnsiTheme="minorHAnsi" w:cstheme="minorHAnsi"/>
          <w:bCs/>
          <w:iCs/>
          <w:sz w:val="22"/>
          <w:szCs w:val="22"/>
        </w:rPr>
        <w:lastRenderedPageBreak/>
        <w:t>2.2 Demonstrações do</w:t>
      </w:r>
      <w:r w:rsidR="00B54BEE" w:rsidRPr="009A4D5D">
        <w:rPr>
          <w:rFonts w:asciiTheme="minorHAnsi" w:hAnsiTheme="minorHAnsi" w:cstheme="minorHAnsi"/>
          <w:bCs/>
          <w:iCs/>
          <w:sz w:val="22"/>
          <w:szCs w:val="22"/>
        </w:rPr>
        <w:t>s Resultados</w:t>
      </w:r>
      <w:bookmarkEnd w:id="48"/>
      <w:r w:rsidR="00B54BEE" w:rsidRPr="009A4D5D">
        <w:rPr>
          <w:rFonts w:asciiTheme="minorHAnsi" w:hAnsiTheme="minorHAnsi" w:cstheme="minorHAnsi"/>
          <w:bCs/>
          <w:iCs/>
          <w:sz w:val="22"/>
          <w:szCs w:val="22"/>
        </w:rPr>
        <w:t xml:space="preserve"> </w:t>
      </w:r>
    </w:p>
    <w:p w14:paraId="13373460" w14:textId="63DD8882" w:rsidR="004E6E8A" w:rsidRDefault="004E6E8A" w:rsidP="004E6E8A">
      <w:pPr>
        <w:rPr>
          <w:lang w:eastAsia="en-US"/>
        </w:rPr>
      </w:pPr>
    </w:p>
    <w:p w14:paraId="4CEE574B" w14:textId="77777777" w:rsidR="00736CB4" w:rsidRDefault="00736CB4" w:rsidP="004E6E8A">
      <w:pPr>
        <w:rPr>
          <w:lang w:eastAsia="en-US"/>
        </w:rPr>
      </w:pPr>
    </w:p>
    <w:p w14:paraId="0395EA47" w14:textId="77777777" w:rsidR="00736CB4" w:rsidRDefault="00736CB4" w:rsidP="004E6E8A">
      <w:pPr>
        <w:rPr>
          <w:lang w:eastAsia="en-US"/>
        </w:rPr>
      </w:pPr>
    </w:p>
    <w:p w14:paraId="7BC366E4" w14:textId="77777777" w:rsidR="00736CB4" w:rsidRDefault="00736CB4" w:rsidP="004E6E8A">
      <w:pPr>
        <w:rPr>
          <w:lang w:eastAsia="en-US"/>
        </w:rPr>
      </w:pPr>
    </w:p>
    <w:p w14:paraId="3F41EA56" w14:textId="5B1B8B17" w:rsidR="00736CB4" w:rsidRDefault="00736CB4" w:rsidP="004E6E8A">
      <w:pPr>
        <w:rPr>
          <w:lang w:eastAsia="en-US"/>
        </w:rPr>
      </w:pPr>
      <w:r w:rsidRPr="00736CB4">
        <w:rPr>
          <w:noProof/>
        </w:rPr>
        <w:drawing>
          <wp:inline distT="0" distB="0" distL="0" distR="0" wp14:anchorId="24DC993A" wp14:editId="19FD743E">
            <wp:extent cx="5400040" cy="5036185"/>
            <wp:effectExtent l="0" t="0" r="0" b="0"/>
            <wp:docPr id="170008040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040" cy="5036185"/>
                    </a:xfrm>
                    <a:prstGeom prst="rect">
                      <a:avLst/>
                    </a:prstGeom>
                    <a:noFill/>
                    <a:ln>
                      <a:noFill/>
                    </a:ln>
                  </pic:spPr>
                </pic:pic>
              </a:graphicData>
            </a:graphic>
          </wp:inline>
        </w:drawing>
      </w:r>
    </w:p>
    <w:p w14:paraId="76251DDC" w14:textId="77777777" w:rsidR="00431098" w:rsidRDefault="00431098" w:rsidP="004E6E8A">
      <w:pPr>
        <w:rPr>
          <w:lang w:eastAsia="en-US"/>
        </w:rPr>
      </w:pPr>
    </w:p>
    <w:p w14:paraId="6143B5AB" w14:textId="1668E847" w:rsidR="0022531C" w:rsidRDefault="0022531C" w:rsidP="004E6E8A">
      <w:pPr>
        <w:rPr>
          <w:lang w:eastAsia="en-US"/>
        </w:rPr>
      </w:pPr>
    </w:p>
    <w:p w14:paraId="14955969" w14:textId="7836C35B" w:rsidR="0022531C" w:rsidRDefault="0022531C" w:rsidP="00C613A0">
      <w:pPr>
        <w:jc w:val="center"/>
        <w:rPr>
          <w:lang w:eastAsia="en-US"/>
        </w:rPr>
      </w:pPr>
    </w:p>
    <w:p w14:paraId="03AAEE3E" w14:textId="4A8E7B06" w:rsidR="0022531C" w:rsidRDefault="0022531C" w:rsidP="0046289A">
      <w:pPr>
        <w:jc w:val="center"/>
        <w:rPr>
          <w:lang w:eastAsia="en-US"/>
        </w:rPr>
      </w:pPr>
    </w:p>
    <w:p w14:paraId="1B75B171" w14:textId="2786911C" w:rsidR="004E6E8A" w:rsidRPr="004E6E8A" w:rsidRDefault="004E6E8A" w:rsidP="004E6E8A">
      <w:pPr>
        <w:rPr>
          <w:lang w:eastAsia="en-US"/>
        </w:rPr>
      </w:pPr>
    </w:p>
    <w:p w14:paraId="6B2B6ADA" w14:textId="23E9062E" w:rsidR="00DD3D36" w:rsidRDefault="00DD3D36" w:rsidP="00C55377"/>
    <w:p w14:paraId="210B2C57" w14:textId="4E2C7835" w:rsidR="00DD3D36" w:rsidRPr="00C55377" w:rsidRDefault="00DD3D36" w:rsidP="00C55377"/>
    <w:p w14:paraId="634C10F5" w14:textId="66290FBB" w:rsidR="008B6F35" w:rsidRDefault="008B6F35" w:rsidP="00F57DE7"/>
    <w:p w14:paraId="504D6F8B" w14:textId="07958BFE" w:rsidR="00B83AE5" w:rsidRDefault="00B83AE5" w:rsidP="00F57DE7"/>
    <w:p w14:paraId="78336C3B" w14:textId="2D37224B" w:rsidR="008B6F35" w:rsidRDefault="008B6F35" w:rsidP="00F57DE7"/>
    <w:p w14:paraId="67CBFC7B" w14:textId="77777777" w:rsidR="008B6F35" w:rsidRPr="00F57DE7" w:rsidRDefault="008B6F35" w:rsidP="00F57DE7"/>
    <w:p w14:paraId="17A1EE00" w14:textId="77777777" w:rsidR="008B6F35" w:rsidRDefault="008B6F35">
      <w:pPr>
        <w:rPr>
          <w:lang w:eastAsia="en-US"/>
        </w:rPr>
      </w:pPr>
      <w:r>
        <w:rPr>
          <w:lang w:eastAsia="en-US"/>
        </w:rPr>
        <w:br w:type="page"/>
      </w:r>
    </w:p>
    <w:p w14:paraId="0149FAEA" w14:textId="77777777" w:rsidR="00B541F3" w:rsidRDefault="00B541F3" w:rsidP="00B541F3">
      <w:pPr>
        <w:pStyle w:val="Ttulo2"/>
        <w:tabs>
          <w:tab w:val="clear" w:pos="426"/>
          <w:tab w:val="clear" w:pos="567"/>
          <w:tab w:val="clear" w:pos="3969"/>
          <w:tab w:val="clear" w:pos="4962"/>
          <w:tab w:val="clear" w:pos="6096"/>
          <w:tab w:val="clear" w:pos="7230"/>
          <w:tab w:val="clear" w:pos="8222"/>
        </w:tabs>
        <w:ind w:left="0" w:right="-340" w:firstLine="0"/>
        <w:jc w:val="left"/>
        <w:rPr>
          <w:rFonts w:asciiTheme="minorHAnsi" w:hAnsiTheme="minorHAnsi" w:cstheme="minorHAnsi"/>
          <w:bCs/>
          <w:iCs/>
          <w:sz w:val="22"/>
          <w:szCs w:val="22"/>
        </w:rPr>
      </w:pPr>
      <w:bookmarkStart w:id="49" w:name="_Toc221618466"/>
      <w:r>
        <w:rPr>
          <w:rFonts w:asciiTheme="minorHAnsi" w:hAnsiTheme="minorHAnsi" w:cstheme="minorHAnsi"/>
          <w:bCs/>
          <w:iCs/>
          <w:sz w:val="22"/>
          <w:szCs w:val="22"/>
        </w:rPr>
        <w:lastRenderedPageBreak/>
        <w:t>2.3</w:t>
      </w:r>
      <w:r w:rsidRPr="009A4D5D">
        <w:rPr>
          <w:rFonts w:asciiTheme="minorHAnsi" w:hAnsiTheme="minorHAnsi" w:cstheme="minorHAnsi"/>
          <w:bCs/>
          <w:iCs/>
          <w:sz w:val="22"/>
          <w:szCs w:val="22"/>
        </w:rPr>
        <w:t xml:space="preserve"> Demonstrações </w:t>
      </w:r>
      <w:r w:rsidR="00F55217">
        <w:rPr>
          <w:rFonts w:asciiTheme="minorHAnsi" w:hAnsiTheme="minorHAnsi" w:cstheme="minorHAnsi"/>
          <w:bCs/>
          <w:iCs/>
          <w:sz w:val="22"/>
          <w:szCs w:val="22"/>
        </w:rPr>
        <w:t xml:space="preserve">dos Resultados e </w:t>
      </w:r>
      <w:r w:rsidRPr="009A4D5D">
        <w:rPr>
          <w:rFonts w:asciiTheme="minorHAnsi" w:hAnsiTheme="minorHAnsi" w:cstheme="minorHAnsi"/>
          <w:bCs/>
          <w:iCs/>
          <w:sz w:val="22"/>
          <w:szCs w:val="22"/>
        </w:rPr>
        <w:t xml:space="preserve">do </w:t>
      </w:r>
      <w:r w:rsidR="00742E4A">
        <w:rPr>
          <w:rFonts w:asciiTheme="minorHAnsi" w:hAnsiTheme="minorHAnsi" w:cstheme="minorHAnsi"/>
          <w:bCs/>
          <w:iCs/>
          <w:sz w:val="22"/>
          <w:szCs w:val="22"/>
        </w:rPr>
        <w:t xml:space="preserve">Outro </w:t>
      </w:r>
      <w:r w:rsidRPr="009A4D5D">
        <w:rPr>
          <w:rFonts w:asciiTheme="minorHAnsi" w:hAnsiTheme="minorHAnsi" w:cstheme="minorHAnsi"/>
          <w:bCs/>
          <w:iCs/>
          <w:sz w:val="22"/>
          <w:szCs w:val="22"/>
        </w:rPr>
        <w:t>Rendimento Integral</w:t>
      </w:r>
      <w:bookmarkEnd w:id="49"/>
    </w:p>
    <w:p w14:paraId="0E2B9729" w14:textId="7D445CAD" w:rsidR="008B6F35" w:rsidRDefault="008B6F35" w:rsidP="005969EA"/>
    <w:p w14:paraId="42A44173" w14:textId="13123DAC" w:rsidR="0022531C" w:rsidRDefault="0022531C" w:rsidP="005969EA"/>
    <w:p w14:paraId="0D288499" w14:textId="77777777" w:rsidR="00C613A0" w:rsidRDefault="00C613A0" w:rsidP="005969EA"/>
    <w:p w14:paraId="22EC5C16" w14:textId="77777777" w:rsidR="00C613A0" w:rsidRDefault="00C613A0" w:rsidP="005969EA"/>
    <w:p w14:paraId="64BACD8A" w14:textId="2EC03EC7" w:rsidR="00C613A0" w:rsidRDefault="00736CB4" w:rsidP="005969EA">
      <w:r w:rsidRPr="00736CB4">
        <w:rPr>
          <w:noProof/>
        </w:rPr>
        <w:drawing>
          <wp:inline distT="0" distB="0" distL="0" distR="0" wp14:anchorId="39C9FAC0" wp14:editId="3600CBDA">
            <wp:extent cx="5400040" cy="3000375"/>
            <wp:effectExtent l="0" t="0" r="0" b="0"/>
            <wp:docPr id="27284856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040" cy="3000375"/>
                    </a:xfrm>
                    <a:prstGeom prst="rect">
                      <a:avLst/>
                    </a:prstGeom>
                    <a:noFill/>
                    <a:ln>
                      <a:noFill/>
                    </a:ln>
                  </pic:spPr>
                </pic:pic>
              </a:graphicData>
            </a:graphic>
          </wp:inline>
        </w:drawing>
      </w:r>
    </w:p>
    <w:p w14:paraId="217603F8" w14:textId="67F172D7" w:rsidR="00C04DC9" w:rsidRDefault="00C04DC9" w:rsidP="005969EA"/>
    <w:p w14:paraId="4E313411" w14:textId="77777777" w:rsidR="00C04DC9" w:rsidRDefault="00C04DC9" w:rsidP="005969EA"/>
    <w:p w14:paraId="3DB542C8" w14:textId="77777777" w:rsidR="00C04DC9" w:rsidRDefault="00C04DC9" w:rsidP="005969EA"/>
    <w:p w14:paraId="0CF3E15C" w14:textId="275EF73E" w:rsidR="00431098" w:rsidRDefault="00431098" w:rsidP="005969EA"/>
    <w:p w14:paraId="4117DA63" w14:textId="321DA20E" w:rsidR="00431098" w:rsidRDefault="00431098" w:rsidP="005969EA"/>
    <w:p w14:paraId="7036529B" w14:textId="77777777" w:rsidR="00431098" w:rsidRDefault="00431098" w:rsidP="005969EA"/>
    <w:p w14:paraId="3DD4A6EF" w14:textId="4B9E63D6" w:rsidR="00147C58" w:rsidRDefault="00147C58" w:rsidP="005969EA"/>
    <w:p w14:paraId="1D5F5C38" w14:textId="59B4F61A" w:rsidR="00147C58" w:rsidRDefault="00147C58" w:rsidP="005969EA"/>
    <w:p w14:paraId="51BC239F" w14:textId="77777777" w:rsidR="0022531C" w:rsidRDefault="0022531C" w:rsidP="005969EA"/>
    <w:p w14:paraId="592EF0E3" w14:textId="7A72995B" w:rsidR="002B36FD" w:rsidRDefault="002B36FD" w:rsidP="005969EA"/>
    <w:p w14:paraId="19723ABC" w14:textId="7079992A" w:rsidR="002B36FD" w:rsidRPr="005969EA" w:rsidRDefault="002B36FD" w:rsidP="005969EA"/>
    <w:p w14:paraId="372504C0" w14:textId="1B0C5934" w:rsidR="008B6F35" w:rsidRDefault="008B6F35" w:rsidP="005969EA"/>
    <w:p w14:paraId="223419F6" w14:textId="77777777" w:rsidR="008B6F35" w:rsidRDefault="008B6F35" w:rsidP="005969EA"/>
    <w:p w14:paraId="43D4AE89" w14:textId="77777777" w:rsidR="008B6F35" w:rsidRDefault="008B6F35" w:rsidP="005969EA"/>
    <w:p w14:paraId="6F98EE71" w14:textId="77777777" w:rsidR="008B6F35" w:rsidRPr="00E87BB3" w:rsidRDefault="008B6F35" w:rsidP="00F57DE7"/>
    <w:p w14:paraId="59005764" w14:textId="77777777" w:rsidR="008B6F35" w:rsidRPr="00E87BB3" w:rsidRDefault="008B6F35" w:rsidP="00F57DE7"/>
    <w:p w14:paraId="7D25785B" w14:textId="77777777" w:rsidR="008B6F35" w:rsidRDefault="008B6F35" w:rsidP="005969EA"/>
    <w:p w14:paraId="218743E1" w14:textId="77777777" w:rsidR="008B6F35" w:rsidRPr="006D4B78" w:rsidRDefault="008B6F35" w:rsidP="00F57DE7"/>
    <w:p w14:paraId="5D43DC4A" w14:textId="77777777" w:rsidR="008B6F35" w:rsidRDefault="008B6F35" w:rsidP="005969EA"/>
    <w:p w14:paraId="0F66DCA6" w14:textId="77777777" w:rsidR="008B6F35" w:rsidRDefault="008B6F35" w:rsidP="005969EA">
      <w:pPr>
        <w:rPr>
          <w:b/>
        </w:rPr>
        <w:sectPr w:rsidR="008B6F35" w:rsidSect="006866A9">
          <w:pgSz w:w="11906" w:h="16838" w:code="9"/>
          <w:pgMar w:top="1418" w:right="1701" w:bottom="1418" w:left="1701" w:header="709" w:footer="709" w:gutter="0"/>
          <w:pgBorders w:offsetFrom="page">
            <w:left w:val="single" w:sz="4" w:space="24" w:color="FFFFFF" w:themeColor="background1"/>
            <w:right w:val="single" w:sz="4" w:space="24" w:color="FFFFFF" w:themeColor="background1"/>
          </w:pgBorders>
          <w:cols w:space="708"/>
          <w:docGrid w:linePitch="360"/>
        </w:sectPr>
      </w:pPr>
    </w:p>
    <w:p w14:paraId="782B9701" w14:textId="77777777" w:rsidR="008B6F35" w:rsidRDefault="00B541F3" w:rsidP="008B6F35">
      <w:pPr>
        <w:pStyle w:val="Ttulo2"/>
        <w:tabs>
          <w:tab w:val="clear" w:pos="426"/>
          <w:tab w:val="clear" w:pos="567"/>
          <w:tab w:val="clear" w:pos="3969"/>
          <w:tab w:val="clear" w:pos="4962"/>
          <w:tab w:val="clear" w:pos="6096"/>
          <w:tab w:val="clear" w:pos="7230"/>
          <w:tab w:val="clear" w:pos="8222"/>
        </w:tabs>
        <w:ind w:left="0" w:right="-340" w:firstLine="0"/>
        <w:jc w:val="left"/>
        <w:rPr>
          <w:rFonts w:asciiTheme="minorHAnsi" w:hAnsiTheme="minorHAnsi" w:cstheme="minorHAnsi"/>
          <w:bCs/>
          <w:iCs/>
          <w:sz w:val="22"/>
          <w:szCs w:val="22"/>
        </w:rPr>
      </w:pPr>
      <w:bookmarkStart w:id="50" w:name="_Toc221618467"/>
      <w:r>
        <w:rPr>
          <w:rFonts w:asciiTheme="minorHAnsi" w:hAnsiTheme="minorHAnsi" w:cstheme="minorHAnsi"/>
          <w:bCs/>
          <w:iCs/>
          <w:sz w:val="22"/>
          <w:szCs w:val="22"/>
        </w:rPr>
        <w:lastRenderedPageBreak/>
        <w:t>2.4</w:t>
      </w:r>
      <w:r w:rsidR="008B6F35" w:rsidRPr="009A4D5D">
        <w:rPr>
          <w:rFonts w:asciiTheme="minorHAnsi" w:hAnsiTheme="minorHAnsi" w:cstheme="minorHAnsi"/>
          <w:bCs/>
          <w:iCs/>
          <w:sz w:val="22"/>
          <w:szCs w:val="22"/>
        </w:rPr>
        <w:t xml:space="preserve"> Demonstrações das Alterações no Capita</w:t>
      </w:r>
      <w:r>
        <w:rPr>
          <w:rFonts w:asciiTheme="minorHAnsi" w:hAnsiTheme="minorHAnsi" w:cstheme="minorHAnsi"/>
          <w:bCs/>
          <w:iCs/>
          <w:sz w:val="22"/>
          <w:szCs w:val="22"/>
        </w:rPr>
        <w:t>l</w:t>
      </w:r>
      <w:r w:rsidR="008B6F35" w:rsidRPr="009A4D5D">
        <w:rPr>
          <w:rFonts w:asciiTheme="minorHAnsi" w:hAnsiTheme="minorHAnsi" w:cstheme="minorHAnsi"/>
          <w:bCs/>
          <w:iCs/>
          <w:sz w:val="22"/>
          <w:szCs w:val="22"/>
        </w:rPr>
        <w:t xml:space="preserve"> Próprio</w:t>
      </w:r>
      <w:bookmarkEnd w:id="50"/>
    </w:p>
    <w:p w14:paraId="5B1C195D" w14:textId="1EDDBA3A" w:rsidR="00550627" w:rsidRDefault="00550627" w:rsidP="008B6F35">
      <w:pPr>
        <w:rPr>
          <w:noProof/>
        </w:rPr>
      </w:pPr>
    </w:p>
    <w:p w14:paraId="12DC8F25" w14:textId="77777777" w:rsidR="00550627" w:rsidRDefault="00550627" w:rsidP="00C55377">
      <w:pPr>
        <w:jc w:val="center"/>
        <w:rPr>
          <w:noProof/>
        </w:rPr>
      </w:pPr>
    </w:p>
    <w:p w14:paraId="585E7055" w14:textId="34CF9AD1" w:rsidR="00C04DC9" w:rsidRDefault="00C04DC9" w:rsidP="00C55377">
      <w:pPr>
        <w:jc w:val="center"/>
        <w:rPr>
          <w:noProof/>
        </w:rPr>
      </w:pPr>
    </w:p>
    <w:p w14:paraId="29EE6BD2" w14:textId="00AE516F" w:rsidR="00736CB4" w:rsidRDefault="00736CB4" w:rsidP="00C55377">
      <w:pPr>
        <w:jc w:val="center"/>
        <w:rPr>
          <w:noProof/>
        </w:rPr>
      </w:pPr>
      <w:r w:rsidRPr="00736CB4">
        <w:rPr>
          <w:noProof/>
        </w:rPr>
        <w:drawing>
          <wp:inline distT="0" distB="0" distL="0" distR="0" wp14:anchorId="39C9F4C9" wp14:editId="3A76C307">
            <wp:extent cx="7848000" cy="4176000"/>
            <wp:effectExtent l="0" t="0" r="635" b="0"/>
            <wp:docPr id="177139378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848000" cy="4176000"/>
                    </a:xfrm>
                    <a:prstGeom prst="rect">
                      <a:avLst/>
                    </a:prstGeom>
                    <a:noFill/>
                    <a:ln>
                      <a:noFill/>
                    </a:ln>
                  </pic:spPr>
                </pic:pic>
              </a:graphicData>
            </a:graphic>
          </wp:inline>
        </w:drawing>
      </w:r>
    </w:p>
    <w:p w14:paraId="6005E55E" w14:textId="785D0BC6" w:rsidR="00C04DC9" w:rsidRDefault="00C04DC9" w:rsidP="00C55377">
      <w:pPr>
        <w:jc w:val="center"/>
        <w:rPr>
          <w:lang w:eastAsia="en-US"/>
        </w:rPr>
        <w:sectPr w:rsidR="00C04DC9" w:rsidSect="006866A9">
          <w:pgSz w:w="16838" w:h="11906" w:orient="landscape" w:code="9"/>
          <w:pgMar w:top="1701" w:right="1418" w:bottom="1701" w:left="1418" w:header="709" w:footer="709" w:gutter="0"/>
          <w:pgBorders w:offsetFrom="page">
            <w:left w:val="single" w:sz="4" w:space="24" w:color="FFFFFF" w:themeColor="background1"/>
            <w:right w:val="single" w:sz="4" w:space="24" w:color="FFFFFF" w:themeColor="background1"/>
          </w:pgBorders>
          <w:cols w:space="708"/>
          <w:docGrid w:linePitch="360"/>
        </w:sectPr>
      </w:pPr>
    </w:p>
    <w:p w14:paraId="5D3D2628" w14:textId="77777777" w:rsidR="00C20D59" w:rsidRDefault="00C20D59" w:rsidP="00C20D59">
      <w:pPr>
        <w:pStyle w:val="Ttulo2"/>
        <w:tabs>
          <w:tab w:val="clear" w:pos="426"/>
          <w:tab w:val="clear" w:pos="567"/>
          <w:tab w:val="clear" w:pos="3969"/>
          <w:tab w:val="clear" w:pos="4962"/>
          <w:tab w:val="clear" w:pos="6096"/>
          <w:tab w:val="clear" w:pos="7230"/>
          <w:tab w:val="clear" w:pos="8222"/>
        </w:tabs>
        <w:ind w:left="0" w:right="-340" w:firstLine="0"/>
        <w:jc w:val="left"/>
        <w:rPr>
          <w:rFonts w:asciiTheme="minorHAnsi" w:hAnsiTheme="minorHAnsi" w:cstheme="minorHAnsi"/>
          <w:bCs/>
          <w:iCs/>
          <w:sz w:val="22"/>
          <w:szCs w:val="22"/>
        </w:rPr>
      </w:pPr>
      <w:bookmarkStart w:id="51" w:name="_Toc221618468"/>
      <w:r w:rsidRPr="009A4D5D">
        <w:rPr>
          <w:rFonts w:asciiTheme="minorHAnsi" w:hAnsiTheme="minorHAnsi" w:cstheme="minorHAnsi"/>
          <w:bCs/>
          <w:iCs/>
          <w:sz w:val="22"/>
          <w:szCs w:val="22"/>
        </w:rPr>
        <w:lastRenderedPageBreak/>
        <w:t>2.</w:t>
      </w:r>
      <w:r w:rsidR="00F55217">
        <w:rPr>
          <w:rFonts w:asciiTheme="minorHAnsi" w:hAnsiTheme="minorHAnsi" w:cstheme="minorHAnsi"/>
          <w:bCs/>
          <w:iCs/>
          <w:sz w:val="22"/>
          <w:szCs w:val="22"/>
        </w:rPr>
        <w:t>5</w:t>
      </w:r>
      <w:r w:rsidRPr="009A4D5D">
        <w:rPr>
          <w:rFonts w:asciiTheme="minorHAnsi" w:hAnsiTheme="minorHAnsi" w:cstheme="minorHAnsi"/>
          <w:bCs/>
          <w:iCs/>
          <w:sz w:val="22"/>
          <w:szCs w:val="22"/>
        </w:rPr>
        <w:t xml:space="preserve"> Demonstrações dos Fluxos de Caixa</w:t>
      </w:r>
      <w:bookmarkEnd w:id="51"/>
    </w:p>
    <w:p w14:paraId="0DEDB2A9" w14:textId="543C3203" w:rsidR="00C20D59" w:rsidRDefault="00C20D59" w:rsidP="00F57DE7">
      <w:pPr>
        <w:rPr>
          <w:rFonts w:asciiTheme="minorHAnsi" w:hAnsiTheme="minorHAnsi" w:cstheme="minorHAnsi"/>
          <w:sz w:val="22"/>
          <w:szCs w:val="22"/>
        </w:rPr>
      </w:pPr>
    </w:p>
    <w:p w14:paraId="596AED19" w14:textId="77777777" w:rsidR="00431098" w:rsidRDefault="00431098" w:rsidP="00F57DE7">
      <w:pPr>
        <w:rPr>
          <w:rFonts w:asciiTheme="minorHAnsi" w:hAnsiTheme="minorHAnsi" w:cstheme="minorHAnsi"/>
          <w:sz w:val="22"/>
          <w:szCs w:val="22"/>
        </w:rPr>
      </w:pPr>
    </w:p>
    <w:p w14:paraId="07B427E6" w14:textId="77777777" w:rsidR="00736CB4" w:rsidRDefault="00736CB4" w:rsidP="00F57DE7">
      <w:pPr>
        <w:rPr>
          <w:rFonts w:asciiTheme="minorHAnsi" w:hAnsiTheme="minorHAnsi" w:cstheme="minorHAnsi"/>
          <w:sz w:val="22"/>
          <w:szCs w:val="22"/>
        </w:rPr>
      </w:pPr>
    </w:p>
    <w:p w14:paraId="24578744" w14:textId="1FFFBEBF" w:rsidR="007F3FF9" w:rsidRDefault="00736CB4" w:rsidP="00F57DE7">
      <w:pPr>
        <w:rPr>
          <w:rFonts w:asciiTheme="minorHAnsi" w:hAnsiTheme="minorHAnsi" w:cstheme="minorHAnsi"/>
          <w:sz w:val="22"/>
          <w:szCs w:val="22"/>
        </w:rPr>
      </w:pPr>
      <w:r w:rsidRPr="00736CB4">
        <w:rPr>
          <w:noProof/>
        </w:rPr>
        <w:drawing>
          <wp:inline distT="0" distB="0" distL="0" distR="0" wp14:anchorId="78B930E3" wp14:editId="11444EF6">
            <wp:extent cx="5311140" cy="5524500"/>
            <wp:effectExtent l="0" t="0" r="0" b="0"/>
            <wp:docPr id="208107965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11140" cy="5524500"/>
                    </a:xfrm>
                    <a:prstGeom prst="rect">
                      <a:avLst/>
                    </a:prstGeom>
                    <a:noFill/>
                    <a:ln>
                      <a:noFill/>
                    </a:ln>
                  </pic:spPr>
                </pic:pic>
              </a:graphicData>
            </a:graphic>
          </wp:inline>
        </w:drawing>
      </w:r>
    </w:p>
    <w:p w14:paraId="464D8F72" w14:textId="08635BBD" w:rsidR="007F3FF9" w:rsidRDefault="007F3FF9" w:rsidP="00F57DE7">
      <w:pPr>
        <w:rPr>
          <w:rFonts w:asciiTheme="minorHAnsi" w:hAnsiTheme="minorHAnsi" w:cstheme="minorHAnsi"/>
          <w:sz w:val="22"/>
          <w:szCs w:val="22"/>
        </w:rPr>
      </w:pPr>
    </w:p>
    <w:p w14:paraId="0A50A72A" w14:textId="77777777" w:rsidR="007F3FF9" w:rsidRDefault="007F3FF9" w:rsidP="00F57DE7">
      <w:pPr>
        <w:rPr>
          <w:rFonts w:asciiTheme="minorHAnsi" w:hAnsiTheme="minorHAnsi" w:cstheme="minorHAnsi"/>
          <w:sz w:val="22"/>
          <w:szCs w:val="22"/>
        </w:rPr>
      </w:pPr>
    </w:p>
    <w:p w14:paraId="5F870D4C" w14:textId="6B591680" w:rsidR="002C2FE4" w:rsidRPr="005969EA" w:rsidRDefault="002C2FE4" w:rsidP="00F57DE7">
      <w:pPr>
        <w:rPr>
          <w:rFonts w:asciiTheme="minorHAnsi" w:hAnsiTheme="minorHAnsi" w:cstheme="minorHAnsi"/>
          <w:sz w:val="22"/>
          <w:szCs w:val="22"/>
        </w:rPr>
      </w:pPr>
    </w:p>
    <w:p w14:paraId="72EBC6F9" w14:textId="218EF87A" w:rsidR="00C20D59" w:rsidRPr="005969EA" w:rsidRDefault="00C20D59" w:rsidP="005969EA">
      <w:pPr>
        <w:rPr>
          <w:rFonts w:asciiTheme="minorHAnsi" w:hAnsiTheme="minorHAnsi" w:cstheme="minorHAnsi"/>
          <w:sz w:val="22"/>
          <w:szCs w:val="22"/>
        </w:rPr>
      </w:pPr>
    </w:p>
    <w:p w14:paraId="5A3D2688" w14:textId="42507926" w:rsidR="006F25FF" w:rsidRPr="005969EA" w:rsidRDefault="00A86BFE" w:rsidP="005969EA">
      <w:pPr>
        <w:jc w:val="center"/>
      </w:pPr>
      <w:r w:rsidRPr="00F57DE7">
        <w:br w:type="page"/>
      </w:r>
    </w:p>
    <w:p w14:paraId="76FC14C8" w14:textId="77777777" w:rsidR="007846F5" w:rsidRPr="005969EA" w:rsidRDefault="007846F5" w:rsidP="005969EA"/>
    <w:p w14:paraId="3FB633A5" w14:textId="3231F7BF" w:rsidR="007846F5" w:rsidRPr="005969EA" w:rsidRDefault="007846F5" w:rsidP="005969EA"/>
    <w:p w14:paraId="4BE80580" w14:textId="77777777" w:rsidR="006473FB" w:rsidRPr="005969EA" w:rsidRDefault="006473FB" w:rsidP="005969EA"/>
    <w:p w14:paraId="1F27E10F" w14:textId="77777777" w:rsidR="006473FB" w:rsidRPr="005969EA" w:rsidRDefault="006473FB" w:rsidP="005969EA"/>
    <w:p w14:paraId="57F1C2F5" w14:textId="77777777" w:rsidR="006473FB" w:rsidRPr="005969EA" w:rsidRDefault="006473FB" w:rsidP="005969EA"/>
    <w:p w14:paraId="70D107EB" w14:textId="77777777" w:rsidR="006473FB" w:rsidRDefault="006473FB" w:rsidP="005969EA"/>
    <w:p w14:paraId="1E29B730" w14:textId="77777777" w:rsidR="00995FA7" w:rsidRDefault="00995FA7" w:rsidP="005969EA"/>
    <w:p w14:paraId="416566CF" w14:textId="77777777" w:rsidR="00995FA7" w:rsidRDefault="00995FA7" w:rsidP="005969EA"/>
    <w:p w14:paraId="6A25D9C8" w14:textId="77777777" w:rsidR="00995FA7" w:rsidRDefault="00995FA7" w:rsidP="005969EA"/>
    <w:p w14:paraId="4920AB8B" w14:textId="77777777" w:rsidR="00995FA7" w:rsidRDefault="00995FA7" w:rsidP="005969EA"/>
    <w:p w14:paraId="0561BDD4" w14:textId="77777777" w:rsidR="00995FA7" w:rsidRDefault="00995FA7" w:rsidP="005969EA"/>
    <w:p w14:paraId="11BC28B0" w14:textId="77777777" w:rsidR="00995FA7" w:rsidRDefault="00995FA7" w:rsidP="005969EA"/>
    <w:p w14:paraId="7A71A407" w14:textId="77777777" w:rsidR="00995FA7" w:rsidRPr="005969EA" w:rsidRDefault="00995FA7" w:rsidP="005969EA"/>
    <w:p w14:paraId="74AE944E" w14:textId="77777777" w:rsidR="006473FB" w:rsidRPr="005969EA" w:rsidRDefault="006473FB" w:rsidP="005969EA"/>
    <w:p w14:paraId="687C6699" w14:textId="77777777" w:rsidR="006473FB" w:rsidRDefault="006473FB" w:rsidP="005969EA"/>
    <w:p w14:paraId="0778FBF0" w14:textId="77777777" w:rsidR="00254246" w:rsidRDefault="00254246" w:rsidP="005969EA"/>
    <w:p w14:paraId="4765DF6F" w14:textId="77777777" w:rsidR="00254246" w:rsidRDefault="00254246" w:rsidP="005969EA"/>
    <w:p w14:paraId="2A397679" w14:textId="77777777" w:rsidR="00254246" w:rsidRDefault="00254246" w:rsidP="005969EA"/>
    <w:p w14:paraId="7982CEEE" w14:textId="77777777" w:rsidR="00254246" w:rsidRPr="005969EA" w:rsidRDefault="00254246" w:rsidP="005969EA"/>
    <w:p w14:paraId="2A496B89" w14:textId="77777777" w:rsidR="00D73C6C" w:rsidRPr="005969EA" w:rsidRDefault="00D73C6C" w:rsidP="005969EA"/>
    <w:p w14:paraId="5DAF2FF9" w14:textId="77777777" w:rsidR="006473FB" w:rsidRPr="005969EA" w:rsidRDefault="006473FB" w:rsidP="005969EA"/>
    <w:p w14:paraId="24D04F0E" w14:textId="77777777" w:rsidR="006473FB" w:rsidRPr="005969EA" w:rsidRDefault="006473FB" w:rsidP="005969EA"/>
    <w:p w14:paraId="66759FA1" w14:textId="77777777" w:rsidR="00742E4A" w:rsidRPr="00BB1986" w:rsidRDefault="00742E4A" w:rsidP="00742E4A">
      <w:pPr>
        <w:pStyle w:val="Ttulo"/>
        <w:ind w:right="-1"/>
        <w:jc w:val="center"/>
        <w:rPr>
          <w:rFonts w:asciiTheme="minorHAnsi" w:hAnsiTheme="minorHAnsi" w:cstheme="minorHAnsi"/>
          <w:color w:val="365F91"/>
          <w:sz w:val="28"/>
          <w:szCs w:val="22"/>
          <w:lang w:val="pt-PT"/>
        </w:rPr>
      </w:pPr>
      <w:bookmarkStart w:id="52" w:name="_Toc482900443"/>
      <w:bookmarkStart w:id="53" w:name="_Toc221618469"/>
      <w:r w:rsidRPr="00BB1986">
        <w:rPr>
          <w:rFonts w:asciiTheme="minorHAnsi" w:hAnsiTheme="minorHAnsi" w:cstheme="minorHAnsi"/>
          <w:color w:val="365F91"/>
          <w:sz w:val="28"/>
          <w:szCs w:val="22"/>
          <w:lang w:val="pt-PT"/>
        </w:rPr>
        <w:t>3. ANEXO ÀS DEMONSTRAÇÕES FINANCEIRAS INDIVIDUAIS</w:t>
      </w:r>
      <w:bookmarkEnd w:id="52"/>
      <w:bookmarkEnd w:id="53"/>
    </w:p>
    <w:p w14:paraId="4979D1A2" w14:textId="77777777" w:rsidR="008B756F" w:rsidRPr="005969EA" w:rsidRDefault="008B756F" w:rsidP="005969EA"/>
    <w:p w14:paraId="616C0E23" w14:textId="77777777" w:rsidR="006473FB" w:rsidRPr="005969EA" w:rsidRDefault="006473FB" w:rsidP="005969EA"/>
    <w:p w14:paraId="09675033" w14:textId="77777777" w:rsidR="006473FB" w:rsidRPr="005969EA" w:rsidRDefault="006473FB" w:rsidP="005969EA"/>
    <w:p w14:paraId="5B7C7530" w14:textId="77777777" w:rsidR="006473FB" w:rsidRPr="005969EA" w:rsidRDefault="006473FB" w:rsidP="005969EA"/>
    <w:p w14:paraId="50A8A946" w14:textId="77777777" w:rsidR="006473FB" w:rsidRPr="005969EA" w:rsidRDefault="006473FB" w:rsidP="005969EA"/>
    <w:p w14:paraId="7172BF6A" w14:textId="77777777" w:rsidR="006473FB" w:rsidRPr="005969EA" w:rsidRDefault="006473FB" w:rsidP="005969EA"/>
    <w:p w14:paraId="5A262F4E" w14:textId="77777777" w:rsidR="006473FB" w:rsidRPr="005969EA" w:rsidRDefault="006473FB" w:rsidP="005969EA"/>
    <w:p w14:paraId="05F1AF76" w14:textId="77777777" w:rsidR="006473FB" w:rsidRPr="005969EA" w:rsidRDefault="006473FB" w:rsidP="005969EA"/>
    <w:p w14:paraId="23E4F977" w14:textId="77777777" w:rsidR="006473FB" w:rsidRPr="005969EA" w:rsidRDefault="006473FB" w:rsidP="005969EA"/>
    <w:p w14:paraId="22431B88" w14:textId="77777777" w:rsidR="006473FB" w:rsidRPr="005969EA" w:rsidRDefault="006473FB" w:rsidP="005969EA"/>
    <w:p w14:paraId="0383E6F5" w14:textId="77777777" w:rsidR="00995FA7" w:rsidRPr="005969EA" w:rsidRDefault="00995FA7" w:rsidP="009575E8">
      <w:pPr>
        <w:tabs>
          <w:tab w:val="left" w:pos="426"/>
        </w:tabs>
        <w:ind w:right="-1"/>
        <w:rPr>
          <w:rFonts w:asciiTheme="minorHAnsi" w:hAnsiTheme="minorHAnsi" w:cstheme="minorHAnsi"/>
          <w:sz w:val="22"/>
          <w:szCs w:val="22"/>
          <w:highlight w:val="yellow"/>
        </w:rPr>
      </w:pPr>
    </w:p>
    <w:p w14:paraId="76400178" w14:textId="77777777" w:rsidR="00995FA7" w:rsidRPr="005969EA" w:rsidRDefault="00995FA7" w:rsidP="009575E8">
      <w:pPr>
        <w:tabs>
          <w:tab w:val="left" w:pos="426"/>
          <w:tab w:val="left" w:pos="720"/>
          <w:tab w:val="right" w:pos="6600"/>
          <w:tab w:val="right" w:pos="8040"/>
        </w:tabs>
        <w:ind w:right="-1"/>
        <w:rPr>
          <w:rFonts w:asciiTheme="minorHAnsi" w:hAnsiTheme="minorHAnsi" w:cstheme="minorHAnsi"/>
          <w:sz w:val="22"/>
          <w:szCs w:val="22"/>
        </w:rPr>
      </w:pPr>
    </w:p>
    <w:p w14:paraId="108548D7" w14:textId="77777777" w:rsidR="00995FA7" w:rsidRPr="00DF2C6C" w:rsidRDefault="00995FA7" w:rsidP="009575E8">
      <w:pPr>
        <w:tabs>
          <w:tab w:val="left" w:pos="426"/>
          <w:tab w:val="left" w:pos="720"/>
          <w:tab w:val="right" w:pos="6600"/>
          <w:tab w:val="right" w:pos="8040"/>
        </w:tabs>
        <w:ind w:right="-1"/>
        <w:rPr>
          <w:rFonts w:ascii="Verdana" w:hAnsi="Verdana" w:cs="Arial"/>
          <w:sz w:val="18"/>
          <w:szCs w:val="18"/>
        </w:rPr>
      </w:pPr>
    </w:p>
    <w:p w14:paraId="6448177A" w14:textId="77777777" w:rsidR="003A60A5" w:rsidRPr="00F57DE7" w:rsidRDefault="003A60A5" w:rsidP="001B2310">
      <w:pPr>
        <w:pStyle w:val="Ttulo"/>
        <w:ind w:right="1080"/>
        <w:jc w:val="center"/>
        <w:outlineLvl w:val="9"/>
        <w:rPr>
          <w:rFonts w:asciiTheme="minorHAnsi" w:hAnsiTheme="minorHAnsi" w:cstheme="minorHAnsi"/>
          <w:color w:val="365F91"/>
          <w:sz w:val="22"/>
          <w:szCs w:val="22"/>
          <w:lang w:val="pt-PT"/>
        </w:rPr>
      </w:pPr>
    </w:p>
    <w:p w14:paraId="0296CA34" w14:textId="77777777" w:rsidR="006634E1" w:rsidRDefault="006634E1">
      <w:pPr>
        <w:rPr>
          <w:rFonts w:asciiTheme="minorHAnsi" w:hAnsiTheme="minorHAnsi" w:cstheme="minorHAnsi"/>
          <w:color w:val="0070C0"/>
          <w:sz w:val="22"/>
          <w:szCs w:val="22"/>
        </w:rPr>
        <w:sectPr w:rsidR="006634E1" w:rsidSect="006866A9">
          <w:headerReference w:type="default" r:id="rId27"/>
          <w:pgSz w:w="11906" w:h="16838" w:code="9"/>
          <w:pgMar w:top="1418" w:right="1841" w:bottom="1418" w:left="1701" w:header="794" w:footer="794" w:gutter="0"/>
          <w:pgBorders w:offsetFrom="page">
            <w:left w:val="single" w:sz="4" w:space="24" w:color="FFFFFF" w:themeColor="background1"/>
            <w:right w:val="single" w:sz="4" w:space="24" w:color="FFFFFF" w:themeColor="background1"/>
          </w:pgBorders>
          <w:cols w:space="708"/>
          <w:docGrid w:linePitch="360"/>
        </w:sectPr>
      </w:pPr>
    </w:p>
    <w:p w14:paraId="40CBC96B" w14:textId="3CD48C04" w:rsidR="00C82F0D" w:rsidRPr="00107B4D" w:rsidRDefault="00C82F0D" w:rsidP="00AE30AB">
      <w:pPr>
        <w:rPr>
          <w:rFonts w:ascii="Verdana" w:hAnsi="Verdana" w:cs="Calibri"/>
          <w:sz w:val="20"/>
          <w:szCs w:val="20"/>
        </w:rPr>
      </w:pPr>
      <w:bookmarkStart w:id="54" w:name="_Hlk71498312"/>
      <w:bookmarkEnd w:id="54"/>
      <w:r w:rsidRPr="00107B4D">
        <w:rPr>
          <w:rFonts w:ascii="Verdana" w:hAnsi="Verdana" w:cs="Calibri"/>
          <w:sz w:val="20"/>
          <w:szCs w:val="20"/>
        </w:rPr>
        <w:lastRenderedPageBreak/>
        <w:t>ANEXO ÀS DEMONSTRAÇÕES FINANCEIRAS EM 31 DE DEZEMBRO DE 202</w:t>
      </w:r>
      <w:r>
        <w:rPr>
          <w:rFonts w:ascii="Verdana" w:hAnsi="Verdana" w:cs="Calibri"/>
          <w:sz w:val="20"/>
          <w:szCs w:val="20"/>
        </w:rPr>
        <w:t>5</w:t>
      </w:r>
    </w:p>
    <w:p w14:paraId="64FAEDDA" w14:textId="77777777" w:rsidR="00C82F0D" w:rsidRPr="00107B4D" w:rsidRDefault="00C82F0D" w:rsidP="00AE30AB">
      <w:pPr>
        <w:rPr>
          <w:rFonts w:ascii="Verdana" w:hAnsi="Verdana" w:cs="Calibri"/>
          <w:sz w:val="20"/>
          <w:szCs w:val="20"/>
        </w:rPr>
      </w:pPr>
      <w:r w:rsidRPr="00107B4D">
        <w:rPr>
          <w:rFonts w:ascii="Verdana" w:hAnsi="Verdana" w:cs="Calibri"/>
          <w:sz w:val="20"/>
          <w:szCs w:val="20"/>
        </w:rPr>
        <w:t>(Montantes expressos em euros)</w:t>
      </w:r>
    </w:p>
    <w:p w14:paraId="0983B830" w14:textId="77777777" w:rsidR="00C82F0D" w:rsidRPr="00107B4D" w:rsidRDefault="00C82F0D" w:rsidP="00633A3B">
      <w:pPr>
        <w:tabs>
          <w:tab w:val="left" w:pos="426"/>
        </w:tabs>
        <w:jc w:val="both"/>
        <w:rPr>
          <w:rFonts w:ascii="Verdana" w:hAnsi="Verdana" w:cs="Arial"/>
          <w:sz w:val="17"/>
          <w:szCs w:val="17"/>
          <w:u w:val="single"/>
        </w:rPr>
      </w:pPr>
    </w:p>
    <w:p w14:paraId="1D3DC3CF" w14:textId="77777777" w:rsidR="00C82F0D" w:rsidRPr="00107B4D" w:rsidRDefault="00C82F0D" w:rsidP="00633A3B">
      <w:pPr>
        <w:tabs>
          <w:tab w:val="left" w:pos="426"/>
        </w:tabs>
        <w:jc w:val="both"/>
        <w:rPr>
          <w:rFonts w:ascii="Verdana" w:hAnsi="Verdana" w:cs="Arial"/>
          <w:sz w:val="17"/>
          <w:szCs w:val="17"/>
          <w:u w:val="single"/>
        </w:rPr>
      </w:pPr>
    </w:p>
    <w:p w14:paraId="658DA2C8" w14:textId="77777777" w:rsidR="00C82F0D" w:rsidRPr="00107B4D" w:rsidRDefault="00C82F0D" w:rsidP="00633A3B">
      <w:pPr>
        <w:tabs>
          <w:tab w:val="left" w:pos="426"/>
        </w:tabs>
        <w:jc w:val="both"/>
        <w:rPr>
          <w:rFonts w:ascii="Verdana" w:hAnsi="Verdana" w:cs="Arial"/>
          <w:sz w:val="17"/>
          <w:szCs w:val="17"/>
          <w:u w:val="single"/>
        </w:rPr>
      </w:pPr>
    </w:p>
    <w:p w14:paraId="05AAB08C" w14:textId="77777777" w:rsidR="00C82F0D" w:rsidRPr="00107B4D" w:rsidRDefault="00C82F0D" w:rsidP="00D84952">
      <w:pPr>
        <w:pStyle w:val="Ttulo1"/>
        <w:keepNext w:val="0"/>
        <w:keepLines w:val="0"/>
        <w:numPr>
          <w:ilvl w:val="0"/>
          <w:numId w:val="3"/>
        </w:numPr>
        <w:tabs>
          <w:tab w:val="left" w:pos="426"/>
        </w:tabs>
        <w:spacing w:before="0"/>
        <w:ind w:right="-22"/>
        <w:jc w:val="both"/>
        <w:rPr>
          <w:rFonts w:ascii="Verdana" w:eastAsia="Times New Roman" w:hAnsi="Verdana" w:cs="Arial"/>
          <w:b w:val="0"/>
          <w:bCs w:val="0"/>
          <w:color w:val="auto"/>
          <w:sz w:val="17"/>
          <w:szCs w:val="17"/>
          <w:u w:val="single"/>
          <w:lang w:eastAsia="en-US"/>
        </w:rPr>
      </w:pPr>
      <w:r w:rsidRPr="00107B4D">
        <w:rPr>
          <w:rFonts w:ascii="Verdana" w:eastAsia="Times New Roman" w:hAnsi="Verdana" w:cs="Arial"/>
          <w:b w:val="0"/>
          <w:bCs w:val="0"/>
          <w:color w:val="auto"/>
          <w:sz w:val="17"/>
          <w:szCs w:val="17"/>
          <w:u w:val="single"/>
          <w:lang w:eastAsia="en-US"/>
        </w:rPr>
        <w:t>NOTA INTRODUTÓRIA</w:t>
      </w:r>
    </w:p>
    <w:p w14:paraId="00438ED4" w14:textId="77777777" w:rsidR="00C82F0D" w:rsidRPr="00107B4D" w:rsidRDefault="00C82F0D" w:rsidP="00633A3B">
      <w:pPr>
        <w:tabs>
          <w:tab w:val="left" w:pos="426"/>
        </w:tabs>
        <w:jc w:val="both"/>
        <w:rPr>
          <w:rFonts w:ascii="Verdana" w:hAnsi="Verdana" w:cs="Arial"/>
          <w:sz w:val="17"/>
          <w:szCs w:val="17"/>
          <w:u w:val="single"/>
        </w:rPr>
      </w:pPr>
    </w:p>
    <w:p w14:paraId="3ACB15AF" w14:textId="77777777" w:rsidR="00C82F0D" w:rsidRPr="00107B4D" w:rsidRDefault="00C82F0D" w:rsidP="00633A3B">
      <w:pPr>
        <w:autoSpaceDE w:val="0"/>
        <w:autoSpaceDN w:val="0"/>
        <w:adjustRightInd w:val="0"/>
        <w:ind w:left="426" w:right="-22"/>
        <w:jc w:val="both"/>
        <w:rPr>
          <w:rFonts w:ascii="Verdana" w:hAnsi="Verdana" w:cs="Arial"/>
          <w:sz w:val="17"/>
          <w:szCs w:val="17"/>
        </w:rPr>
      </w:pPr>
      <w:r w:rsidRPr="00107B4D">
        <w:rPr>
          <w:rFonts w:ascii="Verdana" w:hAnsi="Verdana" w:cs="Arial"/>
          <w:sz w:val="17"/>
          <w:szCs w:val="17"/>
        </w:rPr>
        <w:t>A Parvalorem, S.A. (“Sociedade” ou “Parvalorem”) foi constituída através de escritura pública celebrada em 16 de setembro de 2010, tendo iniciado a sua atividade em 2 de novembro de 2010. A Sociedade tem como atividade principal a prestação de serviços de consultoria, aquisição de títulos ou de créditos e respetiva gestão de bens pertencentes à Sociedade, prestação de serviços administrativos, de aprovisionamento, operacionais e informáticos.  Em agosto de 2012, a Sociedade passou a ter, adicionalmente, como objeto social, a aquisição de imóveis para revenda no âmbito destas atividades.</w:t>
      </w:r>
    </w:p>
    <w:p w14:paraId="1C0BBD09" w14:textId="77777777" w:rsidR="00C82F0D" w:rsidRPr="00107B4D" w:rsidRDefault="00C82F0D" w:rsidP="00633A3B">
      <w:pPr>
        <w:autoSpaceDE w:val="0"/>
        <w:autoSpaceDN w:val="0"/>
        <w:adjustRightInd w:val="0"/>
        <w:ind w:right="-22"/>
        <w:jc w:val="both"/>
        <w:rPr>
          <w:rFonts w:ascii="Verdana" w:hAnsi="Verdana" w:cs="Arial"/>
          <w:sz w:val="17"/>
          <w:szCs w:val="17"/>
        </w:rPr>
      </w:pPr>
    </w:p>
    <w:p w14:paraId="095FB7B2" w14:textId="58E852FB" w:rsidR="00C82F0D" w:rsidRPr="00107B4D" w:rsidRDefault="00C82F0D" w:rsidP="00633A3B">
      <w:pPr>
        <w:autoSpaceDE w:val="0"/>
        <w:autoSpaceDN w:val="0"/>
        <w:adjustRightInd w:val="0"/>
        <w:ind w:left="426" w:right="-22"/>
        <w:jc w:val="both"/>
        <w:rPr>
          <w:rFonts w:ascii="Verdana" w:hAnsi="Verdana" w:cs="Arial"/>
          <w:sz w:val="17"/>
          <w:szCs w:val="17"/>
        </w:rPr>
      </w:pPr>
      <w:r w:rsidRPr="00107B4D">
        <w:rPr>
          <w:rFonts w:ascii="Verdana" w:hAnsi="Verdana" w:cs="Arial"/>
          <w:sz w:val="17"/>
          <w:szCs w:val="17"/>
        </w:rPr>
        <w:t xml:space="preserve">Em dezembro de 2010, a Sociedade adquiriu ao Banco Português de Negócios, S.A. (BPN), entidade atualmente designada por </w:t>
      </w:r>
      <w:r w:rsidR="00F04ECD">
        <w:rPr>
          <w:rFonts w:ascii="Verdana" w:hAnsi="Verdana" w:cs="Arial"/>
          <w:sz w:val="17"/>
          <w:szCs w:val="17"/>
        </w:rPr>
        <w:t xml:space="preserve">Abanca Portugal, </w:t>
      </w:r>
      <w:r w:rsidRPr="00107B4D">
        <w:rPr>
          <w:rFonts w:ascii="Verdana" w:hAnsi="Verdana" w:cs="Arial"/>
          <w:sz w:val="17"/>
          <w:szCs w:val="17"/>
        </w:rPr>
        <w:t xml:space="preserve">S.A., ao Banco </w:t>
      </w:r>
      <w:proofErr w:type="spellStart"/>
      <w:r w:rsidRPr="00107B4D">
        <w:rPr>
          <w:rFonts w:ascii="Verdana" w:hAnsi="Verdana" w:cs="Arial"/>
          <w:sz w:val="17"/>
          <w:szCs w:val="17"/>
        </w:rPr>
        <w:t>Efisa</w:t>
      </w:r>
      <w:proofErr w:type="spellEnd"/>
      <w:r w:rsidRPr="00107B4D">
        <w:rPr>
          <w:rFonts w:ascii="Verdana" w:hAnsi="Verdana" w:cs="Arial"/>
          <w:sz w:val="17"/>
          <w:szCs w:val="17"/>
        </w:rPr>
        <w:t>, S.A. e à BPN Crédito – IFIC, S.A., um conjunto de ativos que se encontravam nos seus balanços em 30 de novembro de 2010, pelo seu valor nominal.</w:t>
      </w:r>
    </w:p>
    <w:p w14:paraId="3816EEB2" w14:textId="77777777" w:rsidR="00C82F0D" w:rsidRPr="00107B4D" w:rsidRDefault="00C82F0D" w:rsidP="00633A3B">
      <w:pPr>
        <w:autoSpaceDE w:val="0"/>
        <w:autoSpaceDN w:val="0"/>
        <w:adjustRightInd w:val="0"/>
        <w:ind w:right="-22"/>
        <w:jc w:val="both"/>
        <w:rPr>
          <w:rFonts w:ascii="Verdana" w:hAnsi="Verdana" w:cs="Arial"/>
          <w:sz w:val="17"/>
          <w:szCs w:val="17"/>
        </w:rPr>
      </w:pPr>
    </w:p>
    <w:p w14:paraId="62D003FE" w14:textId="77777777" w:rsidR="00C82F0D" w:rsidRPr="00107B4D" w:rsidRDefault="00C82F0D" w:rsidP="00633A3B">
      <w:pPr>
        <w:suppressLineNumbers/>
        <w:tabs>
          <w:tab w:val="left" w:pos="709"/>
          <w:tab w:val="left" w:pos="993"/>
          <w:tab w:val="right" w:pos="7939"/>
        </w:tabs>
        <w:ind w:left="450" w:right="-22"/>
        <w:jc w:val="both"/>
        <w:rPr>
          <w:rFonts w:ascii="Verdana" w:hAnsi="Verdana" w:cs="Arial"/>
          <w:sz w:val="17"/>
          <w:szCs w:val="17"/>
        </w:rPr>
      </w:pPr>
      <w:r w:rsidRPr="00107B4D">
        <w:rPr>
          <w:rFonts w:ascii="Verdana" w:hAnsi="Verdana" w:cs="Arial"/>
          <w:sz w:val="17"/>
          <w:szCs w:val="17"/>
        </w:rPr>
        <w:t xml:space="preserve">No exercício de 2011, no âmbito do processo de reprivatização do BPN, foi aprovada pelo Despacho n.º 825/11 – SETF de 3 de junho, a aquisição pelo Estado Português, através da </w:t>
      </w:r>
      <w:r>
        <w:rPr>
          <w:rFonts w:ascii="Verdana" w:hAnsi="Verdana" w:cs="Arial"/>
          <w:sz w:val="17"/>
          <w:szCs w:val="17"/>
        </w:rPr>
        <w:t xml:space="preserve">Entidade do Tesouro e Finanças </w:t>
      </w:r>
      <w:r w:rsidRPr="00107B4D">
        <w:rPr>
          <w:rFonts w:ascii="Verdana" w:hAnsi="Verdana" w:cs="Arial"/>
          <w:sz w:val="17"/>
          <w:szCs w:val="17"/>
        </w:rPr>
        <w:t>(</w:t>
      </w:r>
      <w:r>
        <w:rPr>
          <w:rFonts w:ascii="Verdana" w:hAnsi="Verdana" w:cs="Arial"/>
          <w:sz w:val="17"/>
          <w:szCs w:val="17"/>
        </w:rPr>
        <w:t>E</w:t>
      </w:r>
      <w:r w:rsidRPr="00107B4D">
        <w:rPr>
          <w:rFonts w:ascii="Verdana" w:hAnsi="Verdana" w:cs="Arial"/>
          <w:sz w:val="17"/>
          <w:szCs w:val="17"/>
        </w:rPr>
        <w:t>TF)</w:t>
      </w:r>
      <w:r>
        <w:rPr>
          <w:rFonts w:ascii="Verdana" w:hAnsi="Verdana" w:cs="Arial"/>
          <w:sz w:val="17"/>
          <w:szCs w:val="17"/>
        </w:rPr>
        <w:t xml:space="preserve"> (antiga DGTF, Direção-Geral do Tesouro e Finanças)</w:t>
      </w:r>
      <w:r w:rsidRPr="00107B4D">
        <w:rPr>
          <w:rFonts w:ascii="Verdana" w:hAnsi="Verdana" w:cs="Arial"/>
          <w:sz w:val="17"/>
          <w:szCs w:val="17"/>
        </w:rPr>
        <w:t xml:space="preserve">, da totalidade das ações representativas do capital social da Parvalorem, operação que se concretizou em fevereiro de 2012.  Com a aprovação deste despacho, a Parvalorem passou, a partir do exercício de 2011, a integrar o Setor Institucional das Administrações Públicas, nos termos do código do Sistema Europeu de Contas Nacionais e Regionais.  </w:t>
      </w:r>
    </w:p>
    <w:p w14:paraId="6136259A" w14:textId="77777777" w:rsidR="00C82F0D" w:rsidRPr="00107B4D" w:rsidRDefault="00C82F0D" w:rsidP="00633A3B">
      <w:pPr>
        <w:autoSpaceDE w:val="0"/>
        <w:autoSpaceDN w:val="0"/>
        <w:adjustRightInd w:val="0"/>
        <w:ind w:right="-22"/>
        <w:jc w:val="both"/>
        <w:rPr>
          <w:rFonts w:ascii="Verdana" w:hAnsi="Verdana" w:cs="Arial"/>
          <w:sz w:val="17"/>
          <w:szCs w:val="17"/>
        </w:rPr>
      </w:pPr>
    </w:p>
    <w:p w14:paraId="754D6839" w14:textId="7A86B148" w:rsidR="00C82F0D" w:rsidRPr="00107B4D" w:rsidRDefault="00C82F0D" w:rsidP="00633A3B">
      <w:pPr>
        <w:tabs>
          <w:tab w:val="left" w:pos="426"/>
          <w:tab w:val="left" w:pos="720"/>
          <w:tab w:val="right" w:pos="5670"/>
          <w:tab w:val="right" w:pos="6804"/>
          <w:tab w:val="right" w:pos="7939"/>
        </w:tabs>
        <w:ind w:left="426" w:right="-22"/>
        <w:jc w:val="both"/>
        <w:rPr>
          <w:rFonts w:ascii="Verdana" w:hAnsi="Verdana" w:cs="Arial"/>
          <w:sz w:val="17"/>
          <w:szCs w:val="17"/>
        </w:rPr>
      </w:pPr>
      <w:r w:rsidRPr="00107B4D">
        <w:rPr>
          <w:rFonts w:ascii="Verdana" w:hAnsi="Verdana" w:cs="Arial"/>
          <w:sz w:val="17"/>
          <w:szCs w:val="17"/>
        </w:rPr>
        <w:t xml:space="preserve">Em 9 de dezembro de 2011 foi assinado entre os acionistas do </w:t>
      </w:r>
      <w:r w:rsidR="00F04ECD">
        <w:rPr>
          <w:rFonts w:ascii="Verdana" w:hAnsi="Verdana" w:cs="Arial"/>
          <w:sz w:val="17"/>
          <w:szCs w:val="17"/>
        </w:rPr>
        <w:t>Abanca</w:t>
      </w:r>
      <w:r w:rsidRPr="00107B4D">
        <w:rPr>
          <w:rFonts w:ascii="Verdana" w:hAnsi="Verdana" w:cs="Arial"/>
          <w:sz w:val="17"/>
          <w:szCs w:val="17"/>
        </w:rPr>
        <w:t xml:space="preserve"> Portu</w:t>
      </w:r>
      <w:r w:rsidR="00F04ECD">
        <w:rPr>
          <w:rFonts w:ascii="Verdana" w:hAnsi="Verdana" w:cs="Arial"/>
          <w:sz w:val="17"/>
          <w:szCs w:val="17"/>
        </w:rPr>
        <w:t>gal</w:t>
      </w:r>
      <w:r w:rsidRPr="00107B4D">
        <w:rPr>
          <w:rFonts w:ascii="Verdana" w:hAnsi="Verdana" w:cs="Arial"/>
          <w:sz w:val="17"/>
          <w:szCs w:val="17"/>
        </w:rPr>
        <w:t>, S.A. e o Estado Português um Acordo Quadro relativo à aquisição da totalidade do capital social do BPN, operação que se concretizou em 30 de março de 2012. Decorrente do processo de reprivatização do BPN, a Sociedade adquiriu em 29 de março de 2012, um conjunto de ativos a esta entidade.</w:t>
      </w:r>
    </w:p>
    <w:p w14:paraId="35A44666" w14:textId="77777777" w:rsidR="00C82F0D" w:rsidRPr="00107B4D" w:rsidRDefault="00C82F0D" w:rsidP="00633A3B">
      <w:pPr>
        <w:tabs>
          <w:tab w:val="left" w:pos="426"/>
          <w:tab w:val="left" w:pos="720"/>
          <w:tab w:val="right" w:pos="5670"/>
          <w:tab w:val="right" w:pos="6804"/>
          <w:tab w:val="right" w:pos="7939"/>
        </w:tabs>
        <w:ind w:left="426" w:right="-22"/>
        <w:jc w:val="both"/>
        <w:rPr>
          <w:rFonts w:ascii="Verdana" w:hAnsi="Verdana" w:cs="Arial"/>
          <w:sz w:val="17"/>
          <w:szCs w:val="17"/>
        </w:rPr>
      </w:pPr>
    </w:p>
    <w:p w14:paraId="7A2D7BE9" w14:textId="77777777" w:rsidR="00C82F0D" w:rsidRPr="00107B4D" w:rsidRDefault="00C82F0D" w:rsidP="008215BC">
      <w:pPr>
        <w:tabs>
          <w:tab w:val="left" w:pos="426"/>
          <w:tab w:val="left" w:pos="720"/>
          <w:tab w:val="right" w:pos="5670"/>
          <w:tab w:val="right" w:pos="6804"/>
          <w:tab w:val="right" w:pos="7939"/>
        </w:tabs>
        <w:ind w:left="426" w:right="-22"/>
        <w:jc w:val="both"/>
        <w:rPr>
          <w:rFonts w:ascii="Verdana" w:hAnsi="Verdana" w:cs="Arial"/>
          <w:sz w:val="17"/>
          <w:szCs w:val="17"/>
        </w:rPr>
      </w:pPr>
      <w:r w:rsidRPr="00107B4D">
        <w:rPr>
          <w:rFonts w:ascii="Verdana" w:hAnsi="Verdana" w:cs="Arial"/>
          <w:sz w:val="17"/>
          <w:szCs w:val="17"/>
        </w:rPr>
        <w:t>Em 2022 a Empresa procedeu à fusão por incorporação do património da PARUPS, S.A., mediante a transferência global do património desta empresa para a Parvalorem e consequente extinção da empresa incorporada.</w:t>
      </w:r>
    </w:p>
    <w:p w14:paraId="3DF79713" w14:textId="77777777" w:rsidR="00C82F0D" w:rsidRPr="00107B4D" w:rsidRDefault="00C82F0D" w:rsidP="008215BC">
      <w:pPr>
        <w:tabs>
          <w:tab w:val="left" w:pos="426"/>
          <w:tab w:val="left" w:pos="720"/>
          <w:tab w:val="right" w:pos="5670"/>
          <w:tab w:val="right" w:pos="6804"/>
          <w:tab w:val="right" w:pos="7939"/>
        </w:tabs>
        <w:ind w:left="426" w:right="-22"/>
        <w:jc w:val="both"/>
        <w:rPr>
          <w:rFonts w:ascii="Verdana" w:hAnsi="Verdana" w:cs="Arial"/>
          <w:sz w:val="17"/>
          <w:szCs w:val="17"/>
        </w:rPr>
      </w:pPr>
    </w:p>
    <w:p w14:paraId="5E6B9070" w14:textId="77777777" w:rsidR="00C82F0D" w:rsidRPr="00107B4D" w:rsidRDefault="00C82F0D" w:rsidP="008215BC">
      <w:pPr>
        <w:tabs>
          <w:tab w:val="left" w:pos="426"/>
          <w:tab w:val="left" w:pos="720"/>
          <w:tab w:val="right" w:pos="5670"/>
          <w:tab w:val="right" w:pos="6804"/>
          <w:tab w:val="right" w:pos="7939"/>
        </w:tabs>
        <w:ind w:left="426" w:right="-22"/>
        <w:jc w:val="both"/>
        <w:rPr>
          <w:rFonts w:ascii="Verdana" w:hAnsi="Verdana" w:cs="Arial"/>
          <w:sz w:val="17"/>
          <w:szCs w:val="17"/>
        </w:rPr>
      </w:pPr>
      <w:r w:rsidRPr="00107B4D">
        <w:rPr>
          <w:rFonts w:ascii="Verdana" w:hAnsi="Verdana" w:cs="Arial"/>
          <w:sz w:val="17"/>
          <w:szCs w:val="17"/>
        </w:rPr>
        <w:t>Em 2024, foi realizada a fusão por incorporação da PARPARTICIPADAS, SGPS, S.A., mediante a transferência global do seu património para a empresa incorporante, o que resultou na extinção da entidade incorporada.</w:t>
      </w:r>
    </w:p>
    <w:p w14:paraId="5F90FF0A" w14:textId="77777777" w:rsidR="00C82F0D" w:rsidRPr="00107B4D" w:rsidRDefault="00C82F0D" w:rsidP="008215BC">
      <w:pPr>
        <w:tabs>
          <w:tab w:val="left" w:pos="426"/>
          <w:tab w:val="left" w:pos="720"/>
          <w:tab w:val="right" w:pos="5670"/>
          <w:tab w:val="right" w:pos="6804"/>
          <w:tab w:val="right" w:pos="7939"/>
        </w:tabs>
        <w:ind w:left="426" w:right="-22"/>
        <w:jc w:val="both"/>
        <w:rPr>
          <w:rFonts w:ascii="Verdana" w:hAnsi="Verdana" w:cs="Arial"/>
          <w:sz w:val="17"/>
          <w:szCs w:val="17"/>
        </w:rPr>
      </w:pPr>
    </w:p>
    <w:p w14:paraId="5895011E" w14:textId="77777777" w:rsidR="00C82F0D" w:rsidRDefault="00C82F0D" w:rsidP="008215BC">
      <w:pPr>
        <w:tabs>
          <w:tab w:val="left" w:pos="426"/>
          <w:tab w:val="left" w:pos="720"/>
          <w:tab w:val="right" w:pos="5670"/>
          <w:tab w:val="right" w:pos="6804"/>
          <w:tab w:val="right" w:pos="7939"/>
        </w:tabs>
        <w:ind w:left="426" w:right="-22"/>
        <w:jc w:val="both"/>
        <w:rPr>
          <w:rFonts w:ascii="Verdana" w:hAnsi="Verdana" w:cs="Arial"/>
          <w:sz w:val="17"/>
          <w:szCs w:val="17"/>
        </w:rPr>
      </w:pPr>
      <w:r w:rsidRPr="00107B4D">
        <w:rPr>
          <w:rFonts w:ascii="Verdana" w:hAnsi="Verdana" w:cs="Arial"/>
          <w:sz w:val="17"/>
          <w:szCs w:val="17"/>
        </w:rPr>
        <w:t>Ainda durante o exercício de 2024, procedeu-se à liquidação da sociedade BPN Serviços ACE.</w:t>
      </w:r>
    </w:p>
    <w:p w14:paraId="6758B79C" w14:textId="77777777" w:rsidR="00C82F0D" w:rsidRDefault="00C82F0D" w:rsidP="008215BC">
      <w:pPr>
        <w:tabs>
          <w:tab w:val="left" w:pos="426"/>
          <w:tab w:val="left" w:pos="720"/>
          <w:tab w:val="right" w:pos="5670"/>
          <w:tab w:val="right" w:pos="6804"/>
          <w:tab w:val="right" w:pos="7939"/>
        </w:tabs>
        <w:ind w:left="426" w:right="-22"/>
        <w:jc w:val="both"/>
        <w:rPr>
          <w:rFonts w:ascii="Verdana" w:hAnsi="Verdana" w:cs="Arial"/>
          <w:sz w:val="17"/>
          <w:szCs w:val="17"/>
        </w:rPr>
      </w:pPr>
    </w:p>
    <w:p w14:paraId="5188C219" w14:textId="77777777" w:rsidR="00C82F0D" w:rsidRPr="00843988" w:rsidRDefault="00C82F0D" w:rsidP="00843988">
      <w:pPr>
        <w:tabs>
          <w:tab w:val="left" w:pos="426"/>
          <w:tab w:val="left" w:pos="720"/>
          <w:tab w:val="right" w:pos="5670"/>
          <w:tab w:val="right" w:pos="6804"/>
          <w:tab w:val="right" w:pos="7939"/>
        </w:tabs>
        <w:ind w:left="426" w:right="-22"/>
        <w:jc w:val="both"/>
        <w:rPr>
          <w:rFonts w:ascii="Verdana" w:hAnsi="Verdana" w:cs="Arial"/>
          <w:sz w:val="17"/>
          <w:szCs w:val="17"/>
        </w:rPr>
      </w:pPr>
      <w:r w:rsidRPr="00843988">
        <w:rPr>
          <w:rFonts w:ascii="Verdana" w:hAnsi="Verdana" w:cs="Arial"/>
          <w:sz w:val="17"/>
          <w:szCs w:val="17"/>
        </w:rPr>
        <w:t xml:space="preserve">Em julho de 2025 ocorreram as dissoluções e liquidação das participadas </w:t>
      </w:r>
      <w:proofErr w:type="spellStart"/>
      <w:r w:rsidRPr="00843988">
        <w:rPr>
          <w:rFonts w:ascii="Verdana" w:hAnsi="Verdana" w:cs="Arial"/>
          <w:sz w:val="17"/>
          <w:szCs w:val="17"/>
        </w:rPr>
        <w:t>Brick</w:t>
      </w:r>
      <w:proofErr w:type="spellEnd"/>
      <w:r w:rsidRPr="00843988">
        <w:rPr>
          <w:rFonts w:ascii="Verdana" w:hAnsi="Verdana" w:cs="Arial"/>
          <w:sz w:val="17"/>
          <w:szCs w:val="17"/>
        </w:rPr>
        <w:t xml:space="preserve"> </w:t>
      </w:r>
      <w:proofErr w:type="spellStart"/>
      <w:r w:rsidRPr="00843988">
        <w:rPr>
          <w:rFonts w:ascii="Verdana" w:hAnsi="Verdana" w:cs="Arial"/>
          <w:sz w:val="17"/>
          <w:szCs w:val="17"/>
        </w:rPr>
        <w:t>and</w:t>
      </w:r>
      <w:proofErr w:type="spellEnd"/>
      <w:r w:rsidRPr="00843988">
        <w:rPr>
          <w:rFonts w:ascii="Verdana" w:hAnsi="Verdana" w:cs="Arial"/>
          <w:sz w:val="17"/>
          <w:szCs w:val="17"/>
        </w:rPr>
        <w:t xml:space="preserve"> </w:t>
      </w:r>
      <w:proofErr w:type="spellStart"/>
      <w:r w:rsidRPr="00843988">
        <w:rPr>
          <w:rFonts w:ascii="Verdana" w:hAnsi="Verdana" w:cs="Arial"/>
          <w:sz w:val="17"/>
          <w:szCs w:val="17"/>
        </w:rPr>
        <w:t>Sand</w:t>
      </w:r>
      <w:proofErr w:type="spellEnd"/>
      <w:r w:rsidRPr="00843988">
        <w:rPr>
          <w:rFonts w:ascii="Verdana" w:hAnsi="Verdana" w:cs="Arial"/>
          <w:sz w:val="17"/>
          <w:szCs w:val="17"/>
        </w:rPr>
        <w:t xml:space="preserve"> – Sociedade Imobiliária, S.A. e Sociedade de Administração Imobiliária Palácio das Águias, S.A., tendo sido distribuídos, na partilha, os imóveis de que eram titulares.</w:t>
      </w:r>
    </w:p>
    <w:p w14:paraId="068B1E8A" w14:textId="77777777" w:rsidR="00C82F0D" w:rsidRPr="00843988" w:rsidRDefault="00C82F0D" w:rsidP="00843988">
      <w:pPr>
        <w:tabs>
          <w:tab w:val="left" w:pos="426"/>
          <w:tab w:val="left" w:pos="720"/>
          <w:tab w:val="right" w:pos="5670"/>
          <w:tab w:val="right" w:pos="6804"/>
          <w:tab w:val="right" w:pos="7939"/>
        </w:tabs>
        <w:ind w:left="426" w:right="-22"/>
        <w:jc w:val="both"/>
        <w:rPr>
          <w:rFonts w:ascii="Verdana" w:hAnsi="Verdana" w:cs="Arial"/>
          <w:sz w:val="17"/>
          <w:szCs w:val="17"/>
        </w:rPr>
      </w:pPr>
    </w:p>
    <w:p w14:paraId="221F455D" w14:textId="77777777" w:rsidR="00C82F0D" w:rsidRPr="00107B4D" w:rsidRDefault="00C82F0D" w:rsidP="00843988">
      <w:pPr>
        <w:tabs>
          <w:tab w:val="left" w:pos="426"/>
          <w:tab w:val="left" w:pos="720"/>
          <w:tab w:val="right" w:pos="5670"/>
          <w:tab w:val="right" w:pos="6804"/>
          <w:tab w:val="right" w:pos="7939"/>
        </w:tabs>
        <w:ind w:left="426" w:right="-22"/>
        <w:jc w:val="both"/>
        <w:rPr>
          <w:rFonts w:ascii="Verdana" w:hAnsi="Verdana" w:cs="Arial"/>
          <w:sz w:val="17"/>
          <w:szCs w:val="17"/>
        </w:rPr>
      </w:pPr>
      <w:r w:rsidRPr="00843988">
        <w:rPr>
          <w:rFonts w:ascii="Verdana" w:hAnsi="Verdana" w:cs="Arial"/>
          <w:sz w:val="17"/>
          <w:szCs w:val="17"/>
        </w:rPr>
        <w:t>Em 30 de dezembro de 2025, o acionista deliberou a dissolução da Parvalorem S.A. o que determinou a sua entrada em liquidação em 1 de janeiro de 2026 e término previsto em 31 de dezembro de 2027. A Comissão Liquidatária, constituída pelos membros do Conselho de Administração, apresentará um Plano de Liquidação que contempla: (i) a identificação dos ativos em balanço, respetivo destino (alienação ou liquidação), e calendarização destas ações; (</w:t>
      </w:r>
      <w:proofErr w:type="spellStart"/>
      <w:r w:rsidRPr="00843988">
        <w:rPr>
          <w:rFonts w:ascii="Verdana" w:hAnsi="Verdana" w:cs="Arial"/>
          <w:sz w:val="17"/>
          <w:szCs w:val="17"/>
        </w:rPr>
        <w:t>ii</w:t>
      </w:r>
      <w:proofErr w:type="spellEnd"/>
      <w:r w:rsidRPr="00843988">
        <w:rPr>
          <w:rFonts w:ascii="Verdana" w:hAnsi="Verdana" w:cs="Arial"/>
          <w:sz w:val="17"/>
          <w:szCs w:val="17"/>
        </w:rPr>
        <w:t>) identificação dos crédito em carteira, calendarização para a sua recuperação e alternativas disponíveis para os que subsistirem após o período de liquidação, e (</w:t>
      </w:r>
      <w:proofErr w:type="spellStart"/>
      <w:r w:rsidRPr="00843988">
        <w:rPr>
          <w:rFonts w:ascii="Verdana" w:hAnsi="Verdana" w:cs="Arial"/>
          <w:sz w:val="17"/>
          <w:szCs w:val="17"/>
        </w:rPr>
        <w:t>iii</w:t>
      </w:r>
      <w:proofErr w:type="spellEnd"/>
      <w:r w:rsidRPr="00843988">
        <w:rPr>
          <w:rFonts w:ascii="Verdana" w:hAnsi="Verdana" w:cs="Arial"/>
          <w:sz w:val="17"/>
          <w:szCs w:val="17"/>
        </w:rPr>
        <w:t>) calendarização da adequação dos recursos humanos à redução de ativos da sociedade.</w:t>
      </w:r>
    </w:p>
    <w:p w14:paraId="24B4C13A" w14:textId="77777777" w:rsidR="00C82F0D" w:rsidRPr="00107B4D" w:rsidRDefault="00C82F0D" w:rsidP="00FE4D65">
      <w:pPr>
        <w:tabs>
          <w:tab w:val="left" w:pos="426"/>
          <w:tab w:val="left" w:pos="720"/>
          <w:tab w:val="right" w:pos="5670"/>
          <w:tab w:val="right" w:pos="6804"/>
          <w:tab w:val="right" w:pos="7939"/>
        </w:tabs>
        <w:ind w:right="-22"/>
        <w:jc w:val="both"/>
        <w:rPr>
          <w:rFonts w:ascii="Verdana" w:hAnsi="Verdana" w:cs="Arial"/>
          <w:sz w:val="17"/>
          <w:szCs w:val="17"/>
        </w:rPr>
      </w:pPr>
    </w:p>
    <w:p w14:paraId="456589A3" w14:textId="2A0FB528" w:rsidR="00C82F0D" w:rsidRPr="00E21AD7" w:rsidRDefault="00C82F0D" w:rsidP="00633A3B">
      <w:pPr>
        <w:pStyle w:val="Corpodetexto"/>
        <w:ind w:left="450"/>
        <w:jc w:val="both"/>
        <w:rPr>
          <w:rFonts w:ascii="Verdana" w:hAnsi="Verdana" w:cs="Arial"/>
          <w:sz w:val="17"/>
          <w:szCs w:val="17"/>
        </w:rPr>
      </w:pPr>
      <w:r w:rsidRPr="00107B4D">
        <w:rPr>
          <w:rFonts w:ascii="Verdana" w:hAnsi="Verdana" w:cs="Arial"/>
          <w:sz w:val="17"/>
          <w:szCs w:val="17"/>
        </w:rPr>
        <w:t>As demonstrações financeiras em 3</w:t>
      </w:r>
      <w:r>
        <w:rPr>
          <w:rFonts w:ascii="Verdana" w:hAnsi="Verdana" w:cs="Arial"/>
          <w:sz w:val="17"/>
          <w:szCs w:val="17"/>
        </w:rPr>
        <w:t>1</w:t>
      </w:r>
      <w:r w:rsidRPr="00107B4D">
        <w:rPr>
          <w:rFonts w:ascii="Verdana" w:hAnsi="Verdana" w:cs="Arial"/>
          <w:sz w:val="17"/>
          <w:szCs w:val="17"/>
        </w:rPr>
        <w:t xml:space="preserve"> de dezembro de 202</w:t>
      </w:r>
      <w:r>
        <w:rPr>
          <w:rFonts w:ascii="Verdana" w:hAnsi="Verdana" w:cs="Arial"/>
          <w:sz w:val="17"/>
          <w:szCs w:val="17"/>
        </w:rPr>
        <w:t>5</w:t>
      </w:r>
      <w:r w:rsidRPr="00107B4D">
        <w:rPr>
          <w:rFonts w:ascii="Verdana" w:hAnsi="Verdana" w:cs="Arial"/>
          <w:sz w:val="17"/>
          <w:szCs w:val="17"/>
        </w:rPr>
        <w:t xml:space="preserve"> foram aprovadas para emissão pelo </w:t>
      </w:r>
      <w:r w:rsidRPr="00517F2E">
        <w:rPr>
          <w:rFonts w:ascii="Verdana" w:hAnsi="Verdana" w:cs="Arial"/>
          <w:sz w:val="17"/>
          <w:szCs w:val="17"/>
        </w:rPr>
        <w:t xml:space="preserve">Conselho de Administração em </w:t>
      </w:r>
      <w:r w:rsidRPr="00C82F0D">
        <w:rPr>
          <w:rFonts w:ascii="Verdana" w:hAnsi="Verdana" w:cs="Arial"/>
          <w:sz w:val="17"/>
          <w:szCs w:val="17"/>
        </w:rPr>
        <w:t>09 de março de 2026,</w:t>
      </w:r>
      <w:r w:rsidRPr="00517F2E">
        <w:rPr>
          <w:rFonts w:ascii="Verdana" w:hAnsi="Verdana" w:cs="Arial"/>
          <w:sz w:val="17"/>
          <w:szCs w:val="17"/>
        </w:rPr>
        <w:t xml:space="preserve"> mas estão ainda pendentes de aprovação</w:t>
      </w:r>
      <w:r w:rsidRPr="00B91EDD">
        <w:rPr>
          <w:rFonts w:ascii="Verdana" w:hAnsi="Verdana" w:cs="Arial"/>
          <w:sz w:val="17"/>
          <w:szCs w:val="17"/>
        </w:rPr>
        <w:t xml:space="preserve"> pela Assembleia Geral.  No entanto, o Conselho de Administração admite que as mesmas venham a ser aprovadas sem alterações significativas.</w:t>
      </w:r>
    </w:p>
    <w:p w14:paraId="635E1B90" w14:textId="77777777" w:rsidR="00C82F0D" w:rsidRDefault="00C82F0D">
      <w:pPr>
        <w:rPr>
          <w:rFonts w:ascii="Verdana" w:hAnsi="Verdana" w:cs="Arial"/>
          <w:sz w:val="17"/>
          <w:szCs w:val="17"/>
          <w:lang w:bidi="hi-IN"/>
        </w:rPr>
      </w:pPr>
      <w:r>
        <w:rPr>
          <w:rFonts w:ascii="Verdana" w:hAnsi="Verdana" w:cs="Arial"/>
          <w:sz w:val="17"/>
          <w:szCs w:val="17"/>
        </w:rPr>
        <w:br w:type="page"/>
      </w:r>
    </w:p>
    <w:p w14:paraId="2C544BFD" w14:textId="77777777" w:rsidR="00C82F0D" w:rsidRPr="00E21AD7" w:rsidRDefault="00C82F0D" w:rsidP="00633A3B">
      <w:pPr>
        <w:pStyle w:val="Corpodetexto"/>
        <w:ind w:right="-22"/>
        <w:jc w:val="both"/>
        <w:rPr>
          <w:rFonts w:ascii="Verdana" w:hAnsi="Verdana" w:cs="Arial"/>
          <w:sz w:val="17"/>
          <w:szCs w:val="17"/>
        </w:rPr>
      </w:pPr>
    </w:p>
    <w:p w14:paraId="38F3F93C" w14:textId="77777777" w:rsidR="00C82F0D" w:rsidRPr="00107B4D" w:rsidRDefault="00C82F0D" w:rsidP="00D84952">
      <w:pPr>
        <w:pStyle w:val="Ttulo1"/>
        <w:keepNext w:val="0"/>
        <w:keepLines w:val="0"/>
        <w:numPr>
          <w:ilvl w:val="0"/>
          <w:numId w:val="3"/>
        </w:numPr>
        <w:tabs>
          <w:tab w:val="left" w:pos="426"/>
        </w:tabs>
        <w:spacing w:before="0"/>
        <w:ind w:right="-22"/>
        <w:jc w:val="both"/>
        <w:rPr>
          <w:rFonts w:ascii="Verdana" w:eastAsia="Times New Roman" w:hAnsi="Verdana" w:cs="Arial"/>
          <w:b w:val="0"/>
          <w:bCs w:val="0"/>
          <w:color w:val="auto"/>
          <w:sz w:val="17"/>
          <w:szCs w:val="17"/>
          <w:u w:val="single"/>
          <w:lang w:eastAsia="en-US"/>
        </w:rPr>
      </w:pPr>
      <w:r w:rsidRPr="00107B4D">
        <w:rPr>
          <w:rFonts w:ascii="Verdana" w:eastAsia="Times New Roman" w:hAnsi="Verdana" w:cs="Arial"/>
          <w:b w:val="0"/>
          <w:bCs w:val="0"/>
          <w:color w:val="auto"/>
          <w:sz w:val="17"/>
          <w:szCs w:val="17"/>
          <w:u w:val="single"/>
          <w:lang w:eastAsia="en-US"/>
        </w:rPr>
        <w:t>BASES DE APRESENTAÇÃO E POLÍTICAS CONTABILÍSTICAS</w:t>
      </w:r>
    </w:p>
    <w:p w14:paraId="02AD41DA" w14:textId="77777777" w:rsidR="00C82F0D" w:rsidRPr="00107B4D" w:rsidRDefault="00C82F0D" w:rsidP="00633A3B">
      <w:pPr>
        <w:jc w:val="both"/>
        <w:rPr>
          <w:rFonts w:ascii="Verdana" w:hAnsi="Verdana"/>
          <w:sz w:val="17"/>
          <w:szCs w:val="17"/>
        </w:rPr>
      </w:pPr>
    </w:p>
    <w:p w14:paraId="4BC3ED82" w14:textId="77777777" w:rsidR="00C82F0D" w:rsidRPr="00107B4D" w:rsidRDefault="00C82F0D" w:rsidP="00D84952">
      <w:pPr>
        <w:pStyle w:val="Ttulo2"/>
        <w:keepNext w:val="0"/>
        <w:numPr>
          <w:ilvl w:val="1"/>
          <w:numId w:val="3"/>
        </w:numPr>
        <w:tabs>
          <w:tab w:val="clear" w:pos="567"/>
          <w:tab w:val="clear" w:pos="3969"/>
          <w:tab w:val="clear" w:pos="4962"/>
          <w:tab w:val="clear" w:pos="6096"/>
          <w:tab w:val="clear" w:pos="7230"/>
          <w:tab w:val="clear" w:pos="8222"/>
          <w:tab w:val="left" w:pos="993"/>
        </w:tabs>
        <w:autoSpaceDE w:val="0"/>
        <w:autoSpaceDN w:val="0"/>
        <w:adjustRightInd w:val="0"/>
        <w:ind w:left="993" w:right="-22" w:hanging="574"/>
        <w:rPr>
          <w:rFonts w:ascii="Verdana" w:hAnsi="Verdana" w:cs="Arial"/>
          <w:b w:val="0"/>
          <w:color w:val="000000"/>
          <w:sz w:val="17"/>
          <w:szCs w:val="17"/>
          <w:u w:val="single"/>
        </w:rPr>
      </w:pPr>
      <w:r w:rsidRPr="00107B4D">
        <w:rPr>
          <w:rFonts w:ascii="Verdana" w:hAnsi="Verdana" w:cs="Arial"/>
          <w:b w:val="0"/>
          <w:color w:val="000000"/>
          <w:sz w:val="17"/>
          <w:szCs w:val="17"/>
          <w:u w:val="single"/>
        </w:rPr>
        <w:t>Bases de apresentação</w:t>
      </w:r>
    </w:p>
    <w:p w14:paraId="367B7F9A" w14:textId="77777777" w:rsidR="00C82F0D" w:rsidRPr="00107B4D" w:rsidRDefault="00C82F0D" w:rsidP="00633A3B">
      <w:pPr>
        <w:tabs>
          <w:tab w:val="left" w:pos="426"/>
        </w:tabs>
        <w:ind w:left="425" w:right="-22" w:hanging="425"/>
        <w:jc w:val="both"/>
        <w:rPr>
          <w:rFonts w:ascii="Verdana" w:hAnsi="Verdana" w:cs="Arial"/>
          <w:sz w:val="17"/>
          <w:szCs w:val="17"/>
        </w:rPr>
      </w:pPr>
    </w:p>
    <w:p w14:paraId="3ADB0C97" w14:textId="77777777" w:rsidR="00C82F0D" w:rsidRPr="00107B4D" w:rsidRDefault="00C82F0D" w:rsidP="00843988">
      <w:pPr>
        <w:tabs>
          <w:tab w:val="left" w:pos="426"/>
          <w:tab w:val="left" w:pos="993"/>
        </w:tabs>
        <w:ind w:left="993" w:right="-23" w:hanging="993"/>
        <w:jc w:val="both"/>
        <w:rPr>
          <w:rFonts w:ascii="Verdana" w:hAnsi="Verdana" w:cs="Arial"/>
          <w:sz w:val="17"/>
          <w:szCs w:val="17"/>
        </w:rPr>
      </w:pPr>
      <w:r w:rsidRPr="00107B4D">
        <w:rPr>
          <w:rFonts w:ascii="Verdana" w:hAnsi="Verdana" w:cs="Arial"/>
          <w:sz w:val="17"/>
          <w:szCs w:val="17"/>
        </w:rPr>
        <w:tab/>
      </w:r>
      <w:r w:rsidRPr="00107B4D">
        <w:rPr>
          <w:rFonts w:ascii="Verdana" w:hAnsi="Verdana" w:cs="Arial"/>
          <w:sz w:val="17"/>
          <w:szCs w:val="17"/>
        </w:rPr>
        <w:tab/>
      </w:r>
      <w:r w:rsidRPr="00843988">
        <w:rPr>
          <w:rFonts w:ascii="Verdana" w:hAnsi="Verdana" w:cs="Arial"/>
          <w:sz w:val="17"/>
          <w:szCs w:val="17"/>
        </w:rPr>
        <w:t xml:space="preserve">Considerando a deliberação da dissolução da Parvalorem, S.A. de 30 de dezembro de 2025, as demonstrações financeiras em 31 de dezembro de 2025 foram preparadas no pressuposto da não continuidade das operações, com base nos livros e registos contabilísticos da Sociedade preparados e mantidos de acordo com os princípios consagrados nas Normas Internacionais de Relato Financeiro (“IAS/IFRS”), tal como adotadas pela União Europeia. As IAS/IFRS incluem as normas contabilísticas emitidas pelo </w:t>
      </w:r>
      <w:proofErr w:type="spellStart"/>
      <w:r w:rsidRPr="00843988">
        <w:rPr>
          <w:rFonts w:ascii="Verdana" w:hAnsi="Verdana" w:cs="Arial"/>
          <w:sz w:val="17"/>
          <w:szCs w:val="17"/>
        </w:rPr>
        <w:t>International</w:t>
      </w:r>
      <w:proofErr w:type="spellEnd"/>
      <w:r w:rsidRPr="00843988">
        <w:rPr>
          <w:rFonts w:ascii="Verdana" w:hAnsi="Verdana" w:cs="Arial"/>
          <w:sz w:val="17"/>
          <w:szCs w:val="17"/>
        </w:rPr>
        <w:t xml:space="preserve"> </w:t>
      </w:r>
      <w:proofErr w:type="spellStart"/>
      <w:r w:rsidRPr="00843988">
        <w:rPr>
          <w:rFonts w:ascii="Verdana" w:hAnsi="Verdana" w:cs="Arial"/>
          <w:sz w:val="17"/>
          <w:szCs w:val="17"/>
        </w:rPr>
        <w:t>Accounting</w:t>
      </w:r>
      <w:proofErr w:type="spellEnd"/>
      <w:r w:rsidRPr="00843988">
        <w:rPr>
          <w:rFonts w:ascii="Verdana" w:hAnsi="Verdana" w:cs="Arial"/>
          <w:sz w:val="17"/>
          <w:szCs w:val="17"/>
        </w:rPr>
        <w:t xml:space="preserve"> Standards </w:t>
      </w:r>
      <w:proofErr w:type="spellStart"/>
      <w:r w:rsidRPr="00843988">
        <w:rPr>
          <w:rFonts w:ascii="Verdana" w:hAnsi="Verdana" w:cs="Arial"/>
          <w:sz w:val="17"/>
          <w:szCs w:val="17"/>
        </w:rPr>
        <w:t>Board</w:t>
      </w:r>
      <w:proofErr w:type="spellEnd"/>
      <w:r w:rsidRPr="00843988">
        <w:rPr>
          <w:rFonts w:ascii="Verdana" w:hAnsi="Verdana" w:cs="Arial"/>
          <w:sz w:val="17"/>
          <w:szCs w:val="17"/>
        </w:rPr>
        <w:t xml:space="preserve"> (“IASB”) e as interpretações emitidas pelo </w:t>
      </w:r>
      <w:proofErr w:type="spellStart"/>
      <w:r w:rsidRPr="00843988">
        <w:rPr>
          <w:rFonts w:ascii="Verdana" w:hAnsi="Verdana" w:cs="Arial"/>
          <w:sz w:val="17"/>
          <w:szCs w:val="17"/>
        </w:rPr>
        <w:t>International</w:t>
      </w:r>
      <w:proofErr w:type="spellEnd"/>
      <w:r w:rsidRPr="00843988">
        <w:rPr>
          <w:rFonts w:ascii="Verdana" w:hAnsi="Verdana" w:cs="Arial"/>
          <w:sz w:val="17"/>
          <w:szCs w:val="17"/>
        </w:rPr>
        <w:t xml:space="preserve"> Financial Reporting </w:t>
      </w:r>
      <w:proofErr w:type="spellStart"/>
      <w:r w:rsidRPr="00843988">
        <w:rPr>
          <w:rFonts w:ascii="Verdana" w:hAnsi="Verdana" w:cs="Arial"/>
          <w:sz w:val="17"/>
          <w:szCs w:val="17"/>
        </w:rPr>
        <w:t>Interpretations</w:t>
      </w:r>
      <w:proofErr w:type="spellEnd"/>
      <w:r w:rsidRPr="00843988">
        <w:rPr>
          <w:rFonts w:ascii="Verdana" w:hAnsi="Verdana" w:cs="Arial"/>
          <w:sz w:val="17"/>
          <w:szCs w:val="17"/>
        </w:rPr>
        <w:t xml:space="preserve"> </w:t>
      </w:r>
      <w:proofErr w:type="spellStart"/>
      <w:r w:rsidRPr="00843988">
        <w:rPr>
          <w:rFonts w:ascii="Verdana" w:hAnsi="Verdana" w:cs="Arial"/>
          <w:sz w:val="17"/>
          <w:szCs w:val="17"/>
        </w:rPr>
        <w:t>Committee</w:t>
      </w:r>
      <w:proofErr w:type="spellEnd"/>
      <w:r w:rsidRPr="00843988">
        <w:rPr>
          <w:rFonts w:ascii="Verdana" w:hAnsi="Verdana" w:cs="Arial"/>
          <w:sz w:val="17"/>
          <w:szCs w:val="17"/>
        </w:rPr>
        <w:t xml:space="preserve"> (“IFRIC”), e pelos respetivos órgãos antecessores. As políticas contabilísticas apresentadas são consistentes com as utilizadas na preparação das demonstrações financeiras do exercício anterior.</w:t>
      </w:r>
    </w:p>
    <w:p w14:paraId="007EC7F0" w14:textId="77777777" w:rsidR="00C82F0D" w:rsidRPr="00107B4D" w:rsidRDefault="00C82F0D" w:rsidP="00633A3B">
      <w:pPr>
        <w:tabs>
          <w:tab w:val="left" w:pos="426"/>
          <w:tab w:val="left" w:pos="993"/>
        </w:tabs>
        <w:ind w:left="993" w:right="-23" w:hanging="993"/>
        <w:jc w:val="both"/>
        <w:rPr>
          <w:rFonts w:ascii="Verdana" w:hAnsi="Verdana" w:cs="Arial"/>
          <w:sz w:val="17"/>
          <w:szCs w:val="17"/>
        </w:rPr>
      </w:pPr>
    </w:p>
    <w:p w14:paraId="1AC8F5D1" w14:textId="77777777" w:rsidR="00C82F0D" w:rsidRPr="00107B4D" w:rsidRDefault="00C82F0D" w:rsidP="00633A3B">
      <w:pPr>
        <w:tabs>
          <w:tab w:val="left" w:pos="426"/>
          <w:tab w:val="left" w:pos="993"/>
        </w:tabs>
        <w:ind w:left="993" w:right="-23" w:hanging="993"/>
        <w:jc w:val="both"/>
        <w:rPr>
          <w:rFonts w:ascii="Verdana" w:hAnsi="Verdana" w:cs="Arial"/>
          <w:sz w:val="17"/>
          <w:szCs w:val="17"/>
        </w:rPr>
      </w:pPr>
      <w:r w:rsidRPr="00107B4D">
        <w:rPr>
          <w:rFonts w:ascii="Verdana" w:hAnsi="Verdana" w:cs="Arial"/>
          <w:sz w:val="17"/>
          <w:szCs w:val="17"/>
        </w:rPr>
        <w:tab/>
      </w:r>
      <w:r w:rsidRPr="00107B4D">
        <w:rPr>
          <w:rFonts w:ascii="Verdana" w:hAnsi="Verdana" w:cs="Arial"/>
          <w:sz w:val="17"/>
          <w:szCs w:val="17"/>
        </w:rPr>
        <w:tab/>
        <w:t>As demonstrações financeiras individuais da Sociedade foram preparadas para aprovação e publicação nos termos da legislação em vigor e para dar cumprimento aos requisitos de apresentação de contas.  De acordo com as políticas contabilísticas aplicáveis à atividade individual da Sociedade, os investimentos em subsidiárias, empreendimentos conjuntos e associadas são registados ao custo de aquisição deduzido de perdas por imparidade, e as unidades de participação em fundos de investimento, estão registadas em “Ativos financeiros ao justo valor através de resultados” sendo mensuradas ao justo valor.  A Sociedade irá preparar, nos termos da legislação em vigor, demonstrações financeiras consolidadas de acordo com as Normas Internacionais de Relato Financeiro tal como adotadas pela União Europeia, para publicação em separado.</w:t>
      </w:r>
    </w:p>
    <w:p w14:paraId="2A8B0C2C" w14:textId="77777777" w:rsidR="00C82F0D" w:rsidRPr="00107B4D" w:rsidRDefault="00C82F0D">
      <w:pPr>
        <w:rPr>
          <w:rFonts w:ascii="Verdana" w:hAnsi="Verdana" w:cs="Arial"/>
          <w:sz w:val="17"/>
          <w:szCs w:val="17"/>
        </w:rPr>
      </w:pPr>
    </w:p>
    <w:p w14:paraId="335ED0A2" w14:textId="77777777" w:rsidR="00C82F0D" w:rsidRPr="00107B4D" w:rsidRDefault="00C82F0D" w:rsidP="00633A3B">
      <w:pPr>
        <w:tabs>
          <w:tab w:val="left" w:pos="426"/>
          <w:tab w:val="left" w:pos="851"/>
        </w:tabs>
        <w:ind w:left="851" w:right="-23" w:hanging="851"/>
        <w:jc w:val="both"/>
        <w:rPr>
          <w:rFonts w:ascii="Verdana" w:hAnsi="Verdana" w:cs="Arial"/>
          <w:sz w:val="17"/>
          <w:szCs w:val="17"/>
        </w:rPr>
      </w:pPr>
    </w:p>
    <w:p w14:paraId="5776B479" w14:textId="77777777" w:rsidR="00C82F0D" w:rsidRPr="00107B4D" w:rsidRDefault="00C82F0D" w:rsidP="00D84952">
      <w:pPr>
        <w:pStyle w:val="Ttulo2"/>
        <w:keepNext w:val="0"/>
        <w:numPr>
          <w:ilvl w:val="1"/>
          <w:numId w:val="3"/>
        </w:numPr>
        <w:tabs>
          <w:tab w:val="clear" w:pos="567"/>
          <w:tab w:val="clear" w:pos="3969"/>
          <w:tab w:val="clear" w:pos="4962"/>
          <w:tab w:val="clear" w:pos="6096"/>
          <w:tab w:val="clear" w:pos="7230"/>
          <w:tab w:val="clear" w:pos="8222"/>
          <w:tab w:val="left" w:pos="993"/>
        </w:tabs>
        <w:autoSpaceDE w:val="0"/>
        <w:autoSpaceDN w:val="0"/>
        <w:adjustRightInd w:val="0"/>
        <w:ind w:left="993" w:right="-22" w:hanging="574"/>
        <w:rPr>
          <w:rFonts w:ascii="Verdana" w:hAnsi="Verdana" w:cs="Arial"/>
          <w:b w:val="0"/>
          <w:color w:val="000000"/>
          <w:sz w:val="17"/>
          <w:szCs w:val="17"/>
          <w:u w:val="single"/>
        </w:rPr>
      </w:pPr>
      <w:r w:rsidRPr="00107B4D">
        <w:rPr>
          <w:rFonts w:ascii="Verdana" w:hAnsi="Verdana" w:cs="Arial"/>
          <w:b w:val="0"/>
          <w:color w:val="000000"/>
          <w:sz w:val="17"/>
          <w:szCs w:val="17"/>
          <w:u w:val="single"/>
        </w:rPr>
        <w:t>Adoção de novas Normas (IAS/IFRS) ou revisão de Normas já emitidas</w:t>
      </w:r>
    </w:p>
    <w:p w14:paraId="7FF67170" w14:textId="77777777" w:rsidR="00C82F0D" w:rsidRPr="00107B4D" w:rsidRDefault="00C82F0D" w:rsidP="00633A3B">
      <w:pPr>
        <w:tabs>
          <w:tab w:val="left" w:pos="426"/>
          <w:tab w:val="left" w:pos="851"/>
        </w:tabs>
        <w:autoSpaceDE w:val="0"/>
        <w:autoSpaceDN w:val="0"/>
        <w:adjustRightInd w:val="0"/>
        <w:jc w:val="both"/>
        <w:rPr>
          <w:rFonts w:ascii="Verdana" w:hAnsi="Verdana" w:cs="Arial"/>
          <w:color w:val="000000"/>
          <w:sz w:val="17"/>
          <w:szCs w:val="17"/>
        </w:rPr>
      </w:pPr>
    </w:p>
    <w:p w14:paraId="2C6AD85D" w14:textId="77777777" w:rsidR="00C82F0D" w:rsidRPr="00107B4D" w:rsidRDefault="00C82F0D" w:rsidP="00885C38">
      <w:pPr>
        <w:tabs>
          <w:tab w:val="left" w:pos="426"/>
        </w:tabs>
        <w:ind w:left="993"/>
        <w:jc w:val="both"/>
        <w:rPr>
          <w:rFonts w:ascii="Verdana" w:hAnsi="Verdana" w:cs="Arial"/>
          <w:sz w:val="17"/>
          <w:szCs w:val="17"/>
        </w:rPr>
      </w:pPr>
      <w:r w:rsidRPr="00107B4D">
        <w:rPr>
          <w:rFonts w:ascii="Verdana" w:hAnsi="Verdana" w:cs="Arial"/>
          <w:sz w:val="17"/>
          <w:szCs w:val="17"/>
        </w:rPr>
        <w:t xml:space="preserve">A Sociedade utilizou as Normas e Interpretações emitidas pelo </w:t>
      </w:r>
      <w:proofErr w:type="spellStart"/>
      <w:r w:rsidRPr="00107B4D">
        <w:rPr>
          <w:rFonts w:ascii="Verdana" w:hAnsi="Verdana" w:cs="Arial"/>
          <w:sz w:val="17"/>
          <w:szCs w:val="17"/>
        </w:rPr>
        <w:t>International</w:t>
      </w:r>
      <w:proofErr w:type="spellEnd"/>
      <w:r w:rsidRPr="00107B4D">
        <w:rPr>
          <w:rFonts w:ascii="Verdana" w:hAnsi="Verdana" w:cs="Arial"/>
          <w:sz w:val="17"/>
          <w:szCs w:val="17"/>
        </w:rPr>
        <w:t xml:space="preserve"> </w:t>
      </w:r>
      <w:proofErr w:type="spellStart"/>
      <w:r w:rsidRPr="00107B4D">
        <w:rPr>
          <w:rFonts w:ascii="Verdana" w:hAnsi="Verdana" w:cs="Arial"/>
          <w:sz w:val="17"/>
          <w:szCs w:val="17"/>
        </w:rPr>
        <w:t>Accounting</w:t>
      </w:r>
      <w:proofErr w:type="spellEnd"/>
      <w:r w:rsidRPr="00107B4D">
        <w:rPr>
          <w:rFonts w:ascii="Verdana" w:hAnsi="Verdana" w:cs="Arial"/>
          <w:sz w:val="17"/>
          <w:szCs w:val="17"/>
        </w:rPr>
        <w:t xml:space="preserve"> Standards </w:t>
      </w:r>
      <w:proofErr w:type="spellStart"/>
      <w:r w:rsidRPr="00107B4D">
        <w:rPr>
          <w:rFonts w:ascii="Verdana" w:hAnsi="Verdana" w:cs="Arial"/>
          <w:sz w:val="17"/>
          <w:szCs w:val="17"/>
        </w:rPr>
        <w:t>Board</w:t>
      </w:r>
      <w:proofErr w:type="spellEnd"/>
      <w:r w:rsidRPr="00107B4D">
        <w:rPr>
          <w:rFonts w:ascii="Verdana" w:hAnsi="Verdana" w:cs="Arial"/>
          <w:sz w:val="17"/>
          <w:szCs w:val="17"/>
        </w:rPr>
        <w:t xml:space="preserve"> (IASB) e pelo </w:t>
      </w:r>
      <w:proofErr w:type="spellStart"/>
      <w:r w:rsidRPr="00107B4D">
        <w:rPr>
          <w:rFonts w:ascii="Verdana" w:hAnsi="Verdana" w:cs="Arial"/>
          <w:sz w:val="17"/>
          <w:szCs w:val="17"/>
        </w:rPr>
        <w:t>International</w:t>
      </w:r>
      <w:proofErr w:type="spellEnd"/>
      <w:r w:rsidRPr="00107B4D">
        <w:rPr>
          <w:rFonts w:ascii="Verdana" w:hAnsi="Verdana" w:cs="Arial"/>
          <w:sz w:val="17"/>
          <w:szCs w:val="17"/>
        </w:rPr>
        <w:t xml:space="preserve"> Financial Reporting </w:t>
      </w:r>
      <w:proofErr w:type="spellStart"/>
      <w:r w:rsidRPr="00107B4D">
        <w:rPr>
          <w:rFonts w:ascii="Verdana" w:hAnsi="Verdana" w:cs="Arial"/>
          <w:sz w:val="17"/>
          <w:szCs w:val="17"/>
        </w:rPr>
        <w:t>Interpretations</w:t>
      </w:r>
      <w:proofErr w:type="spellEnd"/>
      <w:r w:rsidRPr="00107B4D">
        <w:rPr>
          <w:rFonts w:ascii="Verdana" w:hAnsi="Verdana" w:cs="Arial"/>
          <w:sz w:val="17"/>
          <w:szCs w:val="17"/>
        </w:rPr>
        <w:t xml:space="preserve"> </w:t>
      </w:r>
      <w:proofErr w:type="spellStart"/>
      <w:r w:rsidRPr="00107B4D">
        <w:rPr>
          <w:rFonts w:ascii="Verdana" w:hAnsi="Verdana" w:cs="Arial"/>
          <w:sz w:val="17"/>
          <w:szCs w:val="17"/>
        </w:rPr>
        <w:t>Committee</w:t>
      </w:r>
      <w:proofErr w:type="spellEnd"/>
      <w:r w:rsidRPr="00107B4D">
        <w:rPr>
          <w:rFonts w:ascii="Verdana" w:hAnsi="Verdana" w:cs="Arial"/>
          <w:sz w:val="17"/>
          <w:szCs w:val="17"/>
        </w:rPr>
        <w:t xml:space="preserve"> (IFRIC) que são relevantes para as suas operações e efetivas a 31 de dezembro de 202</w:t>
      </w:r>
      <w:r>
        <w:rPr>
          <w:rFonts w:ascii="Verdana" w:hAnsi="Verdana" w:cs="Arial"/>
          <w:sz w:val="17"/>
          <w:szCs w:val="17"/>
        </w:rPr>
        <w:t>5</w:t>
      </w:r>
      <w:r w:rsidRPr="00107B4D">
        <w:rPr>
          <w:rFonts w:ascii="Verdana" w:hAnsi="Verdana" w:cs="Arial"/>
          <w:sz w:val="17"/>
          <w:szCs w:val="17"/>
        </w:rPr>
        <w:t xml:space="preserve">, desde que aprovadas pela União Europeia. </w:t>
      </w:r>
    </w:p>
    <w:p w14:paraId="19FB393C" w14:textId="77777777" w:rsidR="00C82F0D" w:rsidRPr="00107B4D" w:rsidRDefault="00C82F0D" w:rsidP="00885C38">
      <w:pPr>
        <w:tabs>
          <w:tab w:val="left" w:pos="426"/>
        </w:tabs>
        <w:ind w:left="993"/>
        <w:jc w:val="both"/>
        <w:rPr>
          <w:rFonts w:ascii="Verdana" w:hAnsi="Verdana" w:cs="Arial"/>
          <w:sz w:val="17"/>
          <w:szCs w:val="17"/>
          <w:u w:val="single"/>
        </w:rPr>
      </w:pPr>
    </w:p>
    <w:p w14:paraId="55CF7748" w14:textId="77777777" w:rsidR="00C82F0D" w:rsidRPr="00107B4D" w:rsidRDefault="00C82F0D" w:rsidP="00633A3B">
      <w:pPr>
        <w:ind w:left="851"/>
        <w:jc w:val="both"/>
        <w:rPr>
          <w:rFonts w:ascii="Verdana" w:hAnsi="Verdana" w:cs="Arial"/>
          <w:sz w:val="17"/>
          <w:szCs w:val="17"/>
          <w:u w:val="single"/>
        </w:rPr>
      </w:pPr>
      <w:r w:rsidRPr="00107B4D">
        <w:rPr>
          <w:rFonts w:ascii="Verdana" w:hAnsi="Verdana" w:cs="Arial"/>
          <w:sz w:val="17"/>
          <w:szCs w:val="17"/>
          <w:u w:val="single"/>
        </w:rPr>
        <w:t>Normas, interpretações, emendas e revisões que entraram em vigor no exercício</w:t>
      </w:r>
    </w:p>
    <w:p w14:paraId="131FDFBF" w14:textId="77777777" w:rsidR="00C82F0D" w:rsidRPr="00107B4D" w:rsidRDefault="00C82F0D" w:rsidP="00633A3B">
      <w:pPr>
        <w:tabs>
          <w:tab w:val="left" w:pos="426"/>
          <w:tab w:val="left" w:pos="851"/>
        </w:tabs>
        <w:ind w:left="851" w:hanging="851"/>
        <w:jc w:val="both"/>
        <w:rPr>
          <w:rFonts w:ascii="Verdana" w:hAnsi="Verdana" w:cs="Arial"/>
          <w:sz w:val="17"/>
          <w:szCs w:val="17"/>
        </w:rPr>
      </w:pPr>
    </w:p>
    <w:p w14:paraId="48D76D04" w14:textId="77777777" w:rsidR="00C82F0D" w:rsidRPr="00107B4D" w:rsidRDefault="00C82F0D" w:rsidP="00633A3B">
      <w:pPr>
        <w:tabs>
          <w:tab w:val="left" w:pos="426"/>
          <w:tab w:val="left" w:pos="851"/>
        </w:tabs>
        <w:ind w:left="851"/>
        <w:jc w:val="both"/>
        <w:rPr>
          <w:rFonts w:ascii="Verdana" w:hAnsi="Verdana" w:cs="Arial"/>
          <w:sz w:val="17"/>
          <w:szCs w:val="17"/>
        </w:rPr>
      </w:pPr>
      <w:r w:rsidRPr="00107B4D">
        <w:rPr>
          <w:rFonts w:ascii="Verdana" w:hAnsi="Verdana" w:cs="Arial"/>
          <w:sz w:val="17"/>
          <w:szCs w:val="17"/>
        </w:rPr>
        <w:t>Até à data de aprovação destas demonstrações financeiras, foram aprovadas (“</w:t>
      </w:r>
      <w:proofErr w:type="spellStart"/>
      <w:r w:rsidRPr="00107B4D">
        <w:rPr>
          <w:rFonts w:ascii="Verdana" w:hAnsi="Verdana" w:cs="Arial"/>
          <w:sz w:val="17"/>
          <w:szCs w:val="17"/>
        </w:rPr>
        <w:t>endorsed</w:t>
      </w:r>
      <w:proofErr w:type="spellEnd"/>
      <w:r w:rsidRPr="00107B4D">
        <w:rPr>
          <w:rFonts w:ascii="Verdana" w:hAnsi="Verdana" w:cs="Arial"/>
          <w:sz w:val="17"/>
          <w:szCs w:val="17"/>
        </w:rPr>
        <w:t>”) pela União Europeia as seguintes normas contabilísticas, interpretações, emendas e revisões, com aplicação obrigatória ao exercício iniciado em 1 de janeiro de 202</w:t>
      </w:r>
      <w:r>
        <w:rPr>
          <w:rFonts w:ascii="Verdana" w:hAnsi="Verdana" w:cs="Arial"/>
          <w:sz w:val="17"/>
          <w:szCs w:val="17"/>
        </w:rPr>
        <w:t>5</w:t>
      </w:r>
      <w:r w:rsidRPr="00107B4D">
        <w:rPr>
          <w:rFonts w:ascii="Verdana" w:hAnsi="Verdana" w:cs="Arial"/>
          <w:sz w:val="17"/>
          <w:szCs w:val="17"/>
        </w:rPr>
        <w:t>:</w:t>
      </w:r>
    </w:p>
    <w:p w14:paraId="0B7E0900" w14:textId="77777777" w:rsidR="00C82F0D" w:rsidRPr="00107B4D" w:rsidRDefault="00C82F0D" w:rsidP="00633A3B">
      <w:pPr>
        <w:tabs>
          <w:tab w:val="left" w:pos="426"/>
          <w:tab w:val="left" w:pos="851"/>
        </w:tabs>
        <w:ind w:left="851"/>
        <w:jc w:val="both"/>
        <w:rPr>
          <w:rFonts w:ascii="Verdana" w:hAnsi="Verdana" w:cs="Arial"/>
          <w:sz w:val="17"/>
          <w:szCs w:val="17"/>
        </w:rPr>
      </w:pPr>
    </w:p>
    <w:tbl>
      <w:tblPr>
        <w:tblStyle w:val="TabelacomGrelha"/>
        <w:tblW w:w="7503" w:type="dxa"/>
        <w:tblInd w:w="846" w:type="dxa"/>
        <w:tblLook w:val="04A0" w:firstRow="1" w:lastRow="0" w:firstColumn="1" w:lastColumn="0" w:noHBand="0" w:noVBand="1"/>
      </w:tblPr>
      <w:tblGrid>
        <w:gridCol w:w="1412"/>
        <w:gridCol w:w="1276"/>
        <w:gridCol w:w="4815"/>
      </w:tblGrid>
      <w:tr w:rsidR="00C82F0D" w:rsidRPr="000C4498" w14:paraId="37D174FA" w14:textId="77777777" w:rsidTr="00613C45">
        <w:tc>
          <w:tcPr>
            <w:tcW w:w="1412" w:type="dxa"/>
            <w:tcBorders>
              <w:bottom w:val="single" w:sz="4" w:space="0" w:color="auto"/>
              <w:right w:val="dotted" w:sz="4" w:space="0" w:color="FFFFFF" w:themeColor="background1"/>
            </w:tcBorders>
            <w:vAlign w:val="bottom"/>
          </w:tcPr>
          <w:p w14:paraId="7D2BF09B" w14:textId="77777777" w:rsidR="00C82F0D" w:rsidRPr="00ED3B99" w:rsidRDefault="00C82F0D" w:rsidP="00FB3B54">
            <w:pPr>
              <w:tabs>
                <w:tab w:val="left" w:pos="426"/>
                <w:tab w:val="left" w:pos="851"/>
              </w:tabs>
              <w:jc w:val="center"/>
              <w:rPr>
                <w:rFonts w:ascii="Verdana" w:hAnsi="Verdana" w:cs="Arial"/>
                <w:sz w:val="14"/>
                <w:szCs w:val="14"/>
              </w:rPr>
            </w:pPr>
            <w:r w:rsidRPr="00ED3B99">
              <w:rPr>
                <w:rFonts w:ascii="Verdana" w:hAnsi="Verdana" w:cs="Arial"/>
                <w:sz w:val="14"/>
                <w:szCs w:val="14"/>
              </w:rPr>
              <w:t>Norma / Interpretação</w:t>
            </w:r>
          </w:p>
        </w:tc>
        <w:tc>
          <w:tcPr>
            <w:tcW w:w="1276" w:type="dxa"/>
            <w:tcBorders>
              <w:left w:val="dotted" w:sz="4" w:space="0" w:color="FFFFFF" w:themeColor="background1"/>
              <w:bottom w:val="single" w:sz="4" w:space="0" w:color="auto"/>
              <w:right w:val="dotted" w:sz="4" w:space="0" w:color="FFFFFF" w:themeColor="background1"/>
            </w:tcBorders>
            <w:vAlign w:val="bottom"/>
          </w:tcPr>
          <w:p w14:paraId="19BA5F93" w14:textId="77777777" w:rsidR="00C82F0D" w:rsidRPr="00ED3B99" w:rsidRDefault="00C82F0D" w:rsidP="00FB3B54">
            <w:pPr>
              <w:tabs>
                <w:tab w:val="left" w:pos="426"/>
                <w:tab w:val="left" w:pos="851"/>
              </w:tabs>
              <w:jc w:val="center"/>
              <w:rPr>
                <w:rFonts w:ascii="Verdana" w:hAnsi="Verdana" w:cs="Arial"/>
                <w:sz w:val="14"/>
                <w:szCs w:val="14"/>
              </w:rPr>
            </w:pPr>
            <w:r w:rsidRPr="00ED3B99">
              <w:rPr>
                <w:rFonts w:ascii="Verdana" w:hAnsi="Verdana" w:cs="Arial"/>
                <w:sz w:val="14"/>
                <w:szCs w:val="14"/>
              </w:rPr>
              <w:t>Aplicável na União Europeia nos exercícios</w:t>
            </w:r>
          </w:p>
          <w:p w14:paraId="1DF14838" w14:textId="77777777" w:rsidR="00C82F0D" w:rsidRPr="00ED3B99" w:rsidRDefault="00C82F0D" w:rsidP="00FB3B54">
            <w:pPr>
              <w:tabs>
                <w:tab w:val="left" w:pos="426"/>
                <w:tab w:val="left" w:pos="851"/>
              </w:tabs>
              <w:jc w:val="center"/>
              <w:rPr>
                <w:rFonts w:ascii="Verdana" w:hAnsi="Verdana" w:cs="Arial"/>
                <w:sz w:val="14"/>
                <w:szCs w:val="14"/>
              </w:rPr>
            </w:pPr>
            <w:r w:rsidRPr="00ED3B99">
              <w:rPr>
                <w:rFonts w:ascii="Verdana" w:hAnsi="Verdana" w:cs="Arial"/>
                <w:sz w:val="14"/>
                <w:szCs w:val="14"/>
              </w:rPr>
              <w:t>iniciados</w:t>
            </w:r>
          </w:p>
          <w:p w14:paraId="4C6C6090" w14:textId="77777777" w:rsidR="00C82F0D" w:rsidRPr="00ED3B99" w:rsidRDefault="00C82F0D" w:rsidP="00FB3B54">
            <w:pPr>
              <w:tabs>
                <w:tab w:val="left" w:pos="426"/>
                <w:tab w:val="left" w:pos="851"/>
              </w:tabs>
              <w:jc w:val="center"/>
              <w:rPr>
                <w:rFonts w:ascii="Verdana" w:hAnsi="Verdana" w:cs="Arial"/>
                <w:sz w:val="14"/>
                <w:szCs w:val="14"/>
              </w:rPr>
            </w:pPr>
            <w:r w:rsidRPr="00ED3B99">
              <w:rPr>
                <w:rFonts w:ascii="Verdana" w:hAnsi="Verdana" w:cs="Arial"/>
                <w:sz w:val="14"/>
                <w:szCs w:val="14"/>
              </w:rPr>
              <w:t>em ou após</w:t>
            </w:r>
          </w:p>
        </w:tc>
        <w:tc>
          <w:tcPr>
            <w:tcW w:w="4815" w:type="dxa"/>
            <w:tcBorders>
              <w:left w:val="dotted" w:sz="4" w:space="0" w:color="FFFFFF" w:themeColor="background1"/>
              <w:bottom w:val="single" w:sz="4" w:space="0" w:color="auto"/>
            </w:tcBorders>
            <w:vAlign w:val="bottom"/>
          </w:tcPr>
          <w:p w14:paraId="74C15471" w14:textId="77777777" w:rsidR="00C82F0D" w:rsidRPr="00ED3B99" w:rsidRDefault="00C82F0D" w:rsidP="00FB3B54">
            <w:pPr>
              <w:tabs>
                <w:tab w:val="left" w:pos="426"/>
                <w:tab w:val="left" w:pos="851"/>
              </w:tabs>
              <w:jc w:val="center"/>
              <w:rPr>
                <w:rFonts w:ascii="Verdana" w:hAnsi="Verdana" w:cs="Arial"/>
                <w:sz w:val="14"/>
                <w:szCs w:val="14"/>
              </w:rPr>
            </w:pPr>
            <w:r w:rsidRPr="00ED3B99">
              <w:rPr>
                <w:rFonts w:ascii="Verdana" w:hAnsi="Verdana" w:cs="Arial"/>
                <w:sz w:val="14"/>
                <w:szCs w:val="14"/>
              </w:rPr>
              <w:t>Descrição</w:t>
            </w:r>
          </w:p>
        </w:tc>
      </w:tr>
      <w:tr w:rsidR="00C82F0D" w:rsidRPr="000C4498" w14:paraId="37644779" w14:textId="77777777" w:rsidTr="00613C45">
        <w:tc>
          <w:tcPr>
            <w:tcW w:w="1412" w:type="dxa"/>
            <w:tcBorders>
              <w:bottom w:val="dotted" w:sz="4" w:space="0" w:color="auto"/>
              <w:right w:val="dotted" w:sz="4" w:space="0" w:color="FFFFFF" w:themeColor="background1"/>
            </w:tcBorders>
          </w:tcPr>
          <w:p w14:paraId="79817375" w14:textId="77777777" w:rsidR="00C82F0D" w:rsidRPr="000C4498" w:rsidRDefault="00C82F0D" w:rsidP="00433E6C">
            <w:pPr>
              <w:tabs>
                <w:tab w:val="left" w:pos="426"/>
                <w:tab w:val="left" w:pos="851"/>
              </w:tabs>
              <w:jc w:val="center"/>
              <w:rPr>
                <w:rFonts w:ascii="Verdana" w:hAnsi="Verdana" w:cs="Arial"/>
                <w:sz w:val="14"/>
                <w:szCs w:val="14"/>
                <w:highlight w:val="yellow"/>
              </w:rPr>
            </w:pPr>
          </w:p>
        </w:tc>
        <w:tc>
          <w:tcPr>
            <w:tcW w:w="1276" w:type="dxa"/>
            <w:tcBorders>
              <w:left w:val="dotted" w:sz="4" w:space="0" w:color="FFFFFF" w:themeColor="background1"/>
              <w:bottom w:val="dotted" w:sz="4" w:space="0" w:color="auto"/>
              <w:right w:val="dotted" w:sz="4" w:space="0" w:color="FFFFFF" w:themeColor="background1"/>
            </w:tcBorders>
          </w:tcPr>
          <w:p w14:paraId="76374B22" w14:textId="77777777" w:rsidR="00C82F0D" w:rsidRPr="000C4498" w:rsidRDefault="00C82F0D" w:rsidP="00433E6C">
            <w:pPr>
              <w:tabs>
                <w:tab w:val="left" w:pos="426"/>
                <w:tab w:val="left" w:pos="851"/>
              </w:tabs>
              <w:jc w:val="center"/>
              <w:rPr>
                <w:rFonts w:ascii="Verdana" w:hAnsi="Verdana" w:cs="Arial"/>
                <w:sz w:val="14"/>
                <w:szCs w:val="14"/>
                <w:highlight w:val="yellow"/>
              </w:rPr>
            </w:pPr>
          </w:p>
        </w:tc>
        <w:tc>
          <w:tcPr>
            <w:tcW w:w="4815" w:type="dxa"/>
            <w:tcBorders>
              <w:left w:val="dotted" w:sz="4" w:space="0" w:color="FFFFFF" w:themeColor="background1"/>
              <w:bottom w:val="dotted" w:sz="4" w:space="0" w:color="auto"/>
            </w:tcBorders>
          </w:tcPr>
          <w:p w14:paraId="424A4C77" w14:textId="77777777" w:rsidR="00C82F0D" w:rsidRPr="000C4498" w:rsidRDefault="00C82F0D" w:rsidP="00FB3B54">
            <w:pPr>
              <w:tabs>
                <w:tab w:val="left" w:pos="426"/>
                <w:tab w:val="left" w:pos="851"/>
              </w:tabs>
              <w:jc w:val="both"/>
              <w:rPr>
                <w:rFonts w:ascii="Verdana" w:hAnsi="Verdana" w:cs="Arial"/>
                <w:sz w:val="14"/>
                <w:szCs w:val="14"/>
                <w:highlight w:val="yellow"/>
              </w:rPr>
            </w:pPr>
          </w:p>
        </w:tc>
      </w:tr>
      <w:tr w:rsidR="00C82F0D" w:rsidRPr="000C4498" w14:paraId="5F177AEC" w14:textId="77777777" w:rsidTr="00613C45">
        <w:tc>
          <w:tcPr>
            <w:tcW w:w="1412" w:type="dxa"/>
            <w:tcBorders>
              <w:top w:val="dotted" w:sz="4" w:space="0" w:color="auto"/>
              <w:bottom w:val="dotted" w:sz="4" w:space="0" w:color="auto"/>
              <w:right w:val="dotted" w:sz="4" w:space="0" w:color="FFFFFF" w:themeColor="background1"/>
            </w:tcBorders>
          </w:tcPr>
          <w:p w14:paraId="1D16C96C" w14:textId="77777777" w:rsidR="00C82F0D" w:rsidRPr="000C4498" w:rsidRDefault="00C82F0D" w:rsidP="00FB3B54">
            <w:pPr>
              <w:tabs>
                <w:tab w:val="left" w:pos="426"/>
                <w:tab w:val="left" w:pos="851"/>
              </w:tabs>
              <w:rPr>
                <w:rFonts w:ascii="Verdana" w:hAnsi="Verdana" w:cs="Arial"/>
                <w:sz w:val="14"/>
                <w:szCs w:val="14"/>
                <w:highlight w:val="yellow"/>
              </w:rPr>
            </w:pPr>
            <w:r w:rsidRPr="00ED3B99">
              <w:rPr>
                <w:rFonts w:ascii="Verdana" w:hAnsi="Verdana" w:cs="Arial"/>
                <w:sz w:val="14"/>
                <w:szCs w:val="14"/>
              </w:rPr>
              <w:t xml:space="preserve">Alterações </w:t>
            </w:r>
            <w:r>
              <w:rPr>
                <w:rFonts w:ascii="Verdana" w:hAnsi="Verdana" w:cs="Arial"/>
                <w:sz w:val="14"/>
                <w:szCs w:val="14"/>
              </w:rPr>
              <w:t>à</w:t>
            </w:r>
            <w:r w:rsidRPr="00ED3B99">
              <w:rPr>
                <w:rFonts w:ascii="Verdana" w:hAnsi="Verdana" w:cs="Arial"/>
                <w:sz w:val="14"/>
                <w:szCs w:val="14"/>
              </w:rPr>
              <w:t xml:space="preserve"> IAS 21 - Os Efeitos das alterações nas taxas de câmbio: Falta de permutabilidade</w:t>
            </w:r>
          </w:p>
        </w:tc>
        <w:tc>
          <w:tcPr>
            <w:tcW w:w="1276" w:type="dxa"/>
            <w:tcBorders>
              <w:top w:val="dotted" w:sz="4" w:space="0" w:color="auto"/>
              <w:left w:val="dotted" w:sz="4" w:space="0" w:color="FFFFFF" w:themeColor="background1"/>
              <w:bottom w:val="dotted" w:sz="4" w:space="0" w:color="auto"/>
              <w:right w:val="dotted" w:sz="4" w:space="0" w:color="FFFFFF" w:themeColor="background1"/>
            </w:tcBorders>
          </w:tcPr>
          <w:p w14:paraId="0E39ED42" w14:textId="77777777" w:rsidR="00C82F0D" w:rsidRPr="000C4498" w:rsidRDefault="00C82F0D" w:rsidP="00433E6C">
            <w:pPr>
              <w:tabs>
                <w:tab w:val="left" w:pos="426"/>
                <w:tab w:val="left" w:pos="851"/>
              </w:tabs>
              <w:jc w:val="center"/>
              <w:rPr>
                <w:rFonts w:ascii="Verdana" w:hAnsi="Verdana" w:cs="Arial"/>
                <w:sz w:val="14"/>
                <w:szCs w:val="14"/>
                <w:highlight w:val="yellow"/>
              </w:rPr>
            </w:pPr>
            <w:r w:rsidRPr="00ED3B99">
              <w:rPr>
                <w:rFonts w:ascii="Verdana" w:hAnsi="Verdana" w:cs="Arial"/>
                <w:sz w:val="14"/>
                <w:szCs w:val="14"/>
              </w:rPr>
              <w:t>01-jan-25</w:t>
            </w:r>
          </w:p>
        </w:tc>
        <w:tc>
          <w:tcPr>
            <w:tcW w:w="4815" w:type="dxa"/>
            <w:tcBorders>
              <w:top w:val="dotted" w:sz="4" w:space="0" w:color="auto"/>
              <w:left w:val="dotted" w:sz="4" w:space="0" w:color="FFFFFF" w:themeColor="background1"/>
              <w:bottom w:val="dotted" w:sz="4" w:space="0" w:color="auto"/>
            </w:tcBorders>
          </w:tcPr>
          <w:p w14:paraId="5F4FB938" w14:textId="77777777" w:rsidR="00C82F0D" w:rsidRPr="00ED3B99" w:rsidRDefault="00C82F0D" w:rsidP="00ED3B99">
            <w:pPr>
              <w:tabs>
                <w:tab w:val="left" w:pos="426"/>
                <w:tab w:val="left" w:pos="851"/>
              </w:tabs>
              <w:jc w:val="both"/>
              <w:rPr>
                <w:rFonts w:ascii="Verdana" w:hAnsi="Verdana" w:cs="Arial"/>
                <w:sz w:val="14"/>
                <w:szCs w:val="14"/>
              </w:rPr>
            </w:pPr>
            <w:r w:rsidRPr="00ED3B99">
              <w:rPr>
                <w:rFonts w:ascii="Verdana" w:hAnsi="Verdana" w:cs="Arial"/>
                <w:sz w:val="14"/>
                <w:szCs w:val="14"/>
              </w:rPr>
              <w:t>Esta alteração visa clarificar a forma de avaliar a permutabilidade de uma moeda, e como deve ser determinada a taxa de câmbio quando esta não é permutável por um longo período.</w:t>
            </w:r>
          </w:p>
          <w:p w14:paraId="108174AF" w14:textId="77777777" w:rsidR="00C82F0D" w:rsidRPr="00ED3B99" w:rsidRDefault="00C82F0D" w:rsidP="00ED3B99">
            <w:pPr>
              <w:tabs>
                <w:tab w:val="left" w:pos="426"/>
                <w:tab w:val="left" w:pos="851"/>
              </w:tabs>
              <w:jc w:val="both"/>
              <w:rPr>
                <w:rFonts w:ascii="Verdana" w:hAnsi="Verdana" w:cs="Arial"/>
                <w:sz w:val="14"/>
                <w:szCs w:val="14"/>
              </w:rPr>
            </w:pPr>
          </w:p>
          <w:p w14:paraId="51662129" w14:textId="77777777" w:rsidR="00C82F0D" w:rsidRPr="00ED3B99" w:rsidRDefault="00C82F0D" w:rsidP="00ED3B99">
            <w:pPr>
              <w:tabs>
                <w:tab w:val="left" w:pos="426"/>
                <w:tab w:val="left" w:pos="851"/>
              </w:tabs>
              <w:jc w:val="both"/>
              <w:rPr>
                <w:rFonts w:ascii="Verdana" w:hAnsi="Verdana" w:cs="Arial"/>
                <w:sz w:val="14"/>
                <w:szCs w:val="14"/>
              </w:rPr>
            </w:pPr>
            <w:r w:rsidRPr="00ED3B99">
              <w:rPr>
                <w:rFonts w:ascii="Verdana" w:hAnsi="Verdana" w:cs="Arial"/>
                <w:sz w:val="14"/>
                <w:szCs w:val="14"/>
              </w:rPr>
              <w:t>A alteração específica que uma moeda deverá ser considerada permutável quando uma entidade é capaz de obter a outra moeda dentro de um período que permita uma gestão administrativa normal, e através de um mecanismo de troca ou de mercado em que uma operação de troca crie direitos obrigações passíveis de execução.</w:t>
            </w:r>
          </w:p>
          <w:p w14:paraId="5612F597" w14:textId="77777777" w:rsidR="00C82F0D" w:rsidRPr="00ED3B99" w:rsidRDefault="00C82F0D" w:rsidP="00ED3B99">
            <w:pPr>
              <w:tabs>
                <w:tab w:val="left" w:pos="426"/>
                <w:tab w:val="left" w:pos="851"/>
              </w:tabs>
              <w:jc w:val="both"/>
              <w:rPr>
                <w:rFonts w:ascii="Verdana" w:hAnsi="Verdana" w:cs="Arial"/>
                <w:sz w:val="14"/>
                <w:szCs w:val="14"/>
              </w:rPr>
            </w:pPr>
          </w:p>
          <w:p w14:paraId="30647793" w14:textId="77777777" w:rsidR="00C82F0D" w:rsidRPr="00ED3B99" w:rsidRDefault="00C82F0D" w:rsidP="00ED3B99">
            <w:pPr>
              <w:tabs>
                <w:tab w:val="left" w:pos="426"/>
                <w:tab w:val="left" w:pos="851"/>
              </w:tabs>
              <w:jc w:val="both"/>
              <w:rPr>
                <w:rFonts w:ascii="Verdana" w:hAnsi="Verdana" w:cs="Arial"/>
                <w:sz w:val="14"/>
                <w:szCs w:val="14"/>
              </w:rPr>
            </w:pPr>
            <w:r w:rsidRPr="00ED3B99">
              <w:rPr>
                <w:rFonts w:ascii="Verdana" w:hAnsi="Verdana" w:cs="Arial"/>
                <w:sz w:val="14"/>
                <w:szCs w:val="14"/>
              </w:rPr>
              <w:t>Se uma moeda não puder ser trocada por outra moeda. uma entidade deverá estimar a taxa de câmbio na data de mensuração da transação. O objetivo será determinar a taxa de câmbio que seria aplicável, na data de mensuração, para uma transação similar entre participantes de mercado. As alterações referem ainda que uma entidade pode utilizar uma taxa de câmbio observável sem proceder a qualquer ajustamento.</w:t>
            </w:r>
          </w:p>
          <w:p w14:paraId="194C1474" w14:textId="77777777" w:rsidR="00C82F0D" w:rsidRPr="00ED3B99" w:rsidRDefault="00C82F0D" w:rsidP="00ED3B99">
            <w:pPr>
              <w:tabs>
                <w:tab w:val="left" w:pos="426"/>
                <w:tab w:val="left" w:pos="851"/>
              </w:tabs>
              <w:jc w:val="both"/>
              <w:rPr>
                <w:rFonts w:ascii="Verdana" w:hAnsi="Verdana" w:cs="Arial"/>
                <w:sz w:val="14"/>
                <w:szCs w:val="14"/>
              </w:rPr>
            </w:pPr>
          </w:p>
          <w:p w14:paraId="16B955A6" w14:textId="77777777" w:rsidR="00C82F0D" w:rsidRPr="000C4498" w:rsidRDefault="00C82F0D" w:rsidP="00ED3B99">
            <w:pPr>
              <w:tabs>
                <w:tab w:val="left" w:pos="426"/>
                <w:tab w:val="left" w:pos="851"/>
              </w:tabs>
              <w:jc w:val="both"/>
              <w:rPr>
                <w:rFonts w:ascii="Verdana" w:hAnsi="Verdana" w:cs="Arial"/>
                <w:sz w:val="14"/>
                <w:szCs w:val="14"/>
                <w:highlight w:val="yellow"/>
              </w:rPr>
            </w:pPr>
            <w:r w:rsidRPr="00ED3B99">
              <w:rPr>
                <w:rFonts w:ascii="Verdana" w:hAnsi="Verdana" w:cs="Arial"/>
                <w:sz w:val="14"/>
                <w:szCs w:val="14"/>
              </w:rPr>
              <w:lastRenderedPageBreak/>
              <w:t>As alterações entram em vigor no período com início em ou após 1 de janeiro de 2025. A adoção antecipada é permitida, contudo deverão ser divulgados os requisitos de transição aplicados.</w:t>
            </w:r>
          </w:p>
        </w:tc>
      </w:tr>
    </w:tbl>
    <w:p w14:paraId="22D3A3BA" w14:textId="77777777" w:rsidR="00C82F0D" w:rsidRPr="00107B4D" w:rsidRDefault="00C82F0D" w:rsidP="00433E6C">
      <w:pPr>
        <w:tabs>
          <w:tab w:val="left" w:pos="426"/>
          <w:tab w:val="left" w:pos="851"/>
        </w:tabs>
        <w:ind w:left="851"/>
        <w:jc w:val="center"/>
        <w:rPr>
          <w:rFonts w:ascii="Verdana" w:hAnsi="Verdana" w:cs="Arial"/>
          <w:sz w:val="17"/>
          <w:szCs w:val="17"/>
        </w:rPr>
      </w:pPr>
    </w:p>
    <w:p w14:paraId="2C3CD0F1" w14:textId="77777777" w:rsidR="00C82F0D" w:rsidRPr="00107B4D" w:rsidRDefault="00C82F0D" w:rsidP="00433E6C">
      <w:pPr>
        <w:tabs>
          <w:tab w:val="left" w:pos="426"/>
          <w:tab w:val="left" w:pos="851"/>
        </w:tabs>
        <w:ind w:left="851"/>
        <w:jc w:val="center"/>
        <w:rPr>
          <w:rFonts w:ascii="Verdana" w:hAnsi="Verdana" w:cs="Arial"/>
          <w:sz w:val="17"/>
          <w:szCs w:val="17"/>
        </w:rPr>
      </w:pPr>
    </w:p>
    <w:p w14:paraId="34287422" w14:textId="77777777" w:rsidR="00C82F0D" w:rsidRPr="00107B4D" w:rsidRDefault="00C82F0D" w:rsidP="00633A3B">
      <w:pPr>
        <w:ind w:left="851"/>
        <w:jc w:val="both"/>
        <w:rPr>
          <w:rFonts w:ascii="Verdana" w:hAnsi="Verdana" w:cs="Arial"/>
          <w:sz w:val="17"/>
          <w:szCs w:val="17"/>
        </w:rPr>
      </w:pPr>
      <w:r w:rsidRPr="00107B4D">
        <w:rPr>
          <w:rFonts w:ascii="Verdana" w:hAnsi="Verdana" w:cs="Arial"/>
          <w:sz w:val="17"/>
          <w:szCs w:val="17"/>
        </w:rPr>
        <w:t>Não foram produzidos efeitos significativos nas demonstrações financeiras da Sociedade no exercício findo em 31 de dezembro de 202</w:t>
      </w:r>
      <w:r>
        <w:rPr>
          <w:rFonts w:ascii="Verdana" w:hAnsi="Verdana" w:cs="Arial"/>
          <w:sz w:val="17"/>
          <w:szCs w:val="17"/>
        </w:rPr>
        <w:t>5</w:t>
      </w:r>
      <w:r w:rsidRPr="00107B4D">
        <w:rPr>
          <w:rFonts w:ascii="Verdana" w:hAnsi="Verdana" w:cs="Arial"/>
          <w:sz w:val="17"/>
          <w:szCs w:val="17"/>
        </w:rPr>
        <w:t>, decorrente da adoção das normas, interpretações, emendas e revisões acima referidas.</w:t>
      </w:r>
    </w:p>
    <w:p w14:paraId="0EFC1A3D" w14:textId="77777777" w:rsidR="00C82F0D" w:rsidRPr="00107B4D" w:rsidRDefault="00C82F0D" w:rsidP="00633A3B">
      <w:pPr>
        <w:jc w:val="both"/>
        <w:rPr>
          <w:rFonts w:ascii="Verdana" w:hAnsi="Verdana" w:cs="Arial"/>
          <w:sz w:val="17"/>
          <w:szCs w:val="17"/>
          <w:u w:val="single"/>
        </w:rPr>
      </w:pPr>
    </w:p>
    <w:p w14:paraId="7887607C" w14:textId="77777777" w:rsidR="00C82F0D" w:rsidRPr="00107B4D" w:rsidRDefault="00C82F0D">
      <w:pPr>
        <w:rPr>
          <w:rFonts w:ascii="Verdana" w:hAnsi="Verdana" w:cs="Arial"/>
          <w:sz w:val="17"/>
          <w:szCs w:val="17"/>
          <w:u w:val="single"/>
        </w:rPr>
      </w:pPr>
    </w:p>
    <w:p w14:paraId="7C8D7C70" w14:textId="77777777" w:rsidR="00C82F0D" w:rsidRPr="00107B4D" w:rsidRDefault="00C82F0D" w:rsidP="00633A3B">
      <w:pPr>
        <w:tabs>
          <w:tab w:val="left" w:pos="426"/>
          <w:tab w:val="left" w:pos="851"/>
        </w:tabs>
        <w:ind w:left="851"/>
        <w:jc w:val="both"/>
        <w:rPr>
          <w:rFonts w:ascii="Verdana" w:hAnsi="Verdana" w:cs="Arial"/>
          <w:sz w:val="17"/>
          <w:szCs w:val="17"/>
        </w:rPr>
      </w:pPr>
      <w:r w:rsidRPr="00107B4D">
        <w:rPr>
          <w:rFonts w:ascii="Verdana" w:hAnsi="Verdana" w:cs="Arial"/>
          <w:sz w:val="17"/>
          <w:szCs w:val="17"/>
          <w:u w:val="single"/>
        </w:rPr>
        <w:t>Normas, interpretações, emendas e revisões que irão entrar em vigor em exercícios futuros</w:t>
      </w:r>
      <w:r w:rsidRPr="00107B4D">
        <w:rPr>
          <w:rFonts w:ascii="Verdana" w:hAnsi="Verdana" w:cs="Arial"/>
          <w:sz w:val="17"/>
          <w:szCs w:val="17"/>
        </w:rPr>
        <w:t xml:space="preserve"> </w:t>
      </w:r>
    </w:p>
    <w:p w14:paraId="5AEBDD95" w14:textId="77777777" w:rsidR="00C82F0D" w:rsidRPr="00107B4D" w:rsidRDefault="00C82F0D" w:rsidP="00633A3B">
      <w:pPr>
        <w:tabs>
          <w:tab w:val="left" w:pos="426"/>
          <w:tab w:val="left" w:pos="851"/>
        </w:tabs>
        <w:jc w:val="both"/>
        <w:rPr>
          <w:rFonts w:ascii="Verdana" w:hAnsi="Verdana" w:cs="Arial"/>
          <w:sz w:val="17"/>
          <w:szCs w:val="17"/>
        </w:rPr>
      </w:pPr>
    </w:p>
    <w:p w14:paraId="25A07193" w14:textId="77777777" w:rsidR="00C82F0D" w:rsidRPr="00107B4D" w:rsidRDefault="00C82F0D" w:rsidP="00633A3B">
      <w:pPr>
        <w:tabs>
          <w:tab w:val="left" w:pos="426"/>
          <w:tab w:val="left" w:pos="851"/>
        </w:tabs>
        <w:ind w:left="851"/>
        <w:jc w:val="both"/>
        <w:rPr>
          <w:rFonts w:ascii="Verdana" w:hAnsi="Verdana" w:cs="Arial"/>
          <w:sz w:val="17"/>
          <w:szCs w:val="17"/>
        </w:rPr>
      </w:pPr>
      <w:r w:rsidRPr="00107B4D">
        <w:rPr>
          <w:rFonts w:ascii="Verdana" w:hAnsi="Verdana" w:cs="Arial"/>
          <w:sz w:val="17"/>
          <w:szCs w:val="17"/>
        </w:rPr>
        <w:t>As seguintes normas contabilísticas e interpretações, com aplicação obrigatória em exercícios económicos futuros, foram, até à data de aprovação destas demonstrações financeiras, aprovadas (“</w:t>
      </w:r>
      <w:proofErr w:type="spellStart"/>
      <w:r w:rsidRPr="00107B4D">
        <w:rPr>
          <w:rFonts w:ascii="Verdana" w:hAnsi="Verdana" w:cs="Arial"/>
          <w:i/>
          <w:iCs/>
          <w:sz w:val="17"/>
          <w:szCs w:val="17"/>
        </w:rPr>
        <w:t>endorsed</w:t>
      </w:r>
      <w:proofErr w:type="spellEnd"/>
      <w:r w:rsidRPr="00107B4D">
        <w:rPr>
          <w:rFonts w:ascii="Verdana" w:hAnsi="Verdana" w:cs="Arial"/>
          <w:sz w:val="17"/>
          <w:szCs w:val="17"/>
        </w:rPr>
        <w:t xml:space="preserve">”) pela União Europeia: </w:t>
      </w:r>
    </w:p>
    <w:p w14:paraId="1731E314" w14:textId="77777777" w:rsidR="00C82F0D" w:rsidRPr="00107B4D" w:rsidRDefault="00C82F0D" w:rsidP="00633A3B">
      <w:pPr>
        <w:tabs>
          <w:tab w:val="left" w:pos="426"/>
          <w:tab w:val="left" w:pos="851"/>
        </w:tabs>
        <w:ind w:left="851"/>
        <w:jc w:val="both"/>
        <w:rPr>
          <w:rFonts w:ascii="Verdana" w:hAnsi="Verdana"/>
          <w:noProof/>
        </w:rPr>
      </w:pPr>
    </w:p>
    <w:tbl>
      <w:tblPr>
        <w:tblStyle w:val="TabelacomGrelha"/>
        <w:tblW w:w="0" w:type="auto"/>
        <w:tblInd w:w="851" w:type="dxa"/>
        <w:tblLook w:val="04A0" w:firstRow="1" w:lastRow="0" w:firstColumn="1" w:lastColumn="0" w:noHBand="0" w:noVBand="1"/>
      </w:tblPr>
      <w:tblGrid>
        <w:gridCol w:w="1412"/>
        <w:gridCol w:w="1276"/>
        <w:gridCol w:w="4815"/>
      </w:tblGrid>
      <w:tr w:rsidR="00C82F0D" w:rsidRPr="000C4498" w14:paraId="0C67D54B" w14:textId="77777777" w:rsidTr="00C35A79">
        <w:tc>
          <w:tcPr>
            <w:tcW w:w="1412" w:type="dxa"/>
            <w:tcBorders>
              <w:bottom w:val="single" w:sz="4" w:space="0" w:color="auto"/>
              <w:right w:val="dotted" w:sz="4" w:space="0" w:color="FFFFFF" w:themeColor="background1"/>
            </w:tcBorders>
            <w:vAlign w:val="bottom"/>
          </w:tcPr>
          <w:p w14:paraId="6FE14576" w14:textId="77777777" w:rsidR="00C82F0D" w:rsidRPr="00ED3B99" w:rsidRDefault="00C82F0D" w:rsidP="00C35A79">
            <w:pPr>
              <w:tabs>
                <w:tab w:val="left" w:pos="426"/>
                <w:tab w:val="left" w:pos="851"/>
              </w:tabs>
              <w:jc w:val="center"/>
              <w:rPr>
                <w:rFonts w:ascii="Verdana" w:hAnsi="Verdana" w:cs="Arial"/>
                <w:sz w:val="14"/>
                <w:szCs w:val="14"/>
              </w:rPr>
            </w:pPr>
            <w:r w:rsidRPr="00ED3B99">
              <w:rPr>
                <w:rFonts w:ascii="Verdana" w:hAnsi="Verdana" w:cs="Arial"/>
                <w:sz w:val="14"/>
                <w:szCs w:val="14"/>
              </w:rPr>
              <w:t>Norma / Interpretação</w:t>
            </w:r>
          </w:p>
        </w:tc>
        <w:tc>
          <w:tcPr>
            <w:tcW w:w="1276" w:type="dxa"/>
            <w:tcBorders>
              <w:left w:val="dotted" w:sz="4" w:space="0" w:color="FFFFFF" w:themeColor="background1"/>
              <w:bottom w:val="single" w:sz="4" w:space="0" w:color="auto"/>
              <w:right w:val="dotted" w:sz="4" w:space="0" w:color="FFFFFF" w:themeColor="background1"/>
            </w:tcBorders>
            <w:vAlign w:val="bottom"/>
          </w:tcPr>
          <w:p w14:paraId="3032BFD9" w14:textId="77777777" w:rsidR="00C82F0D" w:rsidRPr="00ED3B99" w:rsidRDefault="00C82F0D" w:rsidP="00C35A79">
            <w:pPr>
              <w:tabs>
                <w:tab w:val="left" w:pos="426"/>
                <w:tab w:val="left" w:pos="851"/>
              </w:tabs>
              <w:jc w:val="center"/>
              <w:rPr>
                <w:rFonts w:ascii="Verdana" w:hAnsi="Verdana" w:cs="Arial"/>
                <w:sz w:val="14"/>
                <w:szCs w:val="14"/>
              </w:rPr>
            </w:pPr>
            <w:r w:rsidRPr="00ED3B99">
              <w:rPr>
                <w:rFonts w:ascii="Verdana" w:hAnsi="Verdana" w:cs="Arial"/>
                <w:sz w:val="14"/>
                <w:szCs w:val="14"/>
              </w:rPr>
              <w:t>Aplicável na União Europeia nos exercícios</w:t>
            </w:r>
          </w:p>
          <w:p w14:paraId="25F6A49A" w14:textId="77777777" w:rsidR="00C82F0D" w:rsidRPr="00ED3B99" w:rsidRDefault="00C82F0D" w:rsidP="00C35A79">
            <w:pPr>
              <w:tabs>
                <w:tab w:val="left" w:pos="426"/>
                <w:tab w:val="left" w:pos="851"/>
              </w:tabs>
              <w:jc w:val="center"/>
              <w:rPr>
                <w:rFonts w:ascii="Verdana" w:hAnsi="Verdana" w:cs="Arial"/>
                <w:sz w:val="14"/>
                <w:szCs w:val="14"/>
              </w:rPr>
            </w:pPr>
            <w:r w:rsidRPr="00ED3B99">
              <w:rPr>
                <w:rFonts w:ascii="Verdana" w:hAnsi="Verdana" w:cs="Arial"/>
                <w:sz w:val="14"/>
                <w:szCs w:val="14"/>
              </w:rPr>
              <w:t>iniciados</w:t>
            </w:r>
          </w:p>
          <w:p w14:paraId="02156757" w14:textId="77777777" w:rsidR="00C82F0D" w:rsidRPr="00ED3B99" w:rsidRDefault="00C82F0D" w:rsidP="00C35A79">
            <w:pPr>
              <w:tabs>
                <w:tab w:val="left" w:pos="426"/>
                <w:tab w:val="left" w:pos="851"/>
              </w:tabs>
              <w:jc w:val="center"/>
              <w:rPr>
                <w:rFonts w:ascii="Verdana" w:hAnsi="Verdana" w:cs="Arial"/>
                <w:sz w:val="14"/>
                <w:szCs w:val="14"/>
              </w:rPr>
            </w:pPr>
            <w:r w:rsidRPr="00ED3B99">
              <w:rPr>
                <w:rFonts w:ascii="Verdana" w:hAnsi="Verdana" w:cs="Arial"/>
                <w:sz w:val="14"/>
                <w:szCs w:val="14"/>
              </w:rPr>
              <w:t>em ou após</w:t>
            </w:r>
          </w:p>
        </w:tc>
        <w:tc>
          <w:tcPr>
            <w:tcW w:w="4815" w:type="dxa"/>
            <w:tcBorders>
              <w:left w:val="dotted" w:sz="4" w:space="0" w:color="FFFFFF" w:themeColor="background1"/>
              <w:bottom w:val="single" w:sz="4" w:space="0" w:color="auto"/>
            </w:tcBorders>
            <w:vAlign w:val="bottom"/>
          </w:tcPr>
          <w:p w14:paraId="0A2A1B59" w14:textId="77777777" w:rsidR="00C82F0D" w:rsidRPr="00ED3B99" w:rsidRDefault="00C82F0D" w:rsidP="00C35A79">
            <w:pPr>
              <w:tabs>
                <w:tab w:val="left" w:pos="426"/>
                <w:tab w:val="left" w:pos="851"/>
              </w:tabs>
              <w:jc w:val="center"/>
              <w:rPr>
                <w:rFonts w:ascii="Verdana" w:hAnsi="Verdana" w:cs="Arial"/>
                <w:sz w:val="14"/>
                <w:szCs w:val="14"/>
              </w:rPr>
            </w:pPr>
            <w:r w:rsidRPr="00ED3B99">
              <w:rPr>
                <w:rFonts w:ascii="Verdana" w:hAnsi="Verdana" w:cs="Arial"/>
                <w:sz w:val="14"/>
                <w:szCs w:val="14"/>
              </w:rPr>
              <w:t>Descrição</w:t>
            </w:r>
          </w:p>
        </w:tc>
      </w:tr>
      <w:tr w:rsidR="00C82F0D" w:rsidRPr="000C4498" w14:paraId="5F4AB28C" w14:textId="77777777" w:rsidTr="00C35A79">
        <w:tc>
          <w:tcPr>
            <w:tcW w:w="1412" w:type="dxa"/>
            <w:tcBorders>
              <w:bottom w:val="dotted" w:sz="4" w:space="0" w:color="auto"/>
              <w:right w:val="dotted" w:sz="4" w:space="0" w:color="FFFFFF" w:themeColor="background1"/>
            </w:tcBorders>
          </w:tcPr>
          <w:p w14:paraId="066E4BF2" w14:textId="77777777" w:rsidR="00C82F0D" w:rsidRPr="000C4498" w:rsidRDefault="00C82F0D" w:rsidP="00C35A79">
            <w:pPr>
              <w:tabs>
                <w:tab w:val="left" w:pos="426"/>
                <w:tab w:val="left" w:pos="851"/>
              </w:tabs>
              <w:jc w:val="center"/>
              <w:rPr>
                <w:rFonts w:ascii="Verdana" w:hAnsi="Verdana" w:cs="Arial"/>
                <w:sz w:val="14"/>
                <w:szCs w:val="14"/>
                <w:highlight w:val="yellow"/>
              </w:rPr>
            </w:pPr>
          </w:p>
        </w:tc>
        <w:tc>
          <w:tcPr>
            <w:tcW w:w="1276" w:type="dxa"/>
            <w:tcBorders>
              <w:left w:val="dotted" w:sz="4" w:space="0" w:color="FFFFFF" w:themeColor="background1"/>
              <w:bottom w:val="dotted" w:sz="4" w:space="0" w:color="auto"/>
              <w:right w:val="dotted" w:sz="4" w:space="0" w:color="FFFFFF" w:themeColor="background1"/>
            </w:tcBorders>
          </w:tcPr>
          <w:p w14:paraId="506445DA" w14:textId="77777777" w:rsidR="00C82F0D" w:rsidRPr="000C4498" w:rsidRDefault="00C82F0D" w:rsidP="00C35A79">
            <w:pPr>
              <w:tabs>
                <w:tab w:val="left" w:pos="426"/>
                <w:tab w:val="left" w:pos="851"/>
              </w:tabs>
              <w:jc w:val="center"/>
              <w:rPr>
                <w:rFonts w:ascii="Verdana" w:hAnsi="Verdana" w:cs="Arial"/>
                <w:sz w:val="14"/>
                <w:szCs w:val="14"/>
                <w:highlight w:val="yellow"/>
              </w:rPr>
            </w:pPr>
          </w:p>
        </w:tc>
        <w:tc>
          <w:tcPr>
            <w:tcW w:w="4815" w:type="dxa"/>
            <w:tcBorders>
              <w:left w:val="dotted" w:sz="4" w:space="0" w:color="FFFFFF" w:themeColor="background1"/>
              <w:bottom w:val="dotted" w:sz="4" w:space="0" w:color="auto"/>
            </w:tcBorders>
          </w:tcPr>
          <w:p w14:paraId="31D8A550" w14:textId="77777777" w:rsidR="00C82F0D" w:rsidRPr="000C4498" w:rsidRDefault="00C82F0D" w:rsidP="00C35A79">
            <w:pPr>
              <w:tabs>
                <w:tab w:val="left" w:pos="426"/>
                <w:tab w:val="left" w:pos="851"/>
              </w:tabs>
              <w:jc w:val="both"/>
              <w:rPr>
                <w:rFonts w:ascii="Verdana" w:hAnsi="Verdana" w:cs="Arial"/>
                <w:sz w:val="14"/>
                <w:szCs w:val="14"/>
                <w:highlight w:val="yellow"/>
              </w:rPr>
            </w:pPr>
          </w:p>
        </w:tc>
      </w:tr>
      <w:tr w:rsidR="00C82F0D" w:rsidRPr="00107B4D" w14:paraId="7318F15E" w14:textId="77777777" w:rsidTr="00C35A79">
        <w:tc>
          <w:tcPr>
            <w:tcW w:w="1412" w:type="dxa"/>
            <w:tcBorders>
              <w:top w:val="dotted" w:sz="4" w:space="0" w:color="auto"/>
              <w:bottom w:val="dotted" w:sz="4" w:space="0" w:color="auto"/>
              <w:right w:val="dotted" w:sz="4" w:space="0" w:color="FFFFFF" w:themeColor="background1"/>
            </w:tcBorders>
          </w:tcPr>
          <w:p w14:paraId="4FB07F72" w14:textId="77777777" w:rsidR="00C82F0D" w:rsidRPr="000C4498" w:rsidRDefault="00C82F0D" w:rsidP="00C35A79">
            <w:pPr>
              <w:tabs>
                <w:tab w:val="left" w:pos="426"/>
                <w:tab w:val="left" w:pos="851"/>
              </w:tabs>
              <w:rPr>
                <w:rFonts w:ascii="Verdana" w:hAnsi="Verdana" w:cs="Arial"/>
                <w:sz w:val="14"/>
                <w:szCs w:val="14"/>
                <w:highlight w:val="yellow"/>
              </w:rPr>
            </w:pPr>
            <w:r w:rsidRPr="00ED3B99">
              <w:rPr>
                <w:rFonts w:ascii="Verdana" w:hAnsi="Verdana" w:cs="Arial"/>
                <w:sz w:val="14"/>
                <w:szCs w:val="14"/>
              </w:rPr>
              <w:t xml:space="preserve">Alterações </w:t>
            </w:r>
            <w:r>
              <w:rPr>
                <w:rFonts w:ascii="Verdana" w:hAnsi="Verdana" w:cs="Arial"/>
                <w:sz w:val="14"/>
                <w:szCs w:val="14"/>
              </w:rPr>
              <w:t>à</w:t>
            </w:r>
            <w:r w:rsidRPr="00ED3B99">
              <w:rPr>
                <w:rFonts w:ascii="Verdana" w:hAnsi="Verdana" w:cs="Arial"/>
                <w:sz w:val="14"/>
                <w:szCs w:val="14"/>
              </w:rPr>
              <w:t xml:space="preserve"> IFRS 9 e IFRS 7 –Classificação e Mensuração de Instrumentos Financeiros</w:t>
            </w:r>
          </w:p>
        </w:tc>
        <w:tc>
          <w:tcPr>
            <w:tcW w:w="1276" w:type="dxa"/>
            <w:tcBorders>
              <w:top w:val="dotted" w:sz="4" w:space="0" w:color="auto"/>
              <w:left w:val="dotted" w:sz="4" w:space="0" w:color="FFFFFF" w:themeColor="background1"/>
              <w:bottom w:val="dotted" w:sz="4" w:space="0" w:color="auto"/>
              <w:right w:val="dotted" w:sz="4" w:space="0" w:color="FFFFFF" w:themeColor="background1"/>
            </w:tcBorders>
          </w:tcPr>
          <w:p w14:paraId="41162968" w14:textId="77777777" w:rsidR="00C82F0D" w:rsidRPr="000C4498" w:rsidRDefault="00C82F0D" w:rsidP="00C35A79">
            <w:pPr>
              <w:tabs>
                <w:tab w:val="left" w:pos="426"/>
                <w:tab w:val="left" w:pos="851"/>
              </w:tabs>
              <w:jc w:val="center"/>
              <w:rPr>
                <w:rFonts w:ascii="Verdana" w:hAnsi="Verdana" w:cs="Arial"/>
                <w:sz w:val="14"/>
                <w:szCs w:val="14"/>
                <w:highlight w:val="yellow"/>
              </w:rPr>
            </w:pPr>
            <w:r w:rsidRPr="00ED3B99">
              <w:rPr>
                <w:rFonts w:ascii="Verdana" w:hAnsi="Verdana" w:cs="Arial"/>
                <w:sz w:val="14"/>
                <w:szCs w:val="14"/>
              </w:rPr>
              <w:t>01-jan-26</w:t>
            </w:r>
          </w:p>
        </w:tc>
        <w:tc>
          <w:tcPr>
            <w:tcW w:w="4815" w:type="dxa"/>
            <w:tcBorders>
              <w:top w:val="dotted" w:sz="4" w:space="0" w:color="auto"/>
              <w:left w:val="dotted" w:sz="4" w:space="0" w:color="FFFFFF" w:themeColor="background1"/>
              <w:bottom w:val="dotted" w:sz="4" w:space="0" w:color="auto"/>
            </w:tcBorders>
          </w:tcPr>
          <w:p w14:paraId="0A3F5154" w14:textId="77777777" w:rsidR="00C82F0D" w:rsidRPr="00ED3B99" w:rsidRDefault="00C82F0D" w:rsidP="00ED3B99">
            <w:pPr>
              <w:tabs>
                <w:tab w:val="left" w:pos="426"/>
                <w:tab w:val="left" w:pos="851"/>
              </w:tabs>
              <w:jc w:val="both"/>
              <w:rPr>
                <w:rFonts w:ascii="Verdana" w:hAnsi="Verdana" w:cs="Arial"/>
                <w:sz w:val="14"/>
                <w:szCs w:val="14"/>
              </w:rPr>
            </w:pPr>
            <w:r w:rsidRPr="00ED3B99">
              <w:rPr>
                <w:rFonts w:ascii="Verdana" w:hAnsi="Verdana" w:cs="Arial"/>
                <w:sz w:val="14"/>
                <w:szCs w:val="14"/>
              </w:rPr>
              <w:t>Estas alterações resultam essencialmente do projeto de revisão da IFRS 9 Instrumentos Financeiros (</w:t>
            </w:r>
            <w:proofErr w:type="spellStart"/>
            <w:r w:rsidRPr="00ED3B99">
              <w:rPr>
                <w:rFonts w:ascii="Verdana" w:hAnsi="Verdana" w:cs="Arial"/>
                <w:sz w:val="14"/>
                <w:szCs w:val="14"/>
              </w:rPr>
              <w:t>Post</w:t>
            </w:r>
            <w:proofErr w:type="spellEnd"/>
            <w:r w:rsidRPr="00ED3B99">
              <w:rPr>
                <w:rFonts w:ascii="Verdana" w:hAnsi="Verdana" w:cs="Arial"/>
                <w:sz w:val="14"/>
                <w:szCs w:val="14"/>
              </w:rPr>
              <w:t xml:space="preserve"> </w:t>
            </w:r>
            <w:proofErr w:type="spellStart"/>
            <w:r w:rsidRPr="00ED3B99">
              <w:rPr>
                <w:rFonts w:ascii="Verdana" w:hAnsi="Verdana" w:cs="Arial"/>
                <w:sz w:val="14"/>
                <w:szCs w:val="14"/>
              </w:rPr>
              <w:t>Implementation</w:t>
            </w:r>
            <w:proofErr w:type="spellEnd"/>
            <w:r w:rsidRPr="00ED3B99">
              <w:rPr>
                <w:rFonts w:ascii="Verdana" w:hAnsi="Verdana" w:cs="Arial"/>
                <w:sz w:val="14"/>
                <w:szCs w:val="14"/>
              </w:rPr>
              <w:t xml:space="preserve"> </w:t>
            </w:r>
            <w:proofErr w:type="spellStart"/>
            <w:r w:rsidRPr="00ED3B99">
              <w:rPr>
                <w:rFonts w:ascii="Verdana" w:hAnsi="Verdana" w:cs="Arial"/>
                <w:sz w:val="14"/>
                <w:szCs w:val="14"/>
              </w:rPr>
              <w:t>Review</w:t>
            </w:r>
            <w:proofErr w:type="spellEnd"/>
            <w:r w:rsidRPr="00ED3B99">
              <w:rPr>
                <w:rFonts w:ascii="Verdana" w:hAnsi="Verdana" w:cs="Arial"/>
                <w:sz w:val="14"/>
                <w:szCs w:val="14"/>
              </w:rPr>
              <w:t xml:space="preserve"> – PIR IFRS 9) e clarificam os seguintes aspetos relativos a instrumentos financeiros:</w:t>
            </w:r>
          </w:p>
          <w:p w14:paraId="3A1FAF20" w14:textId="77777777" w:rsidR="00C82F0D" w:rsidRPr="00ED3B99" w:rsidRDefault="00C82F0D" w:rsidP="00ED3B99">
            <w:pPr>
              <w:tabs>
                <w:tab w:val="left" w:pos="426"/>
                <w:tab w:val="left" w:pos="851"/>
              </w:tabs>
              <w:jc w:val="both"/>
              <w:rPr>
                <w:rFonts w:ascii="Verdana" w:hAnsi="Verdana" w:cs="Arial"/>
                <w:sz w:val="14"/>
                <w:szCs w:val="14"/>
              </w:rPr>
            </w:pPr>
          </w:p>
          <w:p w14:paraId="6C8E2D86" w14:textId="77777777" w:rsidR="00C82F0D" w:rsidRPr="00ED3B99" w:rsidRDefault="00C82F0D" w:rsidP="00ED3B99">
            <w:pPr>
              <w:tabs>
                <w:tab w:val="left" w:pos="426"/>
                <w:tab w:val="left" w:pos="851"/>
              </w:tabs>
              <w:jc w:val="both"/>
              <w:rPr>
                <w:rFonts w:ascii="Verdana" w:hAnsi="Verdana" w:cs="Arial"/>
                <w:sz w:val="14"/>
                <w:szCs w:val="14"/>
              </w:rPr>
            </w:pPr>
            <w:r w:rsidRPr="00ED3B99">
              <w:rPr>
                <w:rFonts w:ascii="Verdana" w:hAnsi="Verdana" w:cs="Arial"/>
                <w:sz w:val="14"/>
                <w:szCs w:val="14"/>
              </w:rPr>
              <w:t xml:space="preserve"> - Esclarece que um passivo financeiro é </w:t>
            </w:r>
            <w:proofErr w:type="spellStart"/>
            <w:r w:rsidRPr="00ED3B99">
              <w:rPr>
                <w:rFonts w:ascii="Verdana" w:hAnsi="Verdana" w:cs="Arial"/>
                <w:sz w:val="14"/>
                <w:szCs w:val="14"/>
              </w:rPr>
              <w:t>desreconhecido</w:t>
            </w:r>
            <w:proofErr w:type="spellEnd"/>
            <w:r w:rsidRPr="00ED3B99">
              <w:rPr>
                <w:rFonts w:ascii="Verdana" w:hAnsi="Verdana" w:cs="Arial"/>
                <w:sz w:val="14"/>
                <w:szCs w:val="14"/>
              </w:rPr>
              <w:t xml:space="preserve"> na "data de liquidação", ou seja, quando a obrigação relacionada é liquidada, cancelada, expira ou o passivo de outra forma se qualifica para </w:t>
            </w:r>
            <w:proofErr w:type="spellStart"/>
            <w:r w:rsidRPr="00ED3B99">
              <w:rPr>
                <w:rFonts w:ascii="Verdana" w:hAnsi="Verdana" w:cs="Arial"/>
                <w:sz w:val="14"/>
                <w:szCs w:val="14"/>
              </w:rPr>
              <w:t>desreconhecimento</w:t>
            </w:r>
            <w:proofErr w:type="spellEnd"/>
            <w:r w:rsidRPr="00ED3B99">
              <w:rPr>
                <w:rFonts w:ascii="Verdana" w:hAnsi="Verdana" w:cs="Arial"/>
                <w:sz w:val="14"/>
                <w:szCs w:val="14"/>
              </w:rPr>
              <w:t xml:space="preserve">. No entanto, é introduzida a possibilidade de uma entidade optar por adotar uma política contabilística que permita </w:t>
            </w:r>
            <w:proofErr w:type="spellStart"/>
            <w:r w:rsidRPr="00ED3B99">
              <w:rPr>
                <w:rFonts w:ascii="Verdana" w:hAnsi="Verdana" w:cs="Arial"/>
                <w:sz w:val="14"/>
                <w:szCs w:val="14"/>
              </w:rPr>
              <w:t>desreconhecer</w:t>
            </w:r>
            <w:proofErr w:type="spellEnd"/>
            <w:r w:rsidRPr="00ED3B99">
              <w:rPr>
                <w:rFonts w:ascii="Verdana" w:hAnsi="Verdana" w:cs="Arial"/>
                <w:sz w:val="14"/>
                <w:szCs w:val="14"/>
              </w:rPr>
              <w:t xml:space="preserve"> um passivo financeiro que seja liquidado através de um sistema de pagamentos eletrónico, antes da data de liquidação, desde que verificado o cumprimento de determinadas condições.</w:t>
            </w:r>
          </w:p>
          <w:p w14:paraId="257551C9" w14:textId="77777777" w:rsidR="00C82F0D" w:rsidRPr="00ED3B99" w:rsidRDefault="00C82F0D" w:rsidP="00ED3B99">
            <w:pPr>
              <w:tabs>
                <w:tab w:val="left" w:pos="426"/>
                <w:tab w:val="left" w:pos="851"/>
              </w:tabs>
              <w:jc w:val="both"/>
              <w:rPr>
                <w:rFonts w:ascii="Verdana" w:hAnsi="Verdana" w:cs="Arial"/>
                <w:sz w:val="14"/>
                <w:szCs w:val="14"/>
              </w:rPr>
            </w:pPr>
          </w:p>
          <w:p w14:paraId="20CF5946" w14:textId="77777777" w:rsidR="00C82F0D" w:rsidRPr="00ED3B99" w:rsidRDefault="00C82F0D" w:rsidP="00ED3B99">
            <w:pPr>
              <w:tabs>
                <w:tab w:val="left" w:pos="426"/>
                <w:tab w:val="left" w:pos="851"/>
              </w:tabs>
              <w:jc w:val="both"/>
              <w:rPr>
                <w:rFonts w:ascii="Verdana" w:hAnsi="Verdana" w:cs="Arial"/>
                <w:sz w:val="14"/>
                <w:szCs w:val="14"/>
              </w:rPr>
            </w:pPr>
            <w:r w:rsidRPr="00ED3B99">
              <w:rPr>
                <w:rFonts w:ascii="Verdana" w:hAnsi="Verdana" w:cs="Arial"/>
                <w:sz w:val="14"/>
                <w:szCs w:val="14"/>
              </w:rPr>
              <w:t>- Esclarece de que forma uma entidade deve avaliar as características dos fluxos de caixa contratuais de ativos financeiros que incluem variáveis relativas a fatores ambientais, sociais e de governança (ESG) e outras características contingentes semelhantes.</w:t>
            </w:r>
          </w:p>
          <w:p w14:paraId="4DA09052" w14:textId="77777777" w:rsidR="00C82F0D" w:rsidRPr="00ED3B99" w:rsidRDefault="00C82F0D" w:rsidP="00ED3B99">
            <w:pPr>
              <w:tabs>
                <w:tab w:val="left" w:pos="426"/>
                <w:tab w:val="left" w:pos="851"/>
              </w:tabs>
              <w:jc w:val="both"/>
              <w:rPr>
                <w:rFonts w:ascii="Verdana" w:hAnsi="Verdana" w:cs="Arial"/>
                <w:sz w:val="14"/>
                <w:szCs w:val="14"/>
              </w:rPr>
            </w:pPr>
          </w:p>
          <w:p w14:paraId="23CD74FB" w14:textId="77777777" w:rsidR="00C82F0D" w:rsidRPr="00ED3B99" w:rsidRDefault="00C82F0D" w:rsidP="00ED3B99">
            <w:pPr>
              <w:tabs>
                <w:tab w:val="left" w:pos="426"/>
                <w:tab w:val="left" w:pos="851"/>
              </w:tabs>
              <w:jc w:val="both"/>
              <w:rPr>
                <w:rFonts w:ascii="Verdana" w:hAnsi="Verdana" w:cs="Arial"/>
                <w:sz w:val="14"/>
                <w:szCs w:val="14"/>
              </w:rPr>
            </w:pPr>
            <w:r w:rsidRPr="00ED3B99">
              <w:rPr>
                <w:rFonts w:ascii="Verdana" w:hAnsi="Verdana" w:cs="Arial"/>
                <w:sz w:val="14"/>
                <w:szCs w:val="14"/>
              </w:rPr>
              <w:t>- Requer divulgações adicionais para ativos e passivos financeiros sujeitos a um evento contingente (incluindo variáveis ESG) e instrumentos de capital classificados ao justo valor através de outro rendimento integral.</w:t>
            </w:r>
          </w:p>
          <w:p w14:paraId="1C0D76D6" w14:textId="77777777" w:rsidR="00C82F0D" w:rsidRPr="00ED3B99" w:rsidRDefault="00C82F0D" w:rsidP="00ED3B99">
            <w:pPr>
              <w:tabs>
                <w:tab w:val="left" w:pos="426"/>
                <w:tab w:val="left" w:pos="851"/>
              </w:tabs>
              <w:jc w:val="both"/>
              <w:rPr>
                <w:rFonts w:ascii="Verdana" w:hAnsi="Verdana" w:cs="Arial"/>
                <w:sz w:val="14"/>
                <w:szCs w:val="14"/>
              </w:rPr>
            </w:pPr>
          </w:p>
          <w:p w14:paraId="4B94A551" w14:textId="77777777" w:rsidR="00C82F0D" w:rsidRPr="00ED3B99" w:rsidRDefault="00C82F0D" w:rsidP="00ED3B99">
            <w:pPr>
              <w:tabs>
                <w:tab w:val="left" w:pos="426"/>
                <w:tab w:val="left" w:pos="851"/>
              </w:tabs>
              <w:jc w:val="both"/>
              <w:rPr>
                <w:rFonts w:ascii="Verdana" w:hAnsi="Verdana" w:cs="Arial"/>
                <w:sz w:val="14"/>
                <w:szCs w:val="14"/>
              </w:rPr>
            </w:pPr>
            <w:r w:rsidRPr="00ED3B99">
              <w:rPr>
                <w:rFonts w:ascii="Verdana" w:hAnsi="Verdana" w:cs="Arial"/>
                <w:sz w:val="14"/>
                <w:szCs w:val="14"/>
              </w:rPr>
              <w:t>As alterações entram em vigor no período com início em ou após 1 de janeiro de 2026. A adoção antecipada é permitida.</w:t>
            </w:r>
          </w:p>
          <w:p w14:paraId="2096E966" w14:textId="77777777" w:rsidR="00C82F0D" w:rsidRPr="00ED3B99" w:rsidRDefault="00C82F0D" w:rsidP="00ED3B99">
            <w:pPr>
              <w:tabs>
                <w:tab w:val="left" w:pos="426"/>
                <w:tab w:val="left" w:pos="851"/>
              </w:tabs>
              <w:jc w:val="both"/>
              <w:rPr>
                <w:rFonts w:ascii="Verdana" w:hAnsi="Verdana" w:cs="Arial"/>
                <w:sz w:val="14"/>
                <w:szCs w:val="14"/>
              </w:rPr>
            </w:pPr>
          </w:p>
          <w:p w14:paraId="5884A0C8" w14:textId="77777777" w:rsidR="00C82F0D" w:rsidRPr="00107B4D" w:rsidRDefault="00C82F0D" w:rsidP="00ED3B99">
            <w:pPr>
              <w:tabs>
                <w:tab w:val="left" w:pos="426"/>
                <w:tab w:val="left" w:pos="851"/>
              </w:tabs>
              <w:jc w:val="both"/>
              <w:rPr>
                <w:rFonts w:ascii="Verdana" w:hAnsi="Verdana" w:cs="Arial"/>
                <w:sz w:val="14"/>
                <w:szCs w:val="14"/>
              </w:rPr>
            </w:pPr>
            <w:r w:rsidRPr="00ED3B99">
              <w:rPr>
                <w:rFonts w:ascii="Verdana" w:hAnsi="Verdana" w:cs="Arial"/>
                <w:sz w:val="14"/>
                <w:szCs w:val="14"/>
              </w:rPr>
              <w:t xml:space="preserve">Esta alteração é de aplicação retrospetiva. Contudo, uma entidade não é obrigada a </w:t>
            </w:r>
            <w:proofErr w:type="spellStart"/>
            <w:r w:rsidRPr="00ED3B99">
              <w:rPr>
                <w:rFonts w:ascii="Verdana" w:hAnsi="Verdana" w:cs="Arial"/>
                <w:sz w:val="14"/>
                <w:szCs w:val="14"/>
              </w:rPr>
              <w:t>reexpressar</w:t>
            </w:r>
            <w:proofErr w:type="spellEnd"/>
            <w:r w:rsidRPr="00ED3B99">
              <w:rPr>
                <w:rFonts w:ascii="Verdana" w:hAnsi="Verdana" w:cs="Arial"/>
                <w:sz w:val="14"/>
                <w:szCs w:val="14"/>
              </w:rPr>
              <w:t xml:space="preserve"> o período comparativo, sendo os potenciais impactos da aplicação desta alteração reconhecidos em resultados transitados no exercício em que a alteração é aplicável.</w:t>
            </w:r>
          </w:p>
        </w:tc>
      </w:tr>
      <w:tr w:rsidR="00C82F0D" w:rsidRPr="00107B4D" w14:paraId="1A20B77C" w14:textId="77777777" w:rsidTr="00C35A79">
        <w:tc>
          <w:tcPr>
            <w:tcW w:w="1412" w:type="dxa"/>
            <w:tcBorders>
              <w:top w:val="dotted" w:sz="4" w:space="0" w:color="auto"/>
              <w:bottom w:val="dotted" w:sz="4" w:space="0" w:color="auto"/>
              <w:right w:val="dotted" w:sz="4" w:space="0" w:color="FFFFFF" w:themeColor="background1"/>
            </w:tcBorders>
          </w:tcPr>
          <w:p w14:paraId="1EF0A5C0" w14:textId="77777777" w:rsidR="00C82F0D" w:rsidRPr="00ED3B99" w:rsidRDefault="00C82F0D" w:rsidP="00C35A79">
            <w:pPr>
              <w:tabs>
                <w:tab w:val="left" w:pos="426"/>
                <w:tab w:val="left" w:pos="851"/>
              </w:tabs>
              <w:rPr>
                <w:rFonts w:ascii="Verdana" w:hAnsi="Verdana" w:cs="Arial"/>
                <w:sz w:val="14"/>
                <w:szCs w:val="14"/>
              </w:rPr>
            </w:pPr>
            <w:r w:rsidRPr="00ED3B99">
              <w:rPr>
                <w:rFonts w:ascii="Verdana" w:hAnsi="Verdana" w:cs="Arial"/>
                <w:sz w:val="14"/>
                <w:szCs w:val="14"/>
              </w:rPr>
              <w:t xml:space="preserve">Alterações </w:t>
            </w:r>
            <w:r>
              <w:rPr>
                <w:rFonts w:ascii="Verdana" w:hAnsi="Verdana" w:cs="Arial"/>
                <w:sz w:val="14"/>
                <w:szCs w:val="14"/>
              </w:rPr>
              <w:t>à</w:t>
            </w:r>
            <w:r w:rsidRPr="00ED3B99">
              <w:rPr>
                <w:rFonts w:ascii="Verdana" w:hAnsi="Verdana" w:cs="Arial"/>
                <w:sz w:val="14"/>
                <w:szCs w:val="14"/>
              </w:rPr>
              <w:t xml:space="preserve"> IFRS 9 e IFRS 7 – Contratos negociados com referência a eletricidade gerada a partir de fontes renováveis</w:t>
            </w:r>
          </w:p>
        </w:tc>
        <w:tc>
          <w:tcPr>
            <w:tcW w:w="1276" w:type="dxa"/>
            <w:tcBorders>
              <w:top w:val="dotted" w:sz="4" w:space="0" w:color="auto"/>
              <w:left w:val="dotted" w:sz="4" w:space="0" w:color="FFFFFF" w:themeColor="background1"/>
              <w:bottom w:val="dotted" w:sz="4" w:space="0" w:color="auto"/>
              <w:right w:val="dotted" w:sz="4" w:space="0" w:color="FFFFFF" w:themeColor="background1"/>
            </w:tcBorders>
          </w:tcPr>
          <w:p w14:paraId="1113814F" w14:textId="77777777" w:rsidR="00C82F0D" w:rsidRPr="00ED3B99" w:rsidRDefault="00C82F0D" w:rsidP="00C35A79">
            <w:pPr>
              <w:tabs>
                <w:tab w:val="left" w:pos="426"/>
                <w:tab w:val="left" w:pos="851"/>
              </w:tabs>
              <w:jc w:val="center"/>
              <w:rPr>
                <w:rFonts w:ascii="Verdana" w:hAnsi="Verdana" w:cs="Arial"/>
                <w:sz w:val="14"/>
                <w:szCs w:val="14"/>
              </w:rPr>
            </w:pPr>
            <w:r w:rsidRPr="00ED3B99">
              <w:rPr>
                <w:rFonts w:ascii="Verdana" w:hAnsi="Verdana" w:cs="Arial"/>
                <w:sz w:val="14"/>
                <w:szCs w:val="14"/>
              </w:rPr>
              <w:t>01-jan-26</w:t>
            </w:r>
          </w:p>
        </w:tc>
        <w:tc>
          <w:tcPr>
            <w:tcW w:w="4815" w:type="dxa"/>
            <w:tcBorders>
              <w:top w:val="dotted" w:sz="4" w:space="0" w:color="auto"/>
              <w:left w:val="dotted" w:sz="4" w:space="0" w:color="FFFFFF" w:themeColor="background1"/>
              <w:bottom w:val="dotted" w:sz="4" w:space="0" w:color="auto"/>
            </w:tcBorders>
          </w:tcPr>
          <w:p w14:paraId="34545CE9" w14:textId="77777777" w:rsidR="00C82F0D" w:rsidRPr="00ED3B99" w:rsidRDefault="00C82F0D" w:rsidP="00ED3B99">
            <w:pPr>
              <w:tabs>
                <w:tab w:val="left" w:pos="426"/>
                <w:tab w:val="left" w:pos="851"/>
              </w:tabs>
              <w:jc w:val="both"/>
              <w:rPr>
                <w:rFonts w:ascii="Verdana" w:hAnsi="Verdana" w:cs="Arial"/>
                <w:sz w:val="14"/>
                <w:szCs w:val="14"/>
              </w:rPr>
            </w:pPr>
            <w:r w:rsidRPr="00ED3B99">
              <w:rPr>
                <w:rFonts w:ascii="Verdana" w:hAnsi="Verdana" w:cs="Arial"/>
                <w:sz w:val="14"/>
                <w:szCs w:val="14"/>
              </w:rPr>
              <w:t>As alterações referem-se especificamente a acordos de compra de energia renovável cuja fonte de produção é dependente da natureza, de modo que o fornecimento não pode ser garantido em horários ou volumes específicos.</w:t>
            </w:r>
          </w:p>
          <w:p w14:paraId="237D2CBD" w14:textId="77777777" w:rsidR="00C82F0D" w:rsidRPr="00ED3B99" w:rsidRDefault="00C82F0D" w:rsidP="00ED3B99">
            <w:pPr>
              <w:tabs>
                <w:tab w:val="left" w:pos="426"/>
                <w:tab w:val="left" w:pos="851"/>
              </w:tabs>
              <w:jc w:val="both"/>
              <w:rPr>
                <w:rFonts w:ascii="Verdana" w:hAnsi="Verdana" w:cs="Arial"/>
                <w:sz w:val="14"/>
                <w:szCs w:val="14"/>
              </w:rPr>
            </w:pPr>
          </w:p>
          <w:p w14:paraId="142A1D30" w14:textId="77777777" w:rsidR="00C82F0D" w:rsidRPr="00ED3B99" w:rsidRDefault="00C82F0D" w:rsidP="00ED3B99">
            <w:pPr>
              <w:tabs>
                <w:tab w:val="left" w:pos="426"/>
                <w:tab w:val="left" w:pos="851"/>
              </w:tabs>
              <w:jc w:val="both"/>
              <w:rPr>
                <w:rFonts w:ascii="Verdana" w:hAnsi="Verdana" w:cs="Arial"/>
                <w:sz w:val="14"/>
                <w:szCs w:val="14"/>
              </w:rPr>
            </w:pPr>
            <w:r w:rsidRPr="00ED3B99">
              <w:rPr>
                <w:rFonts w:ascii="Verdana" w:hAnsi="Verdana" w:cs="Arial"/>
                <w:sz w:val="14"/>
                <w:szCs w:val="14"/>
              </w:rPr>
              <w:t>Neste sentido, estas alterações vêm clarificar a aplicação dos requisitos de "uso próprio" em acordos de compra de energia, bem como o facto de ser permitido aplicar contabilidade de cobertura quando esses contratos sejam usados como instrumentos de cobertura.</w:t>
            </w:r>
          </w:p>
          <w:p w14:paraId="2EAE7BB4" w14:textId="77777777" w:rsidR="00C82F0D" w:rsidRPr="00ED3B99" w:rsidRDefault="00C82F0D" w:rsidP="00ED3B99">
            <w:pPr>
              <w:tabs>
                <w:tab w:val="left" w:pos="426"/>
                <w:tab w:val="left" w:pos="851"/>
              </w:tabs>
              <w:jc w:val="both"/>
              <w:rPr>
                <w:rFonts w:ascii="Verdana" w:hAnsi="Verdana" w:cs="Arial"/>
                <w:sz w:val="14"/>
                <w:szCs w:val="14"/>
              </w:rPr>
            </w:pPr>
          </w:p>
          <w:p w14:paraId="76CC63E1" w14:textId="77777777" w:rsidR="00C82F0D" w:rsidRPr="00ED3B99" w:rsidRDefault="00C82F0D" w:rsidP="00ED3B99">
            <w:pPr>
              <w:tabs>
                <w:tab w:val="left" w:pos="426"/>
                <w:tab w:val="left" w:pos="851"/>
              </w:tabs>
              <w:jc w:val="both"/>
              <w:rPr>
                <w:rFonts w:ascii="Verdana" w:hAnsi="Verdana" w:cs="Arial"/>
                <w:sz w:val="14"/>
                <w:szCs w:val="14"/>
              </w:rPr>
            </w:pPr>
            <w:r w:rsidRPr="00ED3B99">
              <w:rPr>
                <w:rFonts w:ascii="Verdana" w:hAnsi="Verdana" w:cs="Arial"/>
                <w:sz w:val="14"/>
                <w:szCs w:val="14"/>
              </w:rPr>
              <w:t>As alterações são efetivas para períodos anuais a partir de 1 de janeiro de 2026, com aplicação antecipada permitida. exceto quanto às orientações relativas à contabilidade de cobertura que deverá ser aplicada prospectivamente a novos relacionamentos de cobertura, assim designados em ou após a data de aplicação inicial.</w:t>
            </w:r>
          </w:p>
        </w:tc>
      </w:tr>
      <w:tr w:rsidR="00C82F0D" w:rsidRPr="00107B4D" w14:paraId="315E1A90" w14:textId="77777777" w:rsidTr="00C35A79">
        <w:tc>
          <w:tcPr>
            <w:tcW w:w="1412" w:type="dxa"/>
            <w:tcBorders>
              <w:top w:val="dotted" w:sz="4" w:space="0" w:color="auto"/>
              <w:bottom w:val="dotted" w:sz="4" w:space="0" w:color="auto"/>
              <w:right w:val="dotted" w:sz="4" w:space="0" w:color="FFFFFF" w:themeColor="background1"/>
            </w:tcBorders>
          </w:tcPr>
          <w:p w14:paraId="742BD68D" w14:textId="77777777" w:rsidR="00C82F0D" w:rsidRPr="00ED3B99" w:rsidRDefault="00C82F0D" w:rsidP="00C35A79">
            <w:pPr>
              <w:tabs>
                <w:tab w:val="left" w:pos="426"/>
                <w:tab w:val="left" w:pos="851"/>
              </w:tabs>
              <w:rPr>
                <w:rFonts w:ascii="Verdana" w:hAnsi="Verdana" w:cs="Arial"/>
                <w:sz w:val="14"/>
                <w:szCs w:val="14"/>
              </w:rPr>
            </w:pPr>
            <w:r w:rsidRPr="00ED3B99">
              <w:rPr>
                <w:rFonts w:ascii="Verdana" w:hAnsi="Verdana" w:cs="Arial"/>
                <w:sz w:val="14"/>
                <w:szCs w:val="14"/>
              </w:rPr>
              <w:t>Melhorias anuais às IFRS (Volume 11)</w:t>
            </w:r>
          </w:p>
        </w:tc>
        <w:tc>
          <w:tcPr>
            <w:tcW w:w="1276" w:type="dxa"/>
            <w:tcBorders>
              <w:top w:val="dotted" w:sz="4" w:space="0" w:color="auto"/>
              <w:left w:val="dotted" w:sz="4" w:space="0" w:color="FFFFFF" w:themeColor="background1"/>
              <w:bottom w:val="dotted" w:sz="4" w:space="0" w:color="auto"/>
              <w:right w:val="dotted" w:sz="4" w:space="0" w:color="FFFFFF" w:themeColor="background1"/>
            </w:tcBorders>
          </w:tcPr>
          <w:p w14:paraId="50D2DC81" w14:textId="77777777" w:rsidR="00C82F0D" w:rsidRPr="00ED3B99" w:rsidRDefault="00C82F0D" w:rsidP="00C35A79">
            <w:pPr>
              <w:tabs>
                <w:tab w:val="left" w:pos="426"/>
                <w:tab w:val="left" w:pos="851"/>
              </w:tabs>
              <w:jc w:val="center"/>
              <w:rPr>
                <w:rFonts w:ascii="Verdana" w:hAnsi="Verdana" w:cs="Arial"/>
                <w:sz w:val="14"/>
                <w:szCs w:val="14"/>
              </w:rPr>
            </w:pPr>
            <w:r w:rsidRPr="00ED3B99">
              <w:rPr>
                <w:rFonts w:ascii="Verdana" w:hAnsi="Verdana" w:cs="Arial"/>
                <w:sz w:val="14"/>
                <w:szCs w:val="14"/>
              </w:rPr>
              <w:t>01-jan-26</w:t>
            </w:r>
          </w:p>
        </w:tc>
        <w:tc>
          <w:tcPr>
            <w:tcW w:w="4815" w:type="dxa"/>
            <w:tcBorders>
              <w:top w:val="dotted" w:sz="4" w:space="0" w:color="auto"/>
              <w:left w:val="dotted" w:sz="4" w:space="0" w:color="FFFFFF" w:themeColor="background1"/>
              <w:bottom w:val="dotted" w:sz="4" w:space="0" w:color="auto"/>
            </w:tcBorders>
          </w:tcPr>
          <w:p w14:paraId="44620F50" w14:textId="77777777" w:rsidR="00C82F0D" w:rsidRPr="00ED3B99" w:rsidRDefault="00C82F0D" w:rsidP="00ED3B99">
            <w:pPr>
              <w:tabs>
                <w:tab w:val="left" w:pos="426"/>
                <w:tab w:val="left" w:pos="851"/>
              </w:tabs>
              <w:jc w:val="both"/>
              <w:rPr>
                <w:rFonts w:ascii="Verdana" w:hAnsi="Verdana" w:cs="Arial"/>
                <w:sz w:val="14"/>
                <w:szCs w:val="14"/>
              </w:rPr>
            </w:pPr>
            <w:r w:rsidRPr="00ED3B99">
              <w:rPr>
                <w:rFonts w:ascii="Verdana" w:hAnsi="Verdana" w:cs="Arial"/>
                <w:sz w:val="14"/>
                <w:szCs w:val="14"/>
              </w:rPr>
              <w:t xml:space="preserve">Ciclicamente são introduzidas melhorias que visam clarificar e simplificar a aplicação do normativo internacional, através de pequenas alterações consideradas não urgentes. </w:t>
            </w:r>
          </w:p>
          <w:p w14:paraId="00F250B9" w14:textId="77777777" w:rsidR="00C82F0D" w:rsidRPr="00ED3B99" w:rsidRDefault="00C82F0D" w:rsidP="00ED3B99">
            <w:pPr>
              <w:tabs>
                <w:tab w:val="left" w:pos="426"/>
                <w:tab w:val="left" w:pos="851"/>
              </w:tabs>
              <w:jc w:val="both"/>
              <w:rPr>
                <w:rFonts w:ascii="Verdana" w:hAnsi="Verdana" w:cs="Arial"/>
                <w:sz w:val="14"/>
                <w:szCs w:val="14"/>
              </w:rPr>
            </w:pPr>
          </w:p>
          <w:p w14:paraId="6B0F88D2" w14:textId="77777777" w:rsidR="00C82F0D" w:rsidRPr="00ED3B99" w:rsidRDefault="00C82F0D" w:rsidP="00ED3B99">
            <w:pPr>
              <w:tabs>
                <w:tab w:val="left" w:pos="426"/>
                <w:tab w:val="left" w:pos="851"/>
              </w:tabs>
              <w:jc w:val="both"/>
              <w:rPr>
                <w:rFonts w:ascii="Verdana" w:hAnsi="Verdana" w:cs="Arial"/>
                <w:sz w:val="14"/>
                <w:szCs w:val="14"/>
              </w:rPr>
            </w:pPr>
            <w:r w:rsidRPr="00ED3B99">
              <w:rPr>
                <w:rFonts w:ascii="Verdana" w:hAnsi="Verdana" w:cs="Arial"/>
                <w:sz w:val="14"/>
                <w:szCs w:val="14"/>
              </w:rPr>
              <w:lastRenderedPageBreak/>
              <w:t>As principais alterações incluídas neste volume referem-se:</w:t>
            </w:r>
          </w:p>
          <w:p w14:paraId="4E00C24C" w14:textId="77777777" w:rsidR="00C82F0D" w:rsidRPr="00ED3B99" w:rsidRDefault="00C82F0D" w:rsidP="00ED3B99">
            <w:pPr>
              <w:tabs>
                <w:tab w:val="left" w:pos="426"/>
                <w:tab w:val="left" w:pos="851"/>
              </w:tabs>
              <w:jc w:val="both"/>
              <w:rPr>
                <w:rFonts w:ascii="Verdana" w:hAnsi="Verdana" w:cs="Arial"/>
                <w:sz w:val="14"/>
                <w:szCs w:val="14"/>
              </w:rPr>
            </w:pPr>
          </w:p>
          <w:p w14:paraId="0E2AB31B" w14:textId="77777777" w:rsidR="00C82F0D" w:rsidRPr="00ED3B99" w:rsidRDefault="00C82F0D" w:rsidP="00ED3B99">
            <w:pPr>
              <w:tabs>
                <w:tab w:val="left" w:pos="426"/>
                <w:tab w:val="left" w:pos="851"/>
              </w:tabs>
              <w:jc w:val="both"/>
              <w:rPr>
                <w:rFonts w:ascii="Verdana" w:hAnsi="Verdana" w:cs="Arial"/>
                <w:sz w:val="14"/>
                <w:szCs w:val="14"/>
              </w:rPr>
            </w:pPr>
            <w:r w:rsidRPr="00ED3B99">
              <w:rPr>
                <w:rFonts w:ascii="Verdana" w:hAnsi="Verdana" w:cs="Arial"/>
                <w:sz w:val="14"/>
                <w:szCs w:val="14"/>
              </w:rPr>
              <w:t>- IFRS 1 (Contabilidade de cobertura na adoção pela primeira vez das normas IFRS): Esta alteração visa a atualização das referências cruzadas nos parágrafos B5 e B6 da IFRS 1 Adoção pela Primeira Vez das Normas Internacionais de Relato Financeiro. para os critérios elegibilidade da contabilidade de cobertura na IFRS 9 para os parágrafos 6.4.1(a). (b) e (c).</w:t>
            </w:r>
          </w:p>
          <w:p w14:paraId="1725CFF4" w14:textId="77777777" w:rsidR="00C82F0D" w:rsidRPr="00ED3B99" w:rsidRDefault="00C82F0D" w:rsidP="00ED3B99">
            <w:pPr>
              <w:tabs>
                <w:tab w:val="left" w:pos="426"/>
                <w:tab w:val="left" w:pos="851"/>
              </w:tabs>
              <w:jc w:val="both"/>
              <w:rPr>
                <w:rFonts w:ascii="Verdana" w:hAnsi="Verdana" w:cs="Arial"/>
                <w:sz w:val="14"/>
                <w:szCs w:val="14"/>
              </w:rPr>
            </w:pPr>
          </w:p>
          <w:p w14:paraId="20A77F83" w14:textId="77777777" w:rsidR="00C82F0D" w:rsidRPr="00ED3B99" w:rsidRDefault="00C82F0D" w:rsidP="00ED3B99">
            <w:pPr>
              <w:tabs>
                <w:tab w:val="left" w:pos="426"/>
                <w:tab w:val="left" w:pos="851"/>
              </w:tabs>
              <w:jc w:val="both"/>
              <w:rPr>
                <w:rFonts w:ascii="Verdana" w:hAnsi="Verdana" w:cs="Arial"/>
                <w:sz w:val="14"/>
                <w:szCs w:val="14"/>
              </w:rPr>
            </w:pPr>
            <w:r w:rsidRPr="00ED3B99">
              <w:rPr>
                <w:rFonts w:ascii="Verdana" w:hAnsi="Verdana" w:cs="Arial"/>
                <w:sz w:val="14"/>
                <w:szCs w:val="14"/>
              </w:rPr>
              <w:t xml:space="preserve">- IFRS 7 (Ganho ou perda no </w:t>
            </w:r>
            <w:proofErr w:type="spellStart"/>
            <w:r w:rsidRPr="00ED3B99">
              <w:rPr>
                <w:rFonts w:ascii="Verdana" w:hAnsi="Verdana" w:cs="Arial"/>
                <w:sz w:val="14"/>
                <w:szCs w:val="14"/>
              </w:rPr>
              <w:t>desreconhecimento</w:t>
            </w:r>
            <w:proofErr w:type="spellEnd"/>
            <w:r w:rsidRPr="00ED3B99">
              <w:rPr>
                <w:rFonts w:ascii="Verdana" w:hAnsi="Verdana" w:cs="Arial"/>
                <w:sz w:val="14"/>
                <w:szCs w:val="14"/>
              </w:rPr>
              <w:t xml:space="preserve">): Esta alteração visa atualizar a linguagem relativa aos dados de mercado não observáveis incluídos no parágrafo B38 da IFRS 7 Instrumentos Financeiros: Divulgações, bem como adicionar referências para os parágrafos 72 e 73 da IFRS 13 Mensuração pelo Justo Valor. </w:t>
            </w:r>
          </w:p>
          <w:p w14:paraId="54D37D16" w14:textId="77777777" w:rsidR="00C82F0D" w:rsidRPr="00ED3B99" w:rsidRDefault="00C82F0D" w:rsidP="00ED3B99">
            <w:pPr>
              <w:tabs>
                <w:tab w:val="left" w:pos="426"/>
                <w:tab w:val="left" w:pos="851"/>
              </w:tabs>
              <w:jc w:val="both"/>
              <w:rPr>
                <w:rFonts w:ascii="Verdana" w:hAnsi="Verdana" w:cs="Arial"/>
                <w:sz w:val="14"/>
                <w:szCs w:val="14"/>
              </w:rPr>
            </w:pPr>
          </w:p>
          <w:p w14:paraId="50728D2F" w14:textId="77777777" w:rsidR="00C82F0D" w:rsidRPr="00ED3B99" w:rsidRDefault="00C82F0D" w:rsidP="00ED3B99">
            <w:pPr>
              <w:tabs>
                <w:tab w:val="left" w:pos="426"/>
                <w:tab w:val="left" w:pos="851"/>
              </w:tabs>
              <w:jc w:val="both"/>
              <w:rPr>
                <w:rFonts w:ascii="Verdana" w:hAnsi="Verdana" w:cs="Arial"/>
                <w:sz w:val="14"/>
                <w:szCs w:val="14"/>
              </w:rPr>
            </w:pPr>
            <w:r w:rsidRPr="00ED3B99">
              <w:rPr>
                <w:rFonts w:ascii="Verdana" w:hAnsi="Verdana" w:cs="Arial"/>
                <w:sz w:val="14"/>
                <w:szCs w:val="14"/>
              </w:rPr>
              <w:t>- IFRS 7 (Orientações de implementação): Diversos parágrafos relativos às orientações de implementação da IFRS 7 foram alterados por razões de consistência e clareza.</w:t>
            </w:r>
          </w:p>
          <w:p w14:paraId="559F15E5" w14:textId="77777777" w:rsidR="00C82F0D" w:rsidRPr="00ED3B99" w:rsidRDefault="00C82F0D" w:rsidP="00ED3B99">
            <w:pPr>
              <w:tabs>
                <w:tab w:val="left" w:pos="426"/>
                <w:tab w:val="left" w:pos="851"/>
              </w:tabs>
              <w:jc w:val="both"/>
              <w:rPr>
                <w:rFonts w:ascii="Verdana" w:hAnsi="Verdana" w:cs="Arial"/>
                <w:sz w:val="14"/>
                <w:szCs w:val="14"/>
              </w:rPr>
            </w:pPr>
          </w:p>
          <w:p w14:paraId="5317D984" w14:textId="77777777" w:rsidR="00C82F0D" w:rsidRPr="00ED3B99" w:rsidRDefault="00C82F0D" w:rsidP="00ED3B99">
            <w:pPr>
              <w:tabs>
                <w:tab w:val="left" w:pos="426"/>
                <w:tab w:val="left" w:pos="851"/>
              </w:tabs>
              <w:jc w:val="both"/>
              <w:rPr>
                <w:rFonts w:ascii="Verdana" w:hAnsi="Verdana" w:cs="Arial"/>
                <w:sz w:val="14"/>
                <w:szCs w:val="14"/>
              </w:rPr>
            </w:pPr>
            <w:r w:rsidRPr="00ED3B99">
              <w:rPr>
                <w:rFonts w:ascii="Verdana" w:hAnsi="Verdana" w:cs="Arial"/>
                <w:sz w:val="14"/>
                <w:szCs w:val="14"/>
              </w:rPr>
              <w:t>- IFRS 9 (</w:t>
            </w:r>
            <w:proofErr w:type="spellStart"/>
            <w:r w:rsidRPr="00ED3B99">
              <w:rPr>
                <w:rFonts w:ascii="Verdana" w:hAnsi="Verdana" w:cs="Arial"/>
                <w:sz w:val="14"/>
                <w:szCs w:val="14"/>
              </w:rPr>
              <w:t>Desreconhecimento</w:t>
            </w:r>
            <w:proofErr w:type="spellEnd"/>
            <w:r w:rsidRPr="00ED3B99">
              <w:rPr>
                <w:rFonts w:ascii="Verdana" w:hAnsi="Verdana" w:cs="Arial"/>
                <w:sz w:val="14"/>
                <w:szCs w:val="14"/>
              </w:rPr>
              <w:t xml:space="preserve"> de passivos de locação): Esta alteração vem clarificar que quando um passivo financeiro é extinto de acordo com a IFRS 9, o locatário deverá aplicar o parágrafo 3.3.3 da IFRS 9 e reconhecer o ganho ou perda que resulte desse </w:t>
            </w:r>
            <w:proofErr w:type="spellStart"/>
            <w:r w:rsidRPr="00ED3B99">
              <w:rPr>
                <w:rFonts w:ascii="Verdana" w:hAnsi="Verdana" w:cs="Arial"/>
                <w:sz w:val="14"/>
                <w:szCs w:val="14"/>
              </w:rPr>
              <w:t>desreconhecimento</w:t>
            </w:r>
            <w:proofErr w:type="spellEnd"/>
            <w:r w:rsidRPr="00ED3B99">
              <w:rPr>
                <w:rFonts w:ascii="Verdana" w:hAnsi="Verdana" w:cs="Arial"/>
                <w:sz w:val="14"/>
                <w:szCs w:val="14"/>
              </w:rPr>
              <w:t>.</w:t>
            </w:r>
          </w:p>
          <w:p w14:paraId="5500894C" w14:textId="77777777" w:rsidR="00C82F0D" w:rsidRPr="00ED3B99" w:rsidRDefault="00C82F0D" w:rsidP="00ED3B99">
            <w:pPr>
              <w:tabs>
                <w:tab w:val="left" w:pos="426"/>
                <w:tab w:val="left" w:pos="851"/>
              </w:tabs>
              <w:jc w:val="both"/>
              <w:rPr>
                <w:rFonts w:ascii="Verdana" w:hAnsi="Verdana" w:cs="Arial"/>
                <w:sz w:val="14"/>
                <w:szCs w:val="14"/>
              </w:rPr>
            </w:pPr>
          </w:p>
          <w:p w14:paraId="10A01B7A" w14:textId="77777777" w:rsidR="00C82F0D" w:rsidRPr="00ED3B99" w:rsidRDefault="00C82F0D" w:rsidP="00ED3B99">
            <w:pPr>
              <w:tabs>
                <w:tab w:val="left" w:pos="426"/>
                <w:tab w:val="left" w:pos="851"/>
              </w:tabs>
              <w:jc w:val="both"/>
              <w:rPr>
                <w:rFonts w:ascii="Verdana" w:hAnsi="Verdana" w:cs="Arial"/>
                <w:sz w:val="14"/>
                <w:szCs w:val="14"/>
              </w:rPr>
            </w:pPr>
            <w:r w:rsidRPr="00ED3B99">
              <w:rPr>
                <w:rFonts w:ascii="Verdana" w:hAnsi="Verdana" w:cs="Arial"/>
                <w:sz w:val="14"/>
                <w:szCs w:val="14"/>
              </w:rPr>
              <w:t>- IFRS 9 (Preço da transação): Com esta alteração a referência ao “preço da transação” no parágrafo 5.1.3 da IFRS 9 é substituída por “montante determinado pela aplicação da IFRS 15”.</w:t>
            </w:r>
          </w:p>
          <w:p w14:paraId="694ADC41" w14:textId="77777777" w:rsidR="00C82F0D" w:rsidRPr="00ED3B99" w:rsidRDefault="00C82F0D" w:rsidP="00ED3B99">
            <w:pPr>
              <w:tabs>
                <w:tab w:val="left" w:pos="426"/>
                <w:tab w:val="left" w:pos="851"/>
              </w:tabs>
              <w:jc w:val="both"/>
              <w:rPr>
                <w:rFonts w:ascii="Verdana" w:hAnsi="Verdana" w:cs="Arial"/>
                <w:sz w:val="14"/>
                <w:szCs w:val="14"/>
              </w:rPr>
            </w:pPr>
          </w:p>
          <w:p w14:paraId="77F087A5" w14:textId="77777777" w:rsidR="00C82F0D" w:rsidRPr="00ED3B99" w:rsidRDefault="00C82F0D" w:rsidP="00ED3B99">
            <w:pPr>
              <w:tabs>
                <w:tab w:val="left" w:pos="426"/>
                <w:tab w:val="left" w:pos="851"/>
              </w:tabs>
              <w:jc w:val="both"/>
              <w:rPr>
                <w:rFonts w:ascii="Verdana" w:hAnsi="Verdana" w:cs="Arial"/>
                <w:sz w:val="14"/>
                <w:szCs w:val="14"/>
              </w:rPr>
            </w:pPr>
            <w:r w:rsidRPr="00ED3B99">
              <w:rPr>
                <w:rFonts w:ascii="Verdana" w:hAnsi="Verdana" w:cs="Arial"/>
                <w:sz w:val="14"/>
                <w:szCs w:val="14"/>
              </w:rPr>
              <w:t>- IFRS 10 (Determinação de agente ‘de facto’): Alteração efetuada ao parágrafo B74 da IFRS 10, a qual vem clarificar que a relação descrita nesse parágrafo é apenas um exemplo de várias possíveis entre o investidor e outras partes atuando como agentes de facto. O objetivo desta alteração é remover a inconsistência com o requisito do parágrafo B73 segundo o qual uma entidade deve utilizar o seu julgamento na avaliação de outras partes possam atuar como agentes ‘de facto’.</w:t>
            </w:r>
          </w:p>
          <w:p w14:paraId="6190C392" w14:textId="77777777" w:rsidR="00C82F0D" w:rsidRPr="00ED3B99" w:rsidRDefault="00C82F0D" w:rsidP="00ED3B99">
            <w:pPr>
              <w:tabs>
                <w:tab w:val="left" w:pos="426"/>
                <w:tab w:val="left" w:pos="851"/>
              </w:tabs>
              <w:jc w:val="both"/>
              <w:rPr>
                <w:rFonts w:ascii="Verdana" w:hAnsi="Verdana" w:cs="Arial"/>
                <w:sz w:val="14"/>
                <w:szCs w:val="14"/>
              </w:rPr>
            </w:pPr>
          </w:p>
          <w:p w14:paraId="09AB90FC" w14:textId="77777777" w:rsidR="00C82F0D" w:rsidRPr="00ED3B99" w:rsidRDefault="00C82F0D" w:rsidP="00ED3B99">
            <w:pPr>
              <w:tabs>
                <w:tab w:val="left" w:pos="426"/>
                <w:tab w:val="left" w:pos="851"/>
              </w:tabs>
              <w:jc w:val="both"/>
              <w:rPr>
                <w:rFonts w:ascii="Verdana" w:hAnsi="Verdana" w:cs="Arial"/>
                <w:sz w:val="14"/>
                <w:szCs w:val="14"/>
              </w:rPr>
            </w:pPr>
            <w:r w:rsidRPr="00ED3B99">
              <w:rPr>
                <w:rFonts w:ascii="Verdana" w:hAnsi="Verdana" w:cs="Arial"/>
                <w:sz w:val="14"/>
                <w:szCs w:val="14"/>
              </w:rPr>
              <w:t>- IAS 7 (Método do custo): Substituição do termo “método do custo” por “ao custo” no parágrafo 37 da IAS 7 após a eliminação da definição de “método do custo”.</w:t>
            </w:r>
          </w:p>
          <w:p w14:paraId="15E5B7F7" w14:textId="77777777" w:rsidR="00C82F0D" w:rsidRPr="00ED3B99" w:rsidRDefault="00C82F0D" w:rsidP="00ED3B99">
            <w:pPr>
              <w:tabs>
                <w:tab w:val="left" w:pos="426"/>
                <w:tab w:val="left" w:pos="851"/>
              </w:tabs>
              <w:jc w:val="both"/>
              <w:rPr>
                <w:rFonts w:ascii="Verdana" w:hAnsi="Verdana" w:cs="Arial"/>
                <w:sz w:val="14"/>
                <w:szCs w:val="14"/>
              </w:rPr>
            </w:pPr>
          </w:p>
          <w:p w14:paraId="28CF3CD9" w14:textId="77777777" w:rsidR="00C82F0D" w:rsidRPr="00ED3B99" w:rsidRDefault="00C82F0D" w:rsidP="00ED3B99">
            <w:pPr>
              <w:tabs>
                <w:tab w:val="left" w:pos="426"/>
                <w:tab w:val="left" w:pos="851"/>
              </w:tabs>
              <w:jc w:val="both"/>
              <w:rPr>
                <w:rFonts w:ascii="Verdana" w:hAnsi="Verdana" w:cs="Arial"/>
                <w:sz w:val="14"/>
                <w:szCs w:val="14"/>
              </w:rPr>
            </w:pPr>
            <w:r w:rsidRPr="00ED3B99">
              <w:rPr>
                <w:rFonts w:ascii="Verdana" w:hAnsi="Verdana" w:cs="Arial"/>
                <w:sz w:val="14"/>
                <w:szCs w:val="14"/>
              </w:rPr>
              <w:t>As alterações são efetivas para períodos anuais a partir de 1 de janeiro de 2026. Com aplicação antecipada permitida.</w:t>
            </w:r>
          </w:p>
        </w:tc>
      </w:tr>
    </w:tbl>
    <w:p w14:paraId="022DD5F7" w14:textId="77777777" w:rsidR="00C82F0D" w:rsidRPr="00107B4D" w:rsidRDefault="00C82F0D" w:rsidP="00633A3B">
      <w:pPr>
        <w:tabs>
          <w:tab w:val="left" w:pos="426"/>
          <w:tab w:val="left" w:pos="851"/>
        </w:tabs>
        <w:ind w:left="851"/>
        <w:jc w:val="both"/>
        <w:rPr>
          <w:rFonts w:ascii="Verdana" w:hAnsi="Verdana" w:cs="Arial"/>
          <w:sz w:val="17"/>
          <w:szCs w:val="17"/>
        </w:rPr>
      </w:pPr>
    </w:p>
    <w:p w14:paraId="33761B6E" w14:textId="77777777" w:rsidR="00C82F0D" w:rsidRPr="00107B4D" w:rsidRDefault="00C82F0D" w:rsidP="00633A3B">
      <w:pPr>
        <w:tabs>
          <w:tab w:val="left" w:pos="426"/>
        </w:tabs>
        <w:jc w:val="both"/>
        <w:rPr>
          <w:rFonts w:ascii="Verdana" w:hAnsi="Verdana" w:cs="Arial"/>
          <w:sz w:val="17"/>
          <w:szCs w:val="17"/>
        </w:rPr>
      </w:pPr>
    </w:p>
    <w:p w14:paraId="5507155E" w14:textId="77777777" w:rsidR="00C82F0D" w:rsidRPr="00107B4D" w:rsidRDefault="00C82F0D" w:rsidP="00633A3B">
      <w:pPr>
        <w:tabs>
          <w:tab w:val="left" w:pos="426"/>
          <w:tab w:val="left" w:pos="851"/>
        </w:tabs>
        <w:ind w:left="851"/>
        <w:jc w:val="both"/>
        <w:rPr>
          <w:rFonts w:ascii="Verdana" w:hAnsi="Verdana" w:cs="Arial"/>
          <w:sz w:val="17"/>
          <w:szCs w:val="17"/>
        </w:rPr>
      </w:pPr>
      <w:r w:rsidRPr="00107B4D">
        <w:rPr>
          <w:rFonts w:ascii="Verdana" w:hAnsi="Verdana" w:cs="Arial"/>
          <w:sz w:val="17"/>
          <w:szCs w:val="17"/>
        </w:rPr>
        <w:t>Estas normas, apesar de aprovadas (“</w:t>
      </w:r>
      <w:proofErr w:type="spellStart"/>
      <w:r w:rsidRPr="00107B4D">
        <w:rPr>
          <w:rFonts w:ascii="Verdana" w:hAnsi="Verdana" w:cs="Arial"/>
          <w:sz w:val="17"/>
          <w:szCs w:val="17"/>
        </w:rPr>
        <w:t>endorsed</w:t>
      </w:r>
      <w:proofErr w:type="spellEnd"/>
      <w:r w:rsidRPr="00107B4D">
        <w:rPr>
          <w:rFonts w:ascii="Verdana" w:hAnsi="Verdana" w:cs="Arial"/>
          <w:sz w:val="17"/>
          <w:szCs w:val="17"/>
        </w:rPr>
        <w:t>”) pela União Europeia, não foram adotadas pela Sociedade no exercício findo em 31 de dezembro de 202</w:t>
      </w:r>
      <w:r>
        <w:rPr>
          <w:rFonts w:ascii="Verdana" w:hAnsi="Verdana" w:cs="Arial"/>
          <w:sz w:val="17"/>
          <w:szCs w:val="17"/>
        </w:rPr>
        <w:t>5</w:t>
      </w:r>
      <w:r w:rsidRPr="00107B4D">
        <w:rPr>
          <w:rFonts w:ascii="Verdana" w:hAnsi="Verdana" w:cs="Arial"/>
          <w:sz w:val="17"/>
          <w:szCs w:val="17"/>
        </w:rPr>
        <w:t>, em virtude de a sua aplicação não ser ainda obrigatória. Em resultado da aplicação das normas acima referidas, não são expectáveis impactos significativos nas demonstrações financeiras.</w:t>
      </w:r>
    </w:p>
    <w:p w14:paraId="0BCB8FCB" w14:textId="77777777" w:rsidR="00C82F0D" w:rsidRPr="00107B4D" w:rsidRDefault="00C82F0D" w:rsidP="00633A3B">
      <w:pPr>
        <w:tabs>
          <w:tab w:val="left" w:pos="426"/>
          <w:tab w:val="left" w:pos="851"/>
        </w:tabs>
        <w:ind w:left="851"/>
        <w:jc w:val="both"/>
        <w:rPr>
          <w:rFonts w:ascii="Verdana" w:hAnsi="Verdana" w:cs="Arial"/>
          <w:sz w:val="17"/>
          <w:szCs w:val="17"/>
        </w:rPr>
      </w:pPr>
    </w:p>
    <w:p w14:paraId="1B580DA7" w14:textId="77777777" w:rsidR="00C82F0D" w:rsidRPr="00107B4D" w:rsidRDefault="00C82F0D">
      <w:pPr>
        <w:rPr>
          <w:rFonts w:ascii="Verdana" w:hAnsi="Verdana" w:cs="Arial"/>
          <w:sz w:val="17"/>
          <w:szCs w:val="17"/>
          <w:u w:val="single"/>
        </w:rPr>
      </w:pPr>
    </w:p>
    <w:p w14:paraId="1C108E45" w14:textId="77777777" w:rsidR="00C82F0D" w:rsidRPr="00107B4D" w:rsidRDefault="00C82F0D" w:rsidP="00AC15D8">
      <w:pPr>
        <w:tabs>
          <w:tab w:val="left" w:pos="426"/>
          <w:tab w:val="left" w:pos="851"/>
        </w:tabs>
        <w:ind w:left="851"/>
        <w:jc w:val="both"/>
        <w:rPr>
          <w:rFonts w:ascii="Verdana" w:hAnsi="Verdana" w:cs="Arial"/>
          <w:sz w:val="17"/>
          <w:szCs w:val="17"/>
          <w:u w:val="single"/>
        </w:rPr>
      </w:pPr>
      <w:r w:rsidRPr="00107B4D">
        <w:rPr>
          <w:rFonts w:ascii="Verdana" w:hAnsi="Verdana" w:cs="Arial"/>
          <w:sz w:val="17"/>
          <w:szCs w:val="17"/>
          <w:u w:val="single"/>
        </w:rPr>
        <w:t>Normas, interpretações, emendas e revisões ainda não adotadas pela União Europeia</w:t>
      </w:r>
    </w:p>
    <w:p w14:paraId="422EB54C" w14:textId="77777777" w:rsidR="00C82F0D" w:rsidRPr="00107B4D" w:rsidRDefault="00C82F0D" w:rsidP="00633A3B">
      <w:pPr>
        <w:tabs>
          <w:tab w:val="left" w:pos="426"/>
          <w:tab w:val="left" w:pos="851"/>
        </w:tabs>
        <w:ind w:left="851"/>
        <w:jc w:val="both"/>
        <w:rPr>
          <w:rFonts w:ascii="Verdana" w:hAnsi="Verdana" w:cs="Arial"/>
          <w:sz w:val="17"/>
          <w:szCs w:val="17"/>
        </w:rPr>
      </w:pPr>
    </w:p>
    <w:p w14:paraId="14EE0259" w14:textId="77777777" w:rsidR="00C82F0D" w:rsidRPr="00107B4D" w:rsidRDefault="00C82F0D" w:rsidP="00633A3B">
      <w:pPr>
        <w:tabs>
          <w:tab w:val="left" w:pos="426"/>
          <w:tab w:val="left" w:pos="851"/>
        </w:tabs>
        <w:ind w:left="851"/>
        <w:jc w:val="both"/>
        <w:rPr>
          <w:rFonts w:ascii="Verdana" w:hAnsi="Verdana" w:cs="Arial"/>
          <w:sz w:val="17"/>
          <w:szCs w:val="17"/>
        </w:rPr>
      </w:pPr>
      <w:r w:rsidRPr="00107B4D">
        <w:rPr>
          <w:rFonts w:ascii="Verdana" w:hAnsi="Verdana" w:cs="Arial"/>
          <w:sz w:val="17"/>
          <w:szCs w:val="17"/>
        </w:rPr>
        <w:t>As seguintes normas contabilísticas e interpretações foram emitidas pelo IASB e não se encontram ainda aprovadas (“</w:t>
      </w:r>
      <w:proofErr w:type="spellStart"/>
      <w:r w:rsidRPr="00107B4D">
        <w:rPr>
          <w:rFonts w:ascii="Verdana" w:hAnsi="Verdana" w:cs="Arial"/>
          <w:i/>
          <w:iCs/>
          <w:sz w:val="17"/>
          <w:szCs w:val="17"/>
        </w:rPr>
        <w:t>endorsed</w:t>
      </w:r>
      <w:proofErr w:type="spellEnd"/>
      <w:r w:rsidRPr="00107B4D">
        <w:rPr>
          <w:rFonts w:ascii="Verdana" w:hAnsi="Verdana" w:cs="Arial"/>
          <w:sz w:val="17"/>
          <w:szCs w:val="17"/>
        </w:rPr>
        <w:t xml:space="preserve">”) pela União Europeia: </w:t>
      </w:r>
    </w:p>
    <w:p w14:paraId="09DCCCBA" w14:textId="77777777" w:rsidR="00C82F0D" w:rsidRPr="00107B4D" w:rsidRDefault="00C82F0D" w:rsidP="00633A3B">
      <w:pPr>
        <w:tabs>
          <w:tab w:val="left" w:pos="426"/>
          <w:tab w:val="left" w:pos="851"/>
        </w:tabs>
        <w:ind w:left="851"/>
        <w:jc w:val="both"/>
        <w:rPr>
          <w:rFonts w:ascii="Verdana" w:hAnsi="Verdana" w:cs="Arial"/>
          <w:sz w:val="17"/>
          <w:szCs w:val="17"/>
        </w:rPr>
      </w:pPr>
    </w:p>
    <w:tbl>
      <w:tblPr>
        <w:tblStyle w:val="TabelacomGrelha"/>
        <w:tblW w:w="0" w:type="auto"/>
        <w:tblInd w:w="851" w:type="dxa"/>
        <w:tblLook w:val="04A0" w:firstRow="1" w:lastRow="0" w:firstColumn="1" w:lastColumn="0" w:noHBand="0" w:noVBand="1"/>
      </w:tblPr>
      <w:tblGrid>
        <w:gridCol w:w="1461"/>
        <w:gridCol w:w="1271"/>
        <w:gridCol w:w="4771"/>
      </w:tblGrid>
      <w:tr w:rsidR="00C82F0D" w:rsidRPr="00107B4D" w14:paraId="54F113BB" w14:textId="77777777" w:rsidTr="00ED3B99">
        <w:tc>
          <w:tcPr>
            <w:tcW w:w="1461" w:type="dxa"/>
            <w:tcBorders>
              <w:bottom w:val="single" w:sz="4" w:space="0" w:color="auto"/>
              <w:right w:val="dotted" w:sz="4" w:space="0" w:color="FFFFFF" w:themeColor="background1"/>
            </w:tcBorders>
            <w:vAlign w:val="bottom"/>
          </w:tcPr>
          <w:p w14:paraId="76A6BE7A" w14:textId="77777777" w:rsidR="00C82F0D" w:rsidRPr="00ED3B99" w:rsidRDefault="00C82F0D" w:rsidP="00C35A79">
            <w:pPr>
              <w:tabs>
                <w:tab w:val="left" w:pos="426"/>
                <w:tab w:val="left" w:pos="851"/>
              </w:tabs>
              <w:jc w:val="center"/>
              <w:rPr>
                <w:rFonts w:ascii="Verdana" w:hAnsi="Verdana" w:cs="Arial"/>
                <w:sz w:val="14"/>
                <w:szCs w:val="14"/>
              </w:rPr>
            </w:pPr>
            <w:r w:rsidRPr="00ED3B99">
              <w:rPr>
                <w:rFonts w:ascii="Verdana" w:hAnsi="Verdana" w:cs="Arial"/>
                <w:sz w:val="14"/>
                <w:szCs w:val="14"/>
              </w:rPr>
              <w:t>Norma / Interpretação</w:t>
            </w:r>
          </w:p>
        </w:tc>
        <w:tc>
          <w:tcPr>
            <w:tcW w:w="1276" w:type="dxa"/>
            <w:tcBorders>
              <w:left w:val="dotted" w:sz="4" w:space="0" w:color="FFFFFF" w:themeColor="background1"/>
              <w:bottom w:val="single" w:sz="4" w:space="0" w:color="auto"/>
              <w:right w:val="dotted" w:sz="4" w:space="0" w:color="FFFFFF" w:themeColor="background1"/>
            </w:tcBorders>
            <w:vAlign w:val="bottom"/>
          </w:tcPr>
          <w:p w14:paraId="75E65663" w14:textId="77777777" w:rsidR="00C82F0D" w:rsidRPr="00ED3B99" w:rsidRDefault="00C82F0D" w:rsidP="00C35A79">
            <w:pPr>
              <w:tabs>
                <w:tab w:val="left" w:pos="426"/>
                <w:tab w:val="left" w:pos="851"/>
              </w:tabs>
              <w:jc w:val="center"/>
              <w:rPr>
                <w:rFonts w:ascii="Verdana" w:hAnsi="Verdana" w:cs="Arial"/>
                <w:sz w:val="14"/>
                <w:szCs w:val="14"/>
              </w:rPr>
            </w:pPr>
            <w:r w:rsidRPr="00ED3B99">
              <w:rPr>
                <w:rFonts w:ascii="Verdana" w:hAnsi="Verdana" w:cs="Arial"/>
                <w:sz w:val="14"/>
                <w:szCs w:val="14"/>
              </w:rPr>
              <w:t>Aplicável na União Europeia nos exercícios</w:t>
            </w:r>
          </w:p>
          <w:p w14:paraId="208D0EC6" w14:textId="77777777" w:rsidR="00C82F0D" w:rsidRPr="00ED3B99" w:rsidRDefault="00C82F0D" w:rsidP="00C35A79">
            <w:pPr>
              <w:tabs>
                <w:tab w:val="left" w:pos="426"/>
                <w:tab w:val="left" w:pos="851"/>
              </w:tabs>
              <w:jc w:val="center"/>
              <w:rPr>
                <w:rFonts w:ascii="Verdana" w:hAnsi="Verdana" w:cs="Arial"/>
                <w:sz w:val="14"/>
                <w:szCs w:val="14"/>
              </w:rPr>
            </w:pPr>
            <w:r w:rsidRPr="00ED3B99">
              <w:rPr>
                <w:rFonts w:ascii="Verdana" w:hAnsi="Verdana" w:cs="Arial"/>
                <w:sz w:val="14"/>
                <w:szCs w:val="14"/>
              </w:rPr>
              <w:t>iniciados</w:t>
            </w:r>
          </w:p>
          <w:p w14:paraId="5E7C90AE" w14:textId="77777777" w:rsidR="00C82F0D" w:rsidRPr="00ED3B99" w:rsidRDefault="00C82F0D" w:rsidP="00C35A79">
            <w:pPr>
              <w:tabs>
                <w:tab w:val="left" w:pos="426"/>
                <w:tab w:val="left" w:pos="851"/>
              </w:tabs>
              <w:jc w:val="center"/>
              <w:rPr>
                <w:rFonts w:ascii="Verdana" w:hAnsi="Verdana" w:cs="Arial"/>
                <w:sz w:val="14"/>
                <w:szCs w:val="14"/>
              </w:rPr>
            </w:pPr>
            <w:r w:rsidRPr="00ED3B99">
              <w:rPr>
                <w:rFonts w:ascii="Verdana" w:hAnsi="Verdana" w:cs="Arial"/>
                <w:sz w:val="14"/>
                <w:szCs w:val="14"/>
              </w:rPr>
              <w:t>em ou após</w:t>
            </w:r>
          </w:p>
        </w:tc>
        <w:tc>
          <w:tcPr>
            <w:tcW w:w="4815" w:type="dxa"/>
            <w:tcBorders>
              <w:left w:val="dotted" w:sz="4" w:space="0" w:color="FFFFFF" w:themeColor="background1"/>
              <w:bottom w:val="single" w:sz="4" w:space="0" w:color="auto"/>
            </w:tcBorders>
            <w:vAlign w:val="bottom"/>
          </w:tcPr>
          <w:p w14:paraId="6BC73960" w14:textId="77777777" w:rsidR="00C82F0D" w:rsidRPr="00ED3B99" w:rsidRDefault="00C82F0D" w:rsidP="00C35A79">
            <w:pPr>
              <w:tabs>
                <w:tab w:val="left" w:pos="426"/>
                <w:tab w:val="left" w:pos="851"/>
              </w:tabs>
              <w:jc w:val="center"/>
              <w:rPr>
                <w:rFonts w:ascii="Verdana" w:hAnsi="Verdana" w:cs="Arial"/>
                <w:sz w:val="14"/>
                <w:szCs w:val="14"/>
              </w:rPr>
            </w:pPr>
            <w:r w:rsidRPr="00ED3B99">
              <w:rPr>
                <w:rFonts w:ascii="Verdana" w:hAnsi="Verdana" w:cs="Arial"/>
                <w:sz w:val="14"/>
                <w:szCs w:val="14"/>
              </w:rPr>
              <w:t>Descrição</w:t>
            </w:r>
          </w:p>
        </w:tc>
      </w:tr>
      <w:tr w:rsidR="00C82F0D" w:rsidRPr="00107B4D" w14:paraId="693487D3" w14:textId="77777777" w:rsidTr="00ED3B99">
        <w:tc>
          <w:tcPr>
            <w:tcW w:w="1461" w:type="dxa"/>
            <w:tcBorders>
              <w:bottom w:val="dotted" w:sz="4" w:space="0" w:color="auto"/>
              <w:right w:val="dotted" w:sz="4" w:space="0" w:color="FFFFFF" w:themeColor="background1"/>
            </w:tcBorders>
          </w:tcPr>
          <w:p w14:paraId="3F8ED083" w14:textId="77777777" w:rsidR="00C82F0D" w:rsidRPr="000C4498" w:rsidRDefault="00C82F0D" w:rsidP="00C35A79">
            <w:pPr>
              <w:tabs>
                <w:tab w:val="left" w:pos="426"/>
                <w:tab w:val="left" w:pos="851"/>
              </w:tabs>
              <w:jc w:val="center"/>
              <w:rPr>
                <w:rFonts w:ascii="Verdana" w:hAnsi="Verdana" w:cs="Arial"/>
                <w:sz w:val="14"/>
                <w:szCs w:val="14"/>
                <w:highlight w:val="yellow"/>
              </w:rPr>
            </w:pPr>
          </w:p>
        </w:tc>
        <w:tc>
          <w:tcPr>
            <w:tcW w:w="1276" w:type="dxa"/>
            <w:tcBorders>
              <w:left w:val="dotted" w:sz="4" w:space="0" w:color="FFFFFF" w:themeColor="background1"/>
              <w:bottom w:val="dotted" w:sz="4" w:space="0" w:color="auto"/>
              <w:right w:val="dotted" w:sz="4" w:space="0" w:color="FFFFFF" w:themeColor="background1"/>
            </w:tcBorders>
          </w:tcPr>
          <w:p w14:paraId="64E21ACA" w14:textId="77777777" w:rsidR="00C82F0D" w:rsidRPr="000C4498" w:rsidRDefault="00C82F0D" w:rsidP="00C35A79">
            <w:pPr>
              <w:tabs>
                <w:tab w:val="left" w:pos="426"/>
                <w:tab w:val="left" w:pos="851"/>
              </w:tabs>
              <w:jc w:val="center"/>
              <w:rPr>
                <w:rFonts w:ascii="Verdana" w:hAnsi="Verdana" w:cs="Arial"/>
                <w:sz w:val="14"/>
                <w:szCs w:val="14"/>
                <w:highlight w:val="yellow"/>
              </w:rPr>
            </w:pPr>
          </w:p>
        </w:tc>
        <w:tc>
          <w:tcPr>
            <w:tcW w:w="4815" w:type="dxa"/>
            <w:tcBorders>
              <w:left w:val="dotted" w:sz="4" w:space="0" w:color="FFFFFF" w:themeColor="background1"/>
              <w:bottom w:val="dotted" w:sz="4" w:space="0" w:color="auto"/>
            </w:tcBorders>
          </w:tcPr>
          <w:p w14:paraId="512A921F" w14:textId="77777777" w:rsidR="00C82F0D" w:rsidRPr="000C4498" w:rsidRDefault="00C82F0D" w:rsidP="00C35A79">
            <w:pPr>
              <w:tabs>
                <w:tab w:val="left" w:pos="426"/>
                <w:tab w:val="left" w:pos="851"/>
              </w:tabs>
              <w:jc w:val="both"/>
              <w:rPr>
                <w:rFonts w:ascii="Verdana" w:hAnsi="Verdana" w:cs="Arial"/>
                <w:sz w:val="14"/>
                <w:szCs w:val="14"/>
                <w:highlight w:val="yellow"/>
              </w:rPr>
            </w:pPr>
          </w:p>
        </w:tc>
      </w:tr>
      <w:tr w:rsidR="00C82F0D" w:rsidRPr="00107B4D" w14:paraId="678088E6" w14:textId="77777777" w:rsidTr="00ED3B99">
        <w:tc>
          <w:tcPr>
            <w:tcW w:w="1461" w:type="dxa"/>
            <w:tcBorders>
              <w:top w:val="dotted" w:sz="4" w:space="0" w:color="auto"/>
              <w:bottom w:val="dotted" w:sz="4" w:space="0" w:color="auto"/>
              <w:right w:val="dotted" w:sz="4" w:space="0" w:color="FFFFFF" w:themeColor="background1"/>
            </w:tcBorders>
          </w:tcPr>
          <w:p w14:paraId="1F4B9E51" w14:textId="77777777" w:rsidR="00C82F0D" w:rsidRPr="000C4498" w:rsidRDefault="00C82F0D" w:rsidP="00C35A79">
            <w:pPr>
              <w:tabs>
                <w:tab w:val="left" w:pos="426"/>
                <w:tab w:val="left" w:pos="851"/>
              </w:tabs>
              <w:rPr>
                <w:rFonts w:ascii="Verdana" w:hAnsi="Verdana" w:cs="Arial"/>
                <w:sz w:val="14"/>
                <w:szCs w:val="14"/>
                <w:highlight w:val="yellow"/>
              </w:rPr>
            </w:pPr>
            <w:r w:rsidRPr="00ED3B99">
              <w:rPr>
                <w:rFonts w:ascii="Verdana" w:hAnsi="Verdana" w:cs="Arial"/>
                <w:sz w:val="14"/>
                <w:szCs w:val="14"/>
              </w:rPr>
              <w:t>IAS 21 – Conversão para uma moeda de apresentação hiperinflacionária’</w:t>
            </w:r>
          </w:p>
        </w:tc>
        <w:tc>
          <w:tcPr>
            <w:tcW w:w="1276" w:type="dxa"/>
            <w:tcBorders>
              <w:top w:val="dotted" w:sz="4" w:space="0" w:color="auto"/>
              <w:left w:val="dotted" w:sz="4" w:space="0" w:color="FFFFFF" w:themeColor="background1"/>
              <w:bottom w:val="dotted" w:sz="4" w:space="0" w:color="auto"/>
              <w:right w:val="dotted" w:sz="4" w:space="0" w:color="FFFFFF" w:themeColor="background1"/>
            </w:tcBorders>
          </w:tcPr>
          <w:p w14:paraId="33055C26" w14:textId="77777777" w:rsidR="00C82F0D" w:rsidRPr="000C4498" w:rsidRDefault="00C82F0D" w:rsidP="00C35A79">
            <w:pPr>
              <w:tabs>
                <w:tab w:val="left" w:pos="426"/>
                <w:tab w:val="left" w:pos="851"/>
              </w:tabs>
              <w:jc w:val="center"/>
              <w:rPr>
                <w:rFonts w:ascii="Verdana" w:hAnsi="Verdana" w:cs="Arial"/>
                <w:sz w:val="14"/>
                <w:szCs w:val="14"/>
                <w:highlight w:val="yellow"/>
              </w:rPr>
            </w:pPr>
            <w:r w:rsidRPr="00ED3B99">
              <w:rPr>
                <w:rFonts w:ascii="Verdana" w:hAnsi="Verdana" w:cs="Arial"/>
                <w:sz w:val="14"/>
                <w:szCs w:val="14"/>
              </w:rPr>
              <w:t>01-jan-27</w:t>
            </w:r>
          </w:p>
        </w:tc>
        <w:tc>
          <w:tcPr>
            <w:tcW w:w="4815" w:type="dxa"/>
            <w:tcBorders>
              <w:top w:val="dotted" w:sz="4" w:space="0" w:color="auto"/>
              <w:left w:val="dotted" w:sz="4" w:space="0" w:color="FFFFFF" w:themeColor="background1"/>
              <w:bottom w:val="dotted" w:sz="4" w:space="0" w:color="auto"/>
            </w:tcBorders>
          </w:tcPr>
          <w:p w14:paraId="6FACE5A9" w14:textId="77777777" w:rsidR="00C82F0D" w:rsidRPr="00ED3B99" w:rsidRDefault="00C82F0D" w:rsidP="00ED3B99">
            <w:pPr>
              <w:tabs>
                <w:tab w:val="left" w:pos="426"/>
                <w:tab w:val="left" w:pos="851"/>
              </w:tabs>
              <w:jc w:val="both"/>
              <w:rPr>
                <w:rFonts w:ascii="Verdana" w:hAnsi="Verdana" w:cs="Arial"/>
                <w:sz w:val="14"/>
                <w:szCs w:val="14"/>
              </w:rPr>
            </w:pPr>
            <w:r w:rsidRPr="00ED3B99">
              <w:rPr>
                <w:rFonts w:ascii="Verdana" w:hAnsi="Verdana" w:cs="Arial"/>
                <w:sz w:val="14"/>
                <w:szCs w:val="14"/>
              </w:rPr>
              <w:t xml:space="preserve">Esta alteração ainda está sujeita à aprovação da União Europeia. Esta alteração especifica os procedimentos de conversão cambial para uma entidade cuja moeda de apresentação é a de uma economia hiperinflacionária. A entidade aplica as alterações se: i) a sua moeda funcional é de uma economia não hiperinflacionária e estiver a converter os seus resultados e posição financeira para a moeda de apresentação de uma economia hiperinflacionária; ou </w:t>
            </w:r>
            <w:proofErr w:type="spellStart"/>
            <w:r w:rsidRPr="00ED3B99">
              <w:rPr>
                <w:rFonts w:ascii="Verdana" w:hAnsi="Verdana" w:cs="Arial"/>
                <w:sz w:val="14"/>
                <w:szCs w:val="14"/>
              </w:rPr>
              <w:t>ii</w:t>
            </w:r>
            <w:proofErr w:type="spellEnd"/>
            <w:r w:rsidRPr="00ED3B99">
              <w:rPr>
                <w:rFonts w:ascii="Verdana" w:hAnsi="Verdana" w:cs="Arial"/>
                <w:sz w:val="14"/>
                <w:szCs w:val="14"/>
              </w:rPr>
              <w:t xml:space="preserve">) estiver a converter para a moeda de uma economia hiperinflacionária os resultados e a posição financeira de uma operação estrangeira cuja moeda funcional é de uma economia não hiperinflacionária. Nestes casos, os resultados e a posição financeira devem ser convertidos para a moeda de apresentação, através da conversão de todos os montantes (ou seja, ativos, passivos, itens de capital próprio, </w:t>
            </w:r>
            <w:r w:rsidRPr="00ED3B99">
              <w:rPr>
                <w:rFonts w:ascii="Verdana" w:hAnsi="Verdana" w:cs="Arial"/>
                <w:sz w:val="14"/>
                <w:szCs w:val="14"/>
              </w:rPr>
              <w:lastRenderedPageBreak/>
              <w:t xml:space="preserve">rendimentos e gastos) à taxa de câmbio à vista da data de relato. Também os comparativos são convertidos à mesma taxa de câmbio, exceto no que se refere à conversão das operações estrangeiras, cujos comparativos têm de ser </w:t>
            </w:r>
            <w:proofErr w:type="spellStart"/>
            <w:r w:rsidRPr="00ED3B99">
              <w:rPr>
                <w:rFonts w:ascii="Verdana" w:hAnsi="Verdana" w:cs="Arial"/>
                <w:sz w:val="14"/>
                <w:szCs w:val="14"/>
              </w:rPr>
              <w:t>reexpressos</w:t>
            </w:r>
            <w:proofErr w:type="spellEnd"/>
            <w:r w:rsidRPr="00ED3B99">
              <w:rPr>
                <w:rFonts w:ascii="Verdana" w:hAnsi="Verdana" w:cs="Arial"/>
                <w:sz w:val="14"/>
                <w:szCs w:val="14"/>
              </w:rPr>
              <w:t xml:space="preserve"> aplicando o índice geral de preços, conforme previsto na IAS 29. </w:t>
            </w:r>
          </w:p>
          <w:p w14:paraId="56F365A7" w14:textId="77777777" w:rsidR="00C82F0D" w:rsidRPr="00ED3B99" w:rsidRDefault="00C82F0D" w:rsidP="00ED3B99">
            <w:pPr>
              <w:tabs>
                <w:tab w:val="left" w:pos="426"/>
                <w:tab w:val="left" w:pos="851"/>
              </w:tabs>
              <w:jc w:val="both"/>
              <w:rPr>
                <w:rFonts w:ascii="Verdana" w:hAnsi="Verdana" w:cs="Arial"/>
                <w:sz w:val="14"/>
                <w:szCs w:val="14"/>
              </w:rPr>
            </w:pPr>
          </w:p>
          <w:p w14:paraId="528F88D1" w14:textId="77777777" w:rsidR="00C82F0D" w:rsidRPr="00ED3B99" w:rsidRDefault="00C82F0D" w:rsidP="00ED3B99">
            <w:pPr>
              <w:tabs>
                <w:tab w:val="left" w:pos="426"/>
                <w:tab w:val="left" w:pos="851"/>
              </w:tabs>
              <w:jc w:val="both"/>
              <w:rPr>
                <w:rFonts w:ascii="Verdana" w:hAnsi="Verdana" w:cs="Arial"/>
                <w:sz w:val="14"/>
                <w:szCs w:val="14"/>
                <w:highlight w:val="yellow"/>
              </w:rPr>
            </w:pPr>
            <w:r w:rsidRPr="00ED3B99">
              <w:rPr>
                <w:rFonts w:ascii="Verdana" w:hAnsi="Verdana" w:cs="Arial"/>
                <w:sz w:val="14"/>
                <w:szCs w:val="14"/>
              </w:rPr>
              <w:t>A IAS 21 aplica-se aos exercícios que se iniciem em ou após 1 de janeiro de 2027 sendo a sua aplicação retrospetiva. É permitida a adoção antecipada desde que a opção seja divulgada.</w:t>
            </w:r>
          </w:p>
        </w:tc>
      </w:tr>
      <w:tr w:rsidR="00C82F0D" w:rsidRPr="00107B4D" w14:paraId="2985AE08" w14:textId="77777777" w:rsidTr="00ED3B99">
        <w:tc>
          <w:tcPr>
            <w:tcW w:w="1461" w:type="dxa"/>
            <w:tcBorders>
              <w:top w:val="dotted" w:sz="4" w:space="0" w:color="auto"/>
              <w:bottom w:val="dotted" w:sz="4" w:space="0" w:color="auto"/>
              <w:right w:val="dotted" w:sz="4" w:space="0" w:color="FFFFFF" w:themeColor="background1"/>
            </w:tcBorders>
          </w:tcPr>
          <w:p w14:paraId="4910CAA1" w14:textId="77777777" w:rsidR="00C82F0D" w:rsidRPr="000C4498" w:rsidRDefault="00C82F0D" w:rsidP="00C35A79">
            <w:pPr>
              <w:tabs>
                <w:tab w:val="left" w:pos="426"/>
                <w:tab w:val="left" w:pos="851"/>
              </w:tabs>
              <w:rPr>
                <w:rFonts w:ascii="Verdana" w:hAnsi="Verdana" w:cs="Arial"/>
                <w:sz w:val="14"/>
                <w:szCs w:val="14"/>
                <w:highlight w:val="yellow"/>
              </w:rPr>
            </w:pPr>
            <w:r w:rsidRPr="00ED3B99">
              <w:rPr>
                <w:rFonts w:ascii="Verdana" w:hAnsi="Verdana" w:cs="Arial"/>
                <w:sz w:val="14"/>
                <w:szCs w:val="14"/>
              </w:rPr>
              <w:lastRenderedPageBreak/>
              <w:t>IFRS 18 – Apresentação e divulgação nas demonstrações financeiras </w:t>
            </w:r>
          </w:p>
        </w:tc>
        <w:tc>
          <w:tcPr>
            <w:tcW w:w="1276" w:type="dxa"/>
            <w:tcBorders>
              <w:top w:val="dotted" w:sz="4" w:space="0" w:color="auto"/>
              <w:left w:val="dotted" w:sz="4" w:space="0" w:color="FFFFFF" w:themeColor="background1"/>
              <w:bottom w:val="dotted" w:sz="4" w:space="0" w:color="auto"/>
              <w:right w:val="dotted" w:sz="4" w:space="0" w:color="FFFFFF" w:themeColor="background1"/>
            </w:tcBorders>
          </w:tcPr>
          <w:p w14:paraId="243A4B9F" w14:textId="77777777" w:rsidR="00C82F0D" w:rsidRPr="000C4498" w:rsidRDefault="00C82F0D" w:rsidP="00C35A79">
            <w:pPr>
              <w:tabs>
                <w:tab w:val="left" w:pos="426"/>
                <w:tab w:val="left" w:pos="851"/>
              </w:tabs>
              <w:jc w:val="center"/>
              <w:rPr>
                <w:rFonts w:ascii="Verdana" w:hAnsi="Verdana" w:cs="Arial"/>
                <w:sz w:val="14"/>
                <w:szCs w:val="14"/>
                <w:highlight w:val="yellow"/>
              </w:rPr>
            </w:pPr>
            <w:r w:rsidRPr="00ED3B99">
              <w:rPr>
                <w:rFonts w:ascii="Verdana" w:hAnsi="Verdana" w:cs="Arial"/>
                <w:sz w:val="14"/>
                <w:szCs w:val="14"/>
              </w:rPr>
              <w:t>01-jan-27</w:t>
            </w:r>
          </w:p>
        </w:tc>
        <w:tc>
          <w:tcPr>
            <w:tcW w:w="4815" w:type="dxa"/>
            <w:tcBorders>
              <w:top w:val="dotted" w:sz="4" w:space="0" w:color="auto"/>
              <w:left w:val="dotted" w:sz="4" w:space="0" w:color="FFFFFF" w:themeColor="background1"/>
              <w:bottom w:val="dotted" w:sz="4" w:space="0" w:color="auto"/>
            </w:tcBorders>
          </w:tcPr>
          <w:p w14:paraId="6B73D106" w14:textId="77777777" w:rsidR="00C82F0D" w:rsidRPr="00ED3B99" w:rsidRDefault="00C82F0D" w:rsidP="00ED3B99">
            <w:pPr>
              <w:tabs>
                <w:tab w:val="left" w:pos="426"/>
                <w:tab w:val="left" w:pos="851"/>
              </w:tabs>
              <w:jc w:val="both"/>
              <w:rPr>
                <w:rFonts w:ascii="Verdana" w:hAnsi="Verdana" w:cs="Arial"/>
                <w:sz w:val="14"/>
                <w:szCs w:val="14"/>
              </w:rPr>
            </w:pPr>
            <w:r w:rsidRPr="00ED3B99">
              <w:rPr>
                <w:rFonts w:ascii="Verdana" w:hAnsi="Verdana" w:cs="Arial"/>
                <w:sz w:val="14"/>
                <w:szCs w:val="14"/>
              </w:rPr>
              <w:t>A IFRS 18 vem substituir a IAS 1 Apresentação de Demonstrações Financeiras e surge em resposta às solicitações dos investidores que procuram informação relativa à performance financeira. Com a introdução dos novos requisitos da IFRS 18, os investidores terão acesso à informação mais transparente e comparável sobre o desempenho financeiro das empresas. tendo como objetivo assim melhores decisões de investimento.</w:t>
            </w:r>
          </w:p>
          <w:p w14:paraId="5526D135" w14:textId="77777777" w:rsidR="00C82F0D" w:rsidRPr="00ED3B99" w:rsidRDefault="00C82F0D" w:rsidP="00ED3B99">
            <w:pPr>
              <w:tabs>
                <w:tab w:val="left" w:pos="426"/>
                <w:tab w:val="left" w:pos="851"/>
              </w:tabs>
              <w:jc w:val="both"/>
              <w:rPr>
                <w:rFonts w:ascii="Verdana" w:hAnsi="Verdana" w:cs="Arial"/>
                <w:sz w:val="14"/>
                <w:szCs w:val="14"/>
              </w:rPr>
            </w:pPr>
          </w:p>
          <w:p w14:paraId="4D34CC2C" w14:textId="77777777" w:rsidR="00C82F0D" w:rsidRPr="00ED3B99" w:rsidRDefault="00C82F0D" w:rsidP="00ED3B99">
            <w:pPr>
              <w:tabs>
                <w:tab w:val="left" w:pos="426"/>
                <w:tab w:val="left" w:pos="851"/>
              </w:tabs>
              <w:jc w:val="both"/>
              <w:rPr>
                <w:rFonts w:ascii="Verdana" w:hAnsi="Verdana" w:cs="Arial"/>
                <w:sz w:val="14"/>
                <w:szCs w:val="14"/>
              </w:rPr>
            </w:pPr>
            <w:r w:rsidRPr="00ED3B99">
              <w:rPr>
                <w:rFonts w:ascii="Verdana" w:hAnsi="Verdana" w:cs="Arial"/>
                <w:sz w:val="14"/>
                <w:szCs w:val="14"/>
              </w:rPr>
              <w:t>A IFRS 18 introduz essencialmente três conjuntos de novas exigências para melhorar a divulgação do desempenho financeiro:</w:t>
            </w:r>
          </w:p>
          <w:p w14:paraId="7D899FBA" w14:textId="77777777" w:rsidR="00C82F0D" w:rsidRPr="00ED3B99" w:rsidRDefault="00C82F0D" w:rsidP="00ED3B99">
            <w:pPr>
              <w:tabs>
                <w:tab w:val="left" w:pos="426"/>
                <w:tab w:val="left" w:pos="851"/>
              </w:tabs>
              <w:jc w:val="both"/>
              <w:rPr>
                <w:rFonts w:ascii="Verdana" w:hAnsi="Verdana" w:cs="Arial"/>
                <w:sz w:val="14"/>
                <w:szCs w:val="14"/>
              </w:rPr>
            </w:pPr>
          </w:p>
          <w:p w14:paraId="23C1AA6B" w14:textId="77777777" w:rsidR="00C82F0D" w:rsidRPr="00ED3B99" w:rsidRDefault="00C82F0D" w:rsidP="00ED3B99">
            <w:pPr>
              <w:tabs>
                <w:tab w:val="left" w:pos="426"/>
                <w:tab w:val="left" w:pos="851"/>
              </w:tabs>
              <w:jc w:val="both"/>
              <w:rPr>
                <w:rFonts w:ascii="Verdana" w:hAnsi="Verdana" w:cs="Arial"/>
                <w:sz w:val="14"/>
                <w:szCs w:val="14"/>
              </w:rPr>
            </w:pPr>
            <w:r w:rsidRPr="00ED3B99">
              <w:rPr>
                <w:rFonts w:ascii="Verdana" w:hAnsi="Verdana" w:cs="Arial"/>
                <w:sz w:val="14"/>
                <w:szCs w:val="14"/>
              </w:rPr>
              <w:t>- Comparabilidade da demonstração dos resultados: A IFRS 18 introduz três categorias definidas para rendimentos e despesas – operacional, investimentos e financiamentos - para melhorar a estrutura da demonstração de resultados e exige que todas as empresas forneçam novos subtotais definidos. incluindo o resultado operacional. A nova estrutura e os novos subtotais darão aos investidores um ponto de partida consistente para a análise do desempenho das empresas facilitando a sua comparação.</w:t>
            </w:r>
          </w:p>
          <w:p w14:paraId="57B38A7C" w14:textId="77777777" w:rsidR="00C82F0D" w:rsidRPr="00ED3B99" w:rsidRDefault="00C82F0D" w:rsidP="00ED3B99">
            <w:pPr>
              <w:tabs>
                <w:tab w:val="left" w:pos="426"/>
                <w:tab w:val="left" w:pos="851"/>
              </w:tabs>
              <w:jc w:val="both"/>
              <w:rPr>
                <w:rFonts w:ascii="Verdana" w:hAnsi="Verdana" w:cs="Arial"/>
                <w:sz w:val="14"/>
                <w:szCs w:val="14"/>
              </w:rPr>
            </w:pPr>
          </w:p>
          <w:p w14:paraId="1DD4990E" w14:textId="77777777" w:rsidR="00C82F0D" w:rsidRPr="00ED3B99" w:rsidRDefault="00C82F0D" w:rsidP="00ED3B99">
            <w:pPr>
              <w:tabs>
                <w:tab w:val="left" w:pos="426"/>
                <w:tab w:val="left" w:pos="851"/>
              </w:tabs>
              <w:jc w:val="both"/>
              <w:rPr>
                <w:rFonts w:ascii="Verdana" w:hAnsi="Verdana" w:cs="Arial"/>
                <w:sz w:val="14"/>
                <w:szCs w:val="14"/>
              </w:rPr>
            </w:pPr>
            <w:r w:rsidRPr="00ED3B99">
              <w:rPr>
                <w:rFonts w:ascii="Verdana" w:hAnsi="Verdana" w:cs="Arial"/>
                <w:sz w:val="14"/>
                <w:szCs w:val="14"/>
              </w:rPr>
              <w:t xml:space="preserve">- Transparência das medidas de desempenho definidas pela Gestão: A IFRS 18 vem exigir que se divulguem informações adicionais sobre os indicadores específicos de performance da empresa relacionados com a demonstração dos resultados. denominados medidas de desempenho definidas pela Gestão. </w:t>
            </w:r>
          </w:p>
          <w:p w14:paraId="0000780B" w14:textId="77777777" w:rsidR="00C82F0D" w:rsidRPr="00ED3B99" w:rsidRDefault="00C82F0D" w:rsidP="00ED3B99">
            <w:pPr>
              <w:tabs>
                <w:tab w:val="left" w:pos="426"/>
                <w:tab w:val="left" w:pos="851"/>
              </w:tabs>
              <w:jc w:val="both"/>
              <w:rPr>
                <w:rFonts w:ascii="Verdana" w:hAnsi="Verdana" w:cs="Arial"/>
                <w:sz w:val="14"/>
                <w:szCs w:val="14"/>
              </w:rPr>
            </w:pPr>
          </w:p>
          <w:p w14:paraId="2D09FC30" w14:textId="77777777" w:rsidR="00C82F0D" w:rsidRPr="00ED3B99" w:rsidRDefault="00C82F0D" w:rsidP="00ED3B99">
            <w:pPr>
              <w:tabs>
                <w:tab w:val="left" w:pos="426"/>
                <w:tab w:val="left" w:pos="851"/>
              </w:tabs>
              <w:jc w:val="both"/>
              <w:rPr>
                <w:rFonts w:ascii="Verdana" w:hAnsi="Verdana" w:cs="Arial"/>
                <w:sz w:val="14"/>
                <w:szCs w:val="14"/>
              </w:rPr>
            </w:pPr>
            <w:r w:rsidRPr="00ED3B99">
              <w:rPr>
                <w:rFonts w:ascii="Verdana" w:hAnsi="Verdana" w:cs="Arial"/>
                <w:sz w:val="14"/>
                <w:szCs w:val="14"/>
              </w:rPr>
              <w:t>- Agregação e desagregação de itens nas demonstrações financeiras: A IFRS 18 estabelece orientações sobre o modo como os itens da demonstração dos resultados devem ser agregados.</w:t>
            </w:r>
          </w:p>
          <w:p w14:paraId="731C8E22" w14:textId="77777777" w:rsidR="00C82F0D" w:rsidRPr="000C4498" w:rsidRDefault="00C82F0D" w:rsidP="00ED3B99">
            <w:pPr>
              <w:tabs>
                <w:tab w:val="left" w:pos="426"/>
                <w:tab w:val="left" w:pos="851"/>
              </w:tabs>
              <w:jc w:val="both"/>
              <w:rPr>
                <w:rFonts w:ascii="Verdana" w:hAnsi="Verdana" w:cs="Arial"/>
                <w:sz w:val="14"/>
                <w:szCs w:val="14"/>
                <w:highlight w:val="yellow"/>
              </w:rPr>
            </w:pPr>
            <w:r w:rsidRPr="00ED3B99">
              <w:rPr>
                <w:rFonts w:ascii="Verdana" w:hAnsi="Verdana" w:cs="Arial"/>
                <w:sz w:val="14"/>
                <w:szCs w:val="14"/>
              </w:rPr>
              <w:t>A IFRS 18 entra em vigor no exercício iniciados em ou após 1 de janeiro de 2027 sendo a sua aplicação retrospetiva. É permitida a adoção antecipada desde que a opção seja divulgada.</w:t>
            </w:r>
          </w:p>
        </w:tc>
      </w:tr>
      <w:tr w:rsidR="00C82F0D" w:rsidRPr="00107B4D" w14:paraId="0A0D0F0C" w14:textId="77777777" w:rsidTr="00ED3B99">
        <w:tc>
          <w:tcPr>
            <w:tcW w:w="1461" w:type="dxa"/>
            <w:tcBorders>
              <w:top w:val="dotted" w:sz="4" w:space="0" w:color="auto"/>
              <w:bottom w:val="dotted" w:sz="4" w:space="0" w:color="auto"/>
              <w:right w:val="dotted" w:sz="4" w:space="0" w:color="FFFFFF" w:themeColor="background1"/>
            </w:tcBorders>
          </w:tcPr>
          <w:p w14:paraId="0872302B" w14:textId="77777777" w:rsidR="00C82F0D" w:rsidRPr="00ED3B99" w:rsidRDefault="00C82F0D" w:rsidP="00C35A79">
            <w:pPr>
              <w:tabs>
                <w:tab w:val="left" w:pos="426"/>
                <w:tab w:val="left" w:pos="851"/>
              </w:tabs>
              <w:jc w:val="center"/>
              <w:rPr>
                <w:rFonts w:ascii="Verdana" w:hAnsi="Verdana" w:cs="Arial"/>
                <w:sz w:val="14"/>
                <w:szCs w:val="14"/>
              </w:rPr>
            </w:pPr>
          </w:p>
        </w:tc>
        <w:tc>
          <w:tcPr>
            <w:tcW w:w="1276" w:type="dxa"/>
            <w:tcBorders>
              <w:top w:val="dotted" w:sz="4" w:space="0" w:color="auto"/>
              <w:left w:val="dotted" w:sz="4" w:space="0" w:color="FFFFFF" w:themeColor="background1"/>
              <w:bottom w:val="dotted" w:sz="4" w:space="0" w:color="auto"/>
              <w:right w:val="dotted" w:sz="4" w:space="0" w:color="FFFFFF" w:themeColor="background1"/>
            </w:tcBorders>
          </w:tcPr>
          <w:p w14:paraId="1FAE8B22" w14:textId="77777777" w:rsidR="00C82F0D" w:rsidRPr="00ED3B99" w:rsidRDefault="00C82F0D" w:rsidP="00C35A79">
            <w:pPr>
              <w:tabs>
                <w:tab w:val="left" w:pos="426"/>
                <w:tab w:val="left" w:pos="851"/>
              </w:tabs>
              <w:jc w:val="center"/>
              <w:rPr>
                <w:rFonts w:ascii="Verdana" w:hAnsi="Verdana" w:cs="Arial"/>
                <w:sz w:val="14"/>
                <w:szCs w:val="14"/>
              </w:rPr>
            </w:pPr>
          </w:p>
        </w:tc>
        <w:tc>
          <w:tcPr>
            <w:tcW w:w="4815" w:type="dxa"/>
            <w:tcBorders>
              <w:top w:val="dotted" w:sz="4" w:space="0" w:color="auto"/>
              <w:left w:val="dotted" w:sz="4" w:space="0" w:color="FFFFFF" w:themeColor="background1"/>
              <w:bottom w:val="dotted" w:sz="4" w:space="0" w:color="auto"/>
            </w:tcBorders>
          </w:tcPr>
          <w:p w14:paraId="061C62F5" w14:textId="77777777" w:rsidR="00C82F0D" w:rsidRPr="000C4498" w:rsidRDefault="00C82F0D" w:rsidP="00C35A79">
            <w:pPr>
              <w:tabs>
                <w:tab w:val="left" w:pos="426"/>
                <w:tab w:val="left" w:pos="851"/>
              </w:tabs>
              <w:jc w:val="center"/>
              <w:rPr>
                <w:rFonts w:ascii="Verdana" w:hAnsi="Verdana" w:cs="Arial"/>
                <w:sz w:val="14"/>
                <w:szCs w:val="14"/>
                <w:highlight w:val="yellow"/>
              </w:rPr>
            </w:pPr>
          </w:p>
        </w:tc>
      </w:tr>
      <w:tr w:rsidR="00C82F0D" w:rsidRPr="00107B4D" w14:paraId="1AEFEF47" w14:textId="77777777" w:rsidTr="00ED3B99">
        <w:tc>
          <w:tcPr>
            <w:tcW w:w="1461" w:type="dxa"/>
            <w:tcBorders>
              <w:top w:val="dotted" w:sz="4" w:space="0" w:color="auto"/>
              <w:bottom w:val="dotted" w:sz="4" w:space="0" w:color="auto"/>
              <w:right w:val="dotted" w:sz="4" w:space="0" w:color="FFFFFF" w:themeColor="background1"/>
            </w:tcBorders>
          </w:tcPr>
          <w:p w14:paraId="3207021F" w14:textId="77777777" w:rsidR="00C82F0D" w:rsidRPr="00ED3B99" w:rsidRDefault="00C82F0D" w:rsidP="0041172F">
            <w:pPr>
              <w:tabs>
                <w:tab w:val="left" w:pos="426"/>
                <w:tab w:val="left" w:pos="851"/>
              </w:tabs>
              <w:rPr>
                <w:rFonts w:ascii="Verdana" w:hAnsi="Verdana" w:cs="Arial"/>
                <w:sz w:val="14"/>
                <w:szCs w:val="14"/>
              </w:rPr>
            </w:pPr>
            <w:r w:rsidRPr="00ED3B99">
              <w:rPr>
                <w:rFonts w:ascii="Verdana" w:hAnsi="Verdana" w:cs="Arial"/>
                <w:sz w:val="14"/>
                <w:szCs w:val="14"/>
              </w:rPr>
              <w:t>IFRS 19 – Subsidiárias não sujeitas à prestação pública de informação financeira: Divulgações </w:t>
            </w:r>
          </w:p>
        </w:tc>
        <w:tc>
          <w:tcPr>
            <w:tcW w:w="1276" w:type="dxa"/>
            <w:tcBorders>
              <w:top w:val="dotted" w:sz="4" w:space="0" w:color="auto"/>
              <w:left w:val="dotted" w:sz="4" w:space="0" w:color="FFFFFF" w:themeColor="background1"/>
              <w:bottom w:val="dotted" w:sz="4" w:space="0" w:color="auto"/>
              <w:right w:val="dotted" w:sz="4" w:space="0" w:color="FFFFFF" w:themeColor="background1"/>
            </w:tcBorders>
          </w:tcPr>
          <w:p w14:paraId="51E93308" w14:textId="77777777" w:rsidR="00C82F0D" w:rsidRPr="00ED3B99" w:rsidRDefault="00C82F0D" w:rsidP="00C35A79">
            <w:pPr>
              <w:tabs>
                <w:tab w:val="left" w:pos="426"/>
                <w:tab w:val="left" w:pos="851"/>
              </w:tabs>
              <w:jc w:val="center"/>
              <w:rPr>
                <w:rFonts w:ascii="Verdana" w:hAnsi="Verdana" w:cs="Arial"/>
                <w:sz w:val="14"/>
                <w:szCs w:val="14"/>
              </w:rPr>
            </w:pPr>
            <w:r w:rsidRPr="00ED3B99">
              <w:rPr>
                <w:rFonts w:ascii="Verdana" w:hAnsi="Verdana" w:cs="Arial"/>
                <w:sz w:val="14"/>
                <w:szCs w:val="14"/>
              </w:rPr>
              <w:t>01-jan-27</w:t>
            </w:r>
          </w:p>
        </w:tc>
        <w:tc>
          <w:tcPr>
            <w:tcW w:w="4815" w:type="dxa"/>
            <w:tcBorders>
              <w:top w:val="dotted" w:sz="4" w:space="0" w:color="auto"/>
              <w:left w:val="dotted" w:sz="4" w:space="0" w:color="FFFFFF" w:themeColor="background1"/>
              <w:bottom w:val="dotted" w:sz="4" w:space="0" w:color="auto"/>
            </w:tcBorders>
          </w:tcPr>
          <w:p w14:paraId="7A579697" w14:textId="77777777" w:rsidR="00C82F0D" w:rsidRPr="00ED3B99" w:rsidRDefault="00C82F0D" w:rsidP="00ED3B99">
            <w:pPr>
              <w:tabs>
                <w:tab w:val="left" w:pos="426"/>
                <w:tab w:val="left" w:pos="851"/>
              </w:tabs>
              <w:jc w:val="both"/>
              <w:rPr>
                <w:rFonts w:ascii="Verdana" w:hAnsi="Verdana" w:cs="Arial"/>
                <w:sz w:val="14"/>
                <w:szCs w:val="14"/>
              </w:rPr>
            </w:pPr>
            <w:r w:rsidRPr="00ED3B99">
              <w:rPr>
                <w:rFonts w:ascii="Verdana" w:hAnsi="Verdana" w:cs="Arial"/>
                <w:sz w:val="14"/>
                <w:szCs w:val="14"/>
              </w:rPr>
              <w:t xml:space="preserve">A IFRS 19 permite às entidades elegíveis a preparação de demonstrações financeiras em IFRS com requisitos de divulgação mais reduzidos do que os exigidos pelas IFRS. mantendo-se, contudo, a obrigação de aplicar todos os requisitos de mensuração e reconhecimento das IFRS. </w:t>
            </w:r>
          </w:p>
          <w:p w14:paraId="0D391326" w14:textId="77777777" w:rsidR="00C82F0D" w:rsidRPr="00ED3B99" w:rsidRDefault="00C82F0D" w:rsidP="00ED3B99">
            <w:pPr>
              <w:tabs>
                <w:tab w:val="left" w:pos="426"/>
                <w:tab w:val="left" w:pos="851"/>
              </w:tabs>
              <w:jc w:val="both"/>
              <w:rPr>
                <w:rFonts w:ascii="Verdana" w:hAnsi="Verdana" w:cs="Arial"/>
                <w:sz w:val="14"/>
                <w:szCs w:val="14"/>
              </w:rPr>
            </w:pPr>
          </w:p>
          <w:p w14:paraId="61A048AF" w14:textId="77777777" w:rsidR="00C82F0D" w:rsidRPr="00ED3B99" w:rsidRDefault="00C82F0D" w:rsidP="00ED3B99">
            <w:pPr>
              <w:tabs>
                <w:tab w:val="left" w:pos="426"/>
                <w:tab w:val="left" w:pos="851"/>
              </w:tabs>
              <w:jc w:val="both"/>
              <w:rPr>
                <w:rFonts w:ascii="Verdana" w:hAnsi="Verdana" w:cs="Arial"/>
                <w:sz w:val="14"/>
                <w:szCs w:val="14"/>
              </w:rPr>
            </w:pPr>
            <w:r w:rsidRPr="00ED3B99">
              <w:rPr>
                <w:rFonts w:ascii="Verdana" w:hAnsi="Verdana" w:cs="Arial"/>
                <w:sz w:val="14"/>
                <w:szCs w:val="14"/>
              </w:rPr>
              <w:t>A redução de divulgações definida pela IFRS 19 abrange a generalidade das normas IFRS. São consideradas elegíveis as entidades que: (i) sejam subsidiárias de um grupo que prepara demonstrações financeiras consolidadas em IFRS para prestação pública; e (</w:t>
            </w:r>
            <w:proofErr w:type="spellStart"/>
            <w:r w:rsidRPr="00ED3B99">
              <w:rPr>
                <w:rFonts w:ascii="Verdana" w:hAnsi="Verdana" w:cs="Arial"/>
                <w:sz w:val="14"/>
                <w:szCs w:val="14"/>
              </w:rPr>
              <w:t>ii</w:t>
            </w:r>
            <w:proofErr w:type="spellEnd"/>
            <w:r w:rsidRPr="00ED3B99">
              <w:rPr>
                <w:rFonts w:ascii="Verdana" w:hAnsi="Verdana" w:cs="Arial"/>
                <w:sz w:val="14"/>
                <w:szCs w:val="14"/>
              </w:rPr>
              <w:t>) não estão sujeitas à obrigação de prestação pública de informação financeira. porque não têm títulos de dívida ou de capital cotados, não estão em processo de cotação. nem têm como atividade principal a guarda de ativos a título fiduciário.</w:t>
            </w:r>
          </w:p>
          <w:p w14:paraId="5D113E09" w14:textId="77777777" w:rsidR="00C82F0D" w:rsidRPr="00ED3B99" w:rsidRDefault="00C82F0D" w:rsidP="00ED3B99">
            <w:pPr>
              <w:tabs>
                <w:tab w:val="left" w:pos="426"/>
                <w:tab w:val="left" w:pos="851"/>
              </w:tabs>
              <w:jc w:val="both"/>
              <w:rPr>
                <w:rFonts w:ascii="Verdana" w:hAnsi="Verdana" w:cs="Arial"/>
                <w:sz w:val="14"/>
                <w:szCs w:val="14"/>
              </w:rPr>
            </w:pPr>
          </w:p>
          <w:p w14:paraId="7985BEA6" w14:textId="77777777" w:rsidR="00C82F0D" w:rsidRPr="000C4498" w:rsidRDefault="00C82F0D" w:rsidP="00ED3B99">
            <w:pPr>
              <w:tabs>
                <w:tab w:val="left" w:pos="426"/>
                <w:tab w:val="left" w:pos="851"/>
              </w:tabs>
              <w:jc w:val="both"/>
              <w:rPr>
                <w:rFonts w:ascii="Verdana" w:hAnsi="Verdana" w:cs="Arial"/>
                <w:sz w:val="14"/>
                <w:szCs w:val="14"/>
                <w:highlight w:val="yellow"/>
              </w:rPr>
            </w:pPr>
            <w:r w:rsidRPr="00ED3B99">
              <w:rPr>
                <w:rFonts w:ascii="Verdana" w:hAnsi="Verdana" w:cs="Arial"/>
                <w:sz w:val="14"/>
                <w:szCs w:val="14"/>
              </w:rPr>
              <w:t>A IFRS 19 entra em vigor em exercícios iniciados em ou após 1 de janeiro de 2027 sendo a sua aplicação opcional. Aplicação antecipada é permitida. As entidades que adotarem antecipadamente devem divulgar e alinhar as divulgações no período comparativo com as do período atual.</w:t>
            </w:r>
          </w:p>
        </w:tc>
      </w:tr>
    </w:tbl>
    <w:p w14:paraId="01BB2BC5" w14:textId="77777777" w:rsidR="00C82F0D" w:rsidRPr="00107B4D" w:rsidRDefault="00C82F0D" w:rsidP="00633A3B">
      <w:pPr>
        <w:tabs>
          <w:tab w:val="left" w:pos="426"/>
          <w:tab w:val="left" w:pos="851"/>
        </w:tabs>
        <w:ind w:left="851"/>
        <w:jc w:val="both"/>
        <w:rPr>
          <w:rFonts w:ascii="Verdana" w:hAnsi="Verdana" w:cs="Arial"/>
          <w:sz w:val="17"/>
          <w:szCs w:val="17"/>
        </w:rPr>
      </w:pPr>
    </w:p>
    <w:p w14:paraId="048AE828" w14:textId="77777777" w:rsidR="00C82F0D" w:rsidRPr="00107B4D" w:rsidRDefault="00C82F0D" w:rsidP="00633A3B">
      <w:pPr>
        <w:tabs>
          <w:tab w:val="left" w:pos="851"/>
          <w:tab w:val="left" w:pos="1000"/>
        </w:tabs>
        <w:jc w:val="both"/>
        <w:rPr>
          <w:rFonts w:ascii="Verdana" w:hAnsi="Verdana" w:cs="Arial"/>
          <w:noProof/>
          <w:sz w:val="17"/>
          <w:szCs w:val="17"/>
        </w:rPr>
      </w:pPr>
    </w:p>
    <w:p w14:paraId="5FF8F3DD" w14:textId="77777777" w:rsidR="00C82F0D" w:rsidRPr="00107B4D" w:rsidRDefault="00C82F0D" w:rsidP="00633A3B">
      <w:pPr>
        <w:ind w:left="851"/>
        <w:jc w:val="both"/>
        <w:rPr>
          <w:rFonts w:ascii="Verdana" w:hAnsi="Verdana" w:cs="Arial"/>
          <w:sz w:val="17"/>
          <w:szCs w:val="17"/>
        </w:rPr>
      </w:pPr>
      <w:r w:rsidRPr="00107B4D">
        <w:rPr>
          <w:rFonts w:ascii="Verdana" w:hAnsi="Verdana" w:cs="Arial"/>
          <w:sz w:val="17"/>
          <w:szCs w:val="17"/>
        </w:rPr>
        <w:t>Estas normas não foram ainda adotadas (“</w:t>
      </w:r>
      <w:proofErr w:type="spellStart"/>
      <w:r w:rsidRPr="00107B4D">
        <w:rPr>
          <w:rFonts w:ascii="Verdana" w:hAnsi="Verdana" w:cs="Arial"/>
          <w:sz w:val="17"/>
          <w:szCs w:val="17"/>
        </w:rPr>
        <w:t>endorsed</w:t>
      </w:r>
      <w:proofErr w:type="spellEnd"/>
      <w:r w:rsidRPr="00107B4D">
        <w:rPr>
          <w:rFonts w:ascii="Verdana" w:hAnsi="Verdana" w:cs="Arial"/>
          <w:sz w:val="17"/>
          <w:szCs w:val="17"/>
        </w:rPr>
        <w:t>”) pela União Europeia e, como tal, não foram aplicadas pela Sociedade no exercício findo em 31 de dezembro de 202</w:t>
      </w:r>
      <w:r>
        <w:rPr>
          <w:rFonts w:ascii="Verdana" w:hAnsi="Verdana" w:cs="Arial"/>
          <w:sz w:val="17"/>
          <w:szCs w:val="17"/>
        </w:rPr>
        <w:t>5</w:t>
      </w:r>
      <w:r w:rsidRPr="00107B4D">
        <w:rPr>
          <w:rFonts w:ascii="Verdana" w:hAnsi="Verdana" w:cs="Arial"/>
          <w:sz w:val="17"/>
          <w:szCs w:val="17"/>
        </w:rPr>
        <w:t xml:space="preserve">. Relativamente a estas normas e interpretações, emitidas pelo </w:t>
      </w:r>
      <w:proofErr w:type="gramStart"/>
      <w:r w:rsidRPr="00107B4D">
        <w:rPr>
          <w:rFonts w:ascii="Verdana" w:hAnsi="Verdana" w:cs="Arial"/>
          <w:sz w:val="17"/>
          <w:szCs w:val="17"/>
        </w:rPr>
        <w:t>IASB</w:t>
      </w:r>
      <w:proofErr w:type="gramEnd"/>
      <w:r w:rsidRPr="00107B4D">
        <w:rPr>
          <w:rFonts w:ascii="Verdana" w:hAnsi="Verdana" w:cs="Arial"/>
          <w:sz w:val="17"/>
          <w:szCs w:val="17"/>
        </w:rPr>
        <w:t xml:space="preserve"> mas ainda não aprovadas (“</w:t>
      </w:r>
      <w:proofErr w:type="spellStart"/>
      <w:r w:rsidRPr="00107B4D">
        <w:rPr>
          <w:rFonts w:ascii="Verdana" w:hAnsi="Verdana" w:cs="Arial"/>
          <w:sz w:val="17"/>
          <w:szCs w:val="17"/>
        </w:rPr>
        <w:t>endorsed</w:t>
      </w:r>
      <w:proofErr w:type="spellEnd"/>
      <w:r w:rsidRPr="00107B4D">
        <w:rPr>
          <w:rFonts w:ascii="Verdana" w:hAnsi="Verdana" w:cs="Arial"/>
          <w:sz w:val="17"/>
          <w:szCs w:val="17"/>
        </w:rPr>
        <w:t>”) pela União Europeia, não se estima que da futura adoção das mesmas decorram impactos significativos para as demonstrações financeiras anexas.</w:t>
      </w:r>
    </w:p>
    <w:p w14:paraId="6CB051FF" w14:textId="77777777" w:rsidR="00C82F0D" w:rsidRPr="00107B4D" w:rsidRDefault="00C82F0D" w:rsidP="00633A3B">
      <w:pPr>
        <w:jc w:val="both"/>
        <w:rPr>
          <w:rFonts w:ascii="Verdana" w:hAnsi="Verdana" w:cs="Arial"/>
          <w:color w:val="000000"/>
          <w:sz w:val="17"/>
          <w:szCs w:val="17"/>
          <w:u w:val="single"/>
        </w:rPr>
      </w:pPr>
    </w:p>
    <w:p w14:paraId="434683B2" w14:textId="77777777" w:rsidR="00C82F0D" w:rsidRPr="00107B4D" w:rsidRDefault="00C82F0D" w:rsidP="00D84952">
      <w:pPr>
        <w:pStyle w:val="Ttulo2"/>
        <w:keepNext w:val="0"/>
        <w:numPr>
          <w:ilvl w:val="1"/>
          <w:numId w:val="3"/>
        </w:numPr>
        <w:tabs>
          <w:tab w:val="clear" w:pos="567"/>
          <w:tab w:val="clear" w:pos="3969"/>
          <w:tab w:val="clear" w:pos="4962"/>
          <w:tab w:val="clear" w:pos="6096"/>
          <w:tab w:val="clear" w:pos="7230"/>
          <w:tab w:val="clear" w:pos="8222"/>
          <w:tab w:val="left" w:pos="993"/>
        </w:tabs>
        <w:autoSpaceDE w:val="0"/>
        <w:autoSpaceDN w:val="0"/>
        <w:adjustRightInd w:val="0"/>
        <w:ind w:left="993" w:right="-22" w:hanging="574"/>
        <w:rPr>
          <w:rFonts w:ascii="Verdana" w:hAnsi="Verdana" w:cs="Arial"/>
          <w:b w:val="0"/>
          <w:color w:val="000000"/>
          <w:sz w:val="17"/>
          <w:szCs w:val="17"/>
          <w:u w:val="single"/>
        </w:rPr>
      </w:pPr>
      <w:r w:rsidRPr="00107B4D">
        <w:rPr>
          <w:rFonts w:ascii="Verdana" w:hAnsi="Verdana" w:cs="Arial"/>
          <w:b w:val="0"/>
          <w:color w:val="000000"/>
          <w:sz w:val="17"/>
          <w:szCs w:val="17"/>
          <w:u w:val="single"/>
        </w:rPr>
        <w:t>Comparabilidade da informação</w:t>
      </w:r>
    </w:p>
    <w:p w14:paraId="03371869" w14:textId="77777777" w:rsidR="00C82F0D" w:rsidRPr="00107B4D" w:rsidRDefault="00C82F0D" w:rsidP="00633A3B">
      <w:pPr>
        <w:tabs>
          <w:tab w:val="left" w:pos="426"/>
          <w:tab w:val="left" w:pos="851"/>
          <w:tab w:val="left" w:pos="1276"/>
        </w:tabs>
        <w:autoSpaceDE w:val="0"/>
        <w:autoSpaceDN w:val="0"/>
        <w:adjustRightInd w:val="0"/>
        <w:ind w:left="851" w:right="-22" w:hanging="851"/>
        <w:jc w:val="both"/>
        <w:rPr>
          <w:rFonts w:ascii="Verdana" w:hAnsi="Verdana" w:cs="Arial"/>
          <w:color w:val="000000"/>
          <w:sz w:val="17"/>
          <w:szCs w:val="17"/>
        </w:rPr>
      </w:pPr>
    </w:p>
    <w:p w14:paraId="73B03854" w14:textId="77777777" w:rsidR="00C82F0D" w:rsidRPr="00107B4D" w:rsidRDefault="00C82F0D" w:rsidP="00D5338E">
      <w:pPr>
        <w:ind w:left="993"/>
        <w:jc w:val="both"/>
        <w:rPr>
          <w:rFonts w:ascii="Verdana" w:hAnsi="Verdana" w:cs="Arial"/>
          <w:sz w:val="17"/>
          <w:szCs w:val="17"/>
        </w:rPr>
      </w:pPr>
      <w:r>
        <w:rPr>
          <w:rFonts w:ascii="Verdana" w:hAnsi="Verdana" w:cs="Arial"/>
          <w:sz w:val="17"/>
          <w:szCs w:val="17"/>
        </w:rPr>
        <w:t>Não</w:t>
      </w:r>
      <w:r w:rsidRPr="00A566F3">
        <w:rPr>
          <w:rFonts w:ascii="Verdana" w:hAnsi="Verdana" w:cs="Arial"/>
          <w:sz w:val="17"/>
          <w:szCs w:val="17"/>
        </w:rPr>
        <w:t xml:space="preserve"> existem contas do balanço e da demonstração dos resultados cujos conteúdos não sejam comparáveis com os do período anterior.</w:t>
      </w:r>
    </w:p>
    <w:p w14:paraId="4A6DD399" w14:textId="77777777" w:rsidR="00C82F0D" w:rsidRPr="00107B4D" w:rsidRDefault="00C82F0D" w:rsidP="00D5338E">
      <w:pPr>
        <w:ind w:left="993"/>
        <w:jc w:val="both"/>
        <w:rPr>
          <w:rFonts w:ascii="Verdana" w:hAnsi="Verdana" w:cs="Arial"/>
          <w:sz w:val="17"/>
          <w:szCs w:val="17"/>
        </w:rPr>
      </w:pPr>
    </w:p>
    <w:p w14:paraId="725B6055" w14:textId="77777777" w:rsidR="00C82F0D" w:rsidRPr="00107B4D" w:rsidRDefault="00C82F0D" w:rsidP="00D5338E">
      <w:pPr>
        <w:ind w:left="993"/>
        <w:jc w:val="both"/>
        <w:rPr>
          <w:rFonts w:ascii="Verdana" w:hAnsi="Verdana" w:cs="Arial"/>
          <w:sz w:val="17"/>
          <w:szCs w:val="17"/>
          <w:u w:val="single"/>
        </w:rPr>
      </w:pPr>
      <w:r w:rsidRPr="00107B4D">
        <w:rPr>
          <w:rFonts w:ascii="Verdana" w:hAnsi="Verdana" w:cs="Arial"/>
          <w:sz w:val="17"/>
          <w:szCs w:val="17"/>
          <w:u w:val="single"/>
        </w:rPr>
        <w:lastRenderedPageBreak/>
        <w:t>Efeito da fusão ocorrida no período</w:t>
      </w:r>
      <w:r>
        <w:rPr>
          <w:rFonts w:ascii="Verdana" w:hAnsi="Verdana" w:cs="Arial"/>
          <w:sz w:val="17"/>
          <w:szCs w:val="17"/>
          <w:u w:val="single"/>
        </w:rPr>
        <w:t xml:space="preserve"> 2024</w:t>
      </w:r>
    </w:p>
    <w:p w14:paraId="368B8F38" w14:textId="77777777" w:rsidR="00C82F0D" w:rsidRPr="00107B4D" w:rsidRDefault="00C82F0D" w:rsidP="00D5338E">
      <w:pPr>
        <w:ind w:left="993"/>
        <w:jc w:val="both"/>
        <w:rPr>
          <w:rFonts w:ascii="Verdana" w:hAnsi="Verdana" w:cs="Arial"/>
          <w:sz w:val="17"/>
          <w:szCs w:val="17"/>
        </w:rPr>
      </w:pPr>
    </w:p>
    <w:p w14:paraId="23023861" w14:textId="77777777" w:rsidR="00C82F0D" w:rsidRPr="00107B4D" w:rsidRDefault="00C82F0D" w:rsidP="00D5338E">
      <w:pPr>
        <w:ind w:left="993"/>
        <w:jc w:val="both"/>
        <w:rPr>
          <w:rFonts w:ascii="Verdana" w:hAnsi="Verdana" w:cs="Arial"/>
          <w:sz w:val="17"/>
          <w:szCs w:val="17"/>
        </w:rPr>
      </w:pPr>
      <w:r w:rsidRPr="00107B4D">
        <w:rPr>
          <w:rFonts w:ascii="Verdana" w:hAnsi="Verdana" w:cs="Arial"/>
          <w:sz w:val="17"/>
          <w:szCs w:val="17"/>
        </w:rPr>
        <w:t>Conforme referido na Nota Introdutória, no decurso do período findo em 31 de dezembro de 2024, a Sociedade procedeu à fusão por incorporação do património da Parparticipadas, SGPS, S.A.</w:t>
      </w:r>
      <w:r>
        <w:rPr>
          <w:rFonts w:ascii="Verdana" w:hAnsi="Verdana" w:cs="Arial"/>
          <w:sz w:val="17"/>
          <w:szCs w:val="17"/>
        </w:rPr>
        <w:t xml:space="preserve">, </w:t>
      </w:r>
      <w:r w:rsidRPr="00107B4D">
        <w:rPr>
          <w:rFonts w:ascii="Verdana" w:hAnsi="Verdana" w:cs="Arial"/>
          <w:sz w:val="17"/>
          <w:szCs w:val="17"/>
        </w:rPr>
        <w:t>com referência e efeitos práticos a 01 de janeiro de 2024, conforme projeto de fusão.</w:t>
      </w:r>
    </w:p>
    <w:p w14:paraId="27399D55" w14:textId="77777777" w:rsidR="00C82F0D" w:rsidRPr="00107B4D" w:rsidRDefault="00C82F0D" w:rsidP="00D5338E">
      <w:pPr>
        <w:ind w:left="993"/>
        <w:jc w:val="both"/>
        <w:rPr>
          <w:rFonts w:ascii="Verdana" w:hAnsi="Verdana" w:cs="Arial"/>
          <w:sz w:val="17"/>
          <w:szCs w:val="17"/>
        </w:rPr>
      </w:pPr>
    </w:p>
    <w:p w14:paraId="68559347" w14:textId="77777777" w:rsidR="00C82F0D" w:rsidRPr="00107B4D" w:rsidRDefault="00C82F0D" w:rsidP="00C66387">
      <w:pPr>
        <w:ind w:left="993"/>
        <w:jc w:val="both"/>
        <w:rPr>
          <w:rFonts w:ascii="Verdana" w:hAnsi="Verdana" w:cs="Arial"/>
          <w:sz w:val="17"/>
          <w:szCs w:val="17"/>
        </w:rPr>
      </w:pPr>
      <w:r w:rsidRPr="000C4498">
        <w:rPr>
          <w:rFonts w:ascii="Verdana" w:hAnsi="Verdana" w:cs="Arial"/>
          <w:sz w:val="17"/>
          <w:szCs w:val="17"/>
        </w:rPr>
        <w:t xml:space="preserve">O efeito contabilístico desta operação, consistiu, essencialmente, num aumento dos ativos em, aproximadamente, 36.816 </w:t>
      </w:r>
      <w:proofErr w:type="spellStart"/>
      <w:proofErr w:type="gramStart"/>
      <w:r w:rsidRPr="000C4498">
        <w:rPr>
          <w:rFonts w:ascii="Verdana" w:hAnsi="Verdana" w:cs="Arial"/>
          <w:sz w:val="17"/>
          <w:szCs w:val="17"/>
        </w:rPr>
        <w:t>m.euros</w:t>
      </w:r>
      <w:proofErr w:type="spellEnd"/>
      <w:proofErr w:type="gramEnd"/>
      <w:r w:rsidRPr="000C4498">
        <w:rPr>
          <w:rFonts w:ascii="Verdana" w:hAnsi="Verdana" w:cs="Arial"/>
          <w:sz w:val="17"/>
          <w:szCs w:val="17"/>
        </w:rPr>
        <w:t xml:space="preserve">, passivo de 130.034 </w:t>
      </w:r>
      <w:proofErr w:type="spellStart"/>
      <w:proofErr w:type="gramStart"/>
      <w:r w:rsidRPr="000C4498">
        <w:rPr>
          <w:rFonts w:ascii="Verdana" w:hAnsi="Verdana" w:cs="Arial"/>
          <w:sz w:val="17"/>
          <w:szCs w:val="17"/>
        </w:rPr>
        <w:t>m.euros</w:t>
      </w:r>
      <w:proofErr w:type="spellEnd"/>
      <w:proofErr w:type="gramEnd"/>
      <w:r w:rsidRPr="000C4498">
        <w:rPr>
          <w:rFonts w:ascii="Verdana" w:hAnsi="Verdana" w:cs="Arial"/>
          <w:sz w:val="17"/>
          <w:szCs w:val="17"/>
        </w:rPr>
        <w:t xml:space="preserve"> gerando uma reserva de fusão de 93.863 </w:t>
      </w:r>
      <w:proofErr w:type="spellStart"/>
      <w:proofErr w:type="gramStart"/>
      <w:r w:rsidRPr="000C4498">
        <w:rPr>
          <w:rFonts w:ascii="Verdana" w:hAnsi="Verdana" w:cs="Arial"/>
          <w:sz w:val="17"/>
          <w:szCs w:val="17"/>
        </w:rPr>
        <w:t>m.euros</w:t>
      </w:r>
      <w:proofErr w:type="spellEnd"/>
      <w:proofErr w:type="gramEnd"/>
      <w:r w:rsidRPr="000C4498">
        <w:rPr>
          <w:rFonts w:ascii="Verdana" w:hAnsi="Verdana" w:cs="Arial"/>
          <w:sz w:val="17"/>
          <w:szCs w:val="17"/>
        </w:rPr>
        <w:t xml:space="preserve"> e um aumento de resultados transitados negativos de 187.081 </w:t>
      </w:r>
      <w:proofErr w:type="spellStart"/>
      <w:proofErr w:type="gramStart"/>
      <w:r w:rsidRPr="000C4498">
        <w:rPr>
          <w:rFonts w:ascii="Verdana" w:hAnsi="Verdana" w:cs="Arial"/>
          <w:sz w:val="17"/>
          <w:szCs w:val="17"/>
        </w:rPr>
        <w:t>m.euros</w:t>
      </w:r>
      <w:proofErr w:type="spellEnd"/>
      <w:proofErr w:type="gramEnd"/>
      <w:r w:rsidRPr="000C4498">
        <w:rPr>
          <w:rFonts w:ascii="Verdana" w:hAnsi="Verdana" w:cs="Arial"/>
          <w:sz w:val="17"/>
          <w:szCs w:val="17"/>
        </w:rPr>
        <w:t xml:space="preserve"> sendo o efeito no balanço detalhado naquela data como segue:</w:t>
      </w:r>
    </w:p>
    <w:p w14:paraId="35FFFCFC" w14:textId="77777777" w:rsidR="00C82F0D" w:rsidRPr="00107B4D" w:rsidRDefault="00C82F0D" w:rsidP="008215BC">
      <w:pPr>
        <w:ind w:left="993"/>
        <w:jc w:val="both"/>
        <w:rPr>
          <w:rFonts w:ascii="Verdana" w:hAnsi="Verdana" w:cs="Arial"/>
          <w:sz w:val="17"/>
          <w:szCs w:val="17"/>
        </w:rPr>
      </w:pPr>
    </w:p>
    <w:p w14:paraId="3899227E" w14:textId="77777777" w:rsidR="00C82F0D" w:rsidRPr="00107B4D" w:rsidRDefault="00C82F0D" w:rsidP="00D5338E">
      <w:pPr>
        <w:ind w:left="993"/>
        <w:jc w:val="both"/>
        <w:rPr>
          <w:rFonts w:ascii="Verdana" w:hAnsi="Verdana" w:cs="Arial"/>
          <w:sz w:val="17"/>
          <w:szCs w:val="17"/>
        </w:rPr>
      </w:pPr>
    </w:p>
    <w:p w14:paraId="65CD1888" w14:textId="77777777" w:rsidR="00C82F0D" w:rsidRPr="00107B4D" w:rsidRDefault="00C82F0D" w:rsidP="00D5338E">
      <w:pPr>
        <w:ind w:left="993"/>
        <w:jc w:val="both"/>
        <w:rPr>
          <w:rFonts w:ascii="Verdana" w:hAnsi="Verdana" w:cs="Arial"/>
          <w:sz w:val="17"/>
          <w:szCs w:val="17"/>
        </w:rPr>
      </w:pPr>
      <w:r w:rsidRPr="00A87A2D">
        <w:rPr>
          <w:noProof/>
        </w:rPr>
        <w:drawing>
          <wp:inline distT="0" distB="0" distL="0" distR="0" wp14:anchorId="3B7ADE9F" wp14:editId="73BB54B9">
            <wp:extent cx="4682066" cy="3795362"/>
            <wp:effectExtent l="0" t="0" r="4445" b="0"/>
            <wp:docPr id="5954475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93375" cy="3804529"/>
                    </a:xfrm>
                    <a:prstGeom prst="rect">
                      <a:avLst/>
                    </a:prstGeom>
                    <a:noFill/>
                    <a:ln>
                      <a:noFill/>
                    </a:ln>
                  </pic:spPr>
                </pic:pic>
              </a:graphicData>
            </a:graphic>
          </wp:inline>
        </w:drawing>
      </w:r>
    </w:p>
    <w:p w14:paraId="083314AB" w14:textId="77777777" w:rsidR="00C82F0D" w:rsidRPr="00107B4D" w:rsidRDefault="00C82F0D" w:rsidP="007E7736">
      <w:pPr>
        <w:ind w:left="993"/>
        <w:jc w:val="both"/>
        <w:rPr>
          <w:rFonts w:ascii="Verdana" w:hAnsi="Verdana" w:cs="Arial"/>
          <w:sz w:val="17"/>
          <w:szCs w:val="17"/>
        </w:rPr>
      </w:pPr>
    </w:p>
    <w:p w14:paraId="2AAC8FE1" w14:textId="77777777" w:rsidR="00C82F0D" w:rsidRPr="00107B4D" w:rsidRDefault="00C82F0D" w:rsidP="00242461">
      <w:pPr>
        <w:rPr>
          <w:rFonts w:ascii="Verdana" w:hAnsi="Verdana" w:cs="Arial"/>
          <w:sz w:val="17"/>
          <w:szCs w:val="17"/>
          <w:u w:val="single"/>
        </w:rPr>
      </w:pPr>
    </w:p>
    <w:p w14:paraId="39188793" w14:textId="77777777" w:rsidR="00C82F0D" w:rsidRPr="00107B4D" w:rsidRDefault="00C82F0D" w:rsidP="00242461">
      <w:pPr>
        <w:rPr>
          <w:rFonts w:ascii="Verdana" w:hAnsi="Verdana" w:cs="Arial"/>
          <w:sz w:val="17"/>
          <w:szCs w:val="17"/>
          <w:u w:val="single"/>
        </w:rPr>
      </w:pPr>
    </w:p>
    <w:p w14:paraId="7D15EE43" w14:textId="77777777" w:rsidR="00C82F0D" w:rsidRPr="00107B4D" w:rsidRDefault="00C82F0D" w:rsidP="00D84952">
      <w:pPr>
        <w:pStyle w:val="Ttulo2"/>
        <w:keepNext w:val="0"/>
        <w:numPr>
          <w:ilvl w:val="1"/>
          <w:numId w:val="3"/>
        </w:numPr>
        <w:tabs>
          <w:tab w:val="clear" w:pos="567"/>
          <w:tab w:val="clear" w:pos="3969"/>
          <w:tab w:val="clear" w:pos="4962"/>
          <w:tab w:val="clear" w:pos="6096"/>
          <w:tab w:val="clear" w:pos="7230"/>
          <w:tab w:val="clear" w:pos="8222"/>
          <w:tab w:val="left" w:pos="993"/>
        </w:tabs>
        <w:autoSpaceDE w:val="0"/>
        <w:autoSpaceDN w:val="0"/>
        <w:adjustRightInd w:val="0"/>
        <w:ind w:left="993" w:right="-22" w:hanging="574"/>
        <w:rPr>
          <w:rFonts w:ascii="Verdana" w:hAnsi="Verdana" w:cs="Arial"/>
          <w:b w:val="0"/>
          <w:color w:val="000000"/>
          <w:sz w:val="17"/>
          <w:szCs w:val="17"/>
          <w:u w:val="single"/>
        </w:rPr>
      </w:pPr>
      <w:r w:rsidRPr="00107B4D">
        <w:rPr>
          <w:rFonts w:ascii="Verdana" w:hAnsi="Verdana" w:cs="Arial"/>
          <w:b w:val="0"/>
          <w:color w:val="000000"/>
          <w:sz w:val="17"/>
          <w:szCs w:val="17"/>
          <w:u w:val="single"/>
        </w:rPr>
        <w:t>Princípios contabilísticos</w:t>
      </w:r>
    </w:p>
    <w:p w14:paraId="4D6274B4" w14:textId="77777777" w:rsidR="00C82F0D" w:rsidRPr="00107B4D" w:rsidRDefault="00C82F0D" w:rsidP="00633A3B">
      <w:pPr>
        <w:ind w:left="993"/>
        <w:jc w:val="both"/>
        <w:rPr>
          <w:rFonts w:ascii="Verdana" w:hAnsi="Verdana" w:cs="Arial"/>
          <w:sz w:val="17"/>
          <w:szCs w:val="17"/>
        </w:rPr>
      </w:pPr>
    </w:p>
    <w:p w14:paraId="5523FAAD" w14:textId="77777777" w:rsidR="00C82F0D" w:rsidRPr="00107B4D" w:rsidRDefault="00C82F0D" w:rsidP="00633A3B">
      <w:pPr>
        <w:ind w:left="993"/>
        <w:jc w:val="both"/>
        <w:rPr>
          <w:rFonts w:ascii="Verdana" w:hAnsi="Verdana" w:cs="Arial"/>
          <w:sz w:val="17"/>
          <w:szCs w:val="17"/>
        </w:rPr>
      </w:pPr>
      <w:r w:rsidRPr="00107B4D">
        <w:rPr>
          <w:rFonts w:ascii="Verdana" w:hAnsi="Verdana" w:cs="Arial"/>
          <w:sz w:val="17"/>
          <w:szCs w:val="17"/>
        </w:rPr>
        <w:t>Os princípios contabilísticos mais significativos utilizados na preparação das demonstrações financeiras foram os seguintes:</w:t>
      </w:r>
    </w:p>
    <w:p w14:paraId="60549E28" w14:textId="77777777" w:rsidR="00C82F0D" w:rsidRPr="00107B4D" w:rsidRDefault="00C82F0D" w:rsidP="00633A3B">
      <w:pPr>
        <w:ind w:left="993"/>
        <w:jc w:val="both"/>
        <w:rPr>
          <w:rFonts w:ascii="Verdana" w:hAnsi="Verdana" w:cs="Arial"/>
          <w:sz w:val="17"/>
          <w:szCs w:val="17"/>
        </w:rPr>
      </w:pPr>
    </w:p>
    <w:p w14:paraId="2944402C" w14:textId="77777777" w:rsidR="00C82F0D" w:rsidRPr="00107B4D" w:rsidRDefault="00C82F0D" w:rsidP="00D84952">
      <w:pPr>
        <w:pStyle w:val="PargrafodaLista"/>
        <w:numPr>
          <w:ilvl w:val="0"/>
          <w:numId w:val="4"/>
        </w:numPr>
        <w:ind w:left="1418" w:hanging="425"/>
        <w:jc w:val="both"/>
        <w:rPr>
          <w:rFonts w:ascii="Verdana" w:hAnsi="Verdana"/>
          <w:sz w:val="17"/>
          <w:szCs w:val="17"/>
        </w:rPr>
      </w:pPr>
      <w:r w:rsidRPr="00107B4D">
        <w:rPr>
          <w:rFonts w:ascii="Verdana" w:hAnsi="Verdana"/>
          <w:sz w:val="17"/>
          <w:szCs w:val="17"/>
        </w:rPr>
        <w:t>Especialização de exercícios</w:t>
      </w:r>
    </w:p>
    <w:p w14:paraId="3A5E9115" w14:textId="77777777" w:rsidR="00C82F0D" w:rsidRPr="00107B4D" w:rsidRDefault="00C82F0D" w:rsidP="00633A3B">
      <w:pPr>
        <w:pStyle w:val="PargrafodaLista"/>
        <w:ind w:left="1418"/>
        <w:jc w:val="both"/>
        <w:rPr>
          <w:rFonts w:ascii="Verdana" w:hAnsi="Verdana"/>
          <w:sz w:val="17"/>
          <w:szCs w:val="17"/>
        </w:rPr>
      </w:pPr>
    </w:p>
    <w:p w14:paraId="58F095D7" w14:textId="77777777" w:rsidR="00C82F0D" w:rsidRPr="00107B4D" w:rsidRDefault="00C82F0D" w:rsidP="00633A3B">
      <w:pPr>
        <w:pStyle w:val="PargrafodaLista"/>
        <w:ind w:left="1418"/>
        <w:jc w:val="both"/>
        <w:rPr>
          <w:rFonts w:ascii="Verdana" w:hAnsi="Verdana" w:cs="Arial"/>
          <w:sz w:val="17"/>
          <w:szCs w:val="17"/>
        </w:rPr>
      </w:pPr>
      <w:r w:rsidRPr="00107B4D">
        <w:rPr>
          <w:rFonts w:ascii="Verdana" w:hAnsi="Verdana" w:cs="Arial"/>
          <w:sz w:val="17"/>
          <w:szCs w:val="17"/>
        </w:rPr>
        <w:t>A Sociedade regista os proveitos e custos de acordo com o princípio contabilístico da especialização de exercícios, sendo reconhecidos à medida que são gerados, independentemente do momento do seu recebimento ou pagamento.</w:t>
      </w:r>
    </w:p>
    <w:p w14:paraId="20B13053" w14:textId="77777777" w:rsidR="00C82F0D" w:rsidRPr="00107B4D" w:rsidRDefault="00C82F0D" w:rsidP="00633A3B">
      <w:pPr>
        <w:pStyle w:val="PargrafodaLista"/>
        <w:ind w:left="1418"/>
        <w:jc w:val="both"/>
        <w:rPr>
          <w:rFonts w:ascii="Verdana" w:hAnsi="Verdana" w:cs="Arial"/>
          <w:sz w:val="17"/>
          <w:szCs w:val="17"/>
        </w:rPr>
      </w:pPr>
    </w:p>
    <w:p w14:paraId="4897A41D" w14:textId="77777777" w:rsidR="00C82F0D" w:rsidRPr="00107B4D" w:rsidRDefault="00C82F0D" w:rsidP="00D84952">
      <w:pPr>
        <w:pStyle w:val="PargrafodaLista"/>
        <w:numPr>
          <w:ilvl w:val="0"/>
          <w:numId w:val="4"/>
        </w:numPr>
        <w:ind w:left="1418" w:hanging="425"/>
        <w:jc w:val="both"/>
        <w:rPr>
          <w:rFonts w:ascii="Verdana" w:hAnsi="Verdana"/>
          <w:sz w:val="17"/>
          <w:szCs w:val="17"/>
        </w:rPr>
      </w:pPr>
      <w:r w:rsidRPr="00107B4D">
        <w:rPr>
          <w:rFonts w:ascii="Verdana" w:hAnsi="Verdana"/>
          <w:sz w:val="17"/>
          <w:szCs w:val="17"/>
        </w:rPr>
        <w:t>Ativos fixos tangíveis e intangíveis</w:t>
      </w:r>
    </w:p>
    <w:p w14:paraId="7C7FBCB4" w14:textId="77777777" w:rsidR="00C82F0D" w:rsidRPr="00107B4D" w:rsidRDefault="00C82F0D" w:rsidP="00633A3B">
      <w:pPr>
        <w:pStyle w:val="PargrafodaLista"/>
        <w:ind w:left="1418"/>
        <w:jc w:val="both"/>
        <w:rPr>
          <w:rFonts w:ascii="Verdana" w:hAnsi="Verdana"/>
          <w:sz w:val="17"/>
          <w:szCs w:val="17"/>
        </w:rPr>
      </w:pPr>
    </w:p>
    <w:p w14:paraId="4B77533B" w14:textId="77777777" w:rsidR="00C82F0D" w:rsidRPr="00107B4D" w:rsidRDefault="00C82F0D" w:rsidP="00BF7963">
      <w:pPr>
        <w:pStyle w:val="PargrafodaLista"/>
        <w:ind w:left="1418"/>
        <w:jc w:val="both"/>
        <w:rPr>
          <w:rFonts w:ascii="Verdana" w:hAnsi="Verdana" w:cs="Arial"/>
          <w:sz w:val="17"/>
          <w:szCs w:val="17"/>
        </w:rPr>
      </w:pPr>
      <w:r w:rsidRPr="00107B4D">
        <w:rPr>
          <w:rFonts w:ascii="Verdana" w:hAnsi="Verdana" w:cs="Arial"/>
          <w:sz w:val="17"/>
          <w:szCs w:val="17"/>
        </w:rPr>
        <w:t xml:space="preserve">Os ativos fixos tangíveis e ativos intangíveis utilizados pela Sociedade para o desenvolvimento da sua atividade são contabilisticamente relevados pelo custo de aquisição (incluindo custos diretamente atribuíveis) deduzido das amortizações e perdas de imparidade acumuladas. </w:t>
      </w:r>
    </w:p>
    <w:p w14:paraId="3BC0D26E" w14:textId="77777777" w:rsidR="00C82F0D" w:rsidRPr="00107B4D" w:rsidRDefault="00C82F0D" w:rsidP="00633A3B">
      <w:pPr>
        <w:pStyle w:val="PargrafodaLista"/>
        <w:ind w:left="1418"/>
        <w:jc w:val="both"/>
        <w:rPr>
          <w:rFonts w:ascii="Verdana" w:hAnsi="Verdana" w:cs="Arial"/>
          <w:sz w:val="17"/>
          <w:szCs w:val="17"/>
        </w:rPr>
      </w:pPr>
    </w:p>
    <w:p w14:paraId="6F559130" w14:textId="77777777" w:rsidR="00C82F0D" w:rsidRPr="00107B4D" w:rsidRDefault="00C82F0D" w:rsidP="00D84952">
      <w:pPr>
        <w:pStyle w:val="PargrafodaLista"/>
        <w:numPr>
          <w:ilvl w:val="0"/>
          <w:numId w:val="4"/>
        </w:numPr>
        <w:ind w:left="1418" w:hanging="425"/>
        <w:jc w:val="both"/>
        <w:rPr>
          <w:rFonts w:ascii="Verdana" w:hAnsi="Verdana"/>
          <w:sz w:val="17"/>
          <w:szCs w:val="17"/>
        </w:rPr>
      </w:pPr>
      <w:r w:rsidRPr="00107B4D">
        <w:rPr>
          <w:rFonts w:ascii="Verdana" w:hAnsi="Verdana"/>
          <w:sz w:val="17"/>
          <w:szCs w:val="17"/>
        </w:rPr>
        <w:t>Outras contas a receber e adiantamentos a fornecedores</w:t>
      </w:r>
    </w:p>
    <w:p w14:paraId="40AFC65D" w14:textId="77777777" w:rsidR="00C82F0D" w:rsidRPr="00107B4D" w:rsidRDefault="00C82F0D" w:rsidP="00633A3B">
      <w:pPr>
        <w:pStyle w:val="PargrafodaLista"/>
        <w:ind w:left="1418"/>
        <w:jc w:val="both"/>
        <w:rPr>
          <w:rFonts w:ascii="Verdana" w:hAnsi="Verdana"/>
          <w:sz w:val="17"/>
          <w:szCs w:val="17"/>
        </w:rPr>
      </w:pPr>
    </w:p>
    <w:p w14:paraId="3259B53A" w14:textId="77777777" w:rsidR="00C82F0D" w:rsidRPr="001679E2" w:rsidRDefault="00C82F0D" w:rsidP="001679E2">
      <w:pPr>
        <w:pStyle w:val="PargrafodaLista"/>
        <w:ind w:left="1418"/>
        <w:jc w:val="both"/>
        <w:rPr>
          <w:rFonts w:ascii="Verdana" w:hAnsi="Verdana" w:cs="Arial"/>
          <w:sz w:val="17"/>
          <w:szCs w:val="17"/>
        </w:rPr>
      </w:pPr>
      <w:r w:rsidRPr="00107B4D">
        <w:rPr>
          <w:rFonts w:ascii="Verdana" w:hAnsi="Verdana" w:cs="Arial"/>
          <w:sz w:val="17"/>
          <w:szCs w:val="17"/>
        </w:rPr>
        <w:lastRenderedPageBreak/>
        <w:t xml:space="preserve">As rubricas “Outras contas a receber” e “Adiantamentos a fornecedores” incluem as operações de crédito adquiridas ao BPN, ao Banco </w:t>
      </w:r>
      <w:proofErr w:type="spellStart"/>
      <w:r w:rsidRPr="00107B4D">
        <w:rPr>
          <w:rFonts w:ascii="Verdana" w:hAnsi="Verdana" w:cs="Arial"/>
          <w:sz w:val="17"/>
          <w:szCs w:val="17"/>
        </w:rPr>
        <w:t>Efisa</w:t>
      </w:r>
      <w:proofErr w:type="spellEnd"/>
      <w:r w:rsidRPr="00107B4D">
        <w:rPr>
          <w:rFonts w:ascii="Verdana" w:hAnsi="Verdana" w:cs="Arial"/>
          <w:sz w:val="17"/>
          <w:szCs w:val="17"/>
        </w:rPr>
        <w:t>, S.A. e à BPN Crédito - IFIC, S.A. (Nota 4).</w:t>
      </w:r>
    </w:p>
    <w:p w14:paraId="368A4AF0" w14:textId="77777777" w:rsidR="00C82F0D" w:rsidRPr="00107B4D" w:rsidRDefault="00C82F0D" w:rsidP="00633A3B">
      <w:pPr>
        <w:ind w:left="993"/>
        <w:jc w:val="both"/>
        <w:rPr>
          <w:rFonts w:ascii="Verdana" w:hAnsi="Verdana" w:cs="Arial"/>
          <w:sz w:val="17"/>
          <w:szCs w:val="17"/>
        </w:rPr>
      </w:pPr>
    </w:p>
    <w:p w14:paraId="72699CFF" w14:textId="77777777" w:rsidR="00C82F0D" w:rsidRPr="00107B4D" w:rsidRDefault="00C82F0D" w:rsidP="00D84952">
      <w:pPr>
        <w:pStyle w:val="PargrafodaLista"/>
        <w:numPr>
          <w:ilvl w:val="0"/>
          <w:numId w:val="4"/>
        </w:numPr>
        <w:ind w:left="1418" w:hanging="425"/>
        <w:jc w:val="both"/>
        <w:rPr>
          <w:rFonts w:ascii="Verdana" w:hAnsi="Verdana"/>
          <w:sz w:val="17"/>
          <w:szCs w:val="17"/>
        </w:rPr>
      </w:pPr>
      <w:r w:rsidRPr="00107B4D">
        <w:rPr>
          <w:rFonts w:ascii="Verdana" w:hAnsi="Verdana"/>
          <w:sz w:val="17"/>
          <w:szCs w:val="17"/>
        </w:rPr>
        <w:t>Instrumentos financeiros (IFRS 9)</w:t>
      </w:r>
    </w:p>
    <w:p w14:paraId="58B8CB3C" w14:textId="77777777" w:rsidR="00C82F0D" w:rsidRPr="00107B4D" w:rsidRDefault="00C82F0D" w:rsidP="00633A3B">
      <w:pPr>
        <w:ind w:left="993"/>
        <w:jc w:val="both"/>
        <w:rPr>
          <w:rFonts w:ascii="Verdana" w:hAnsi="Verdana" w:cs="Arial"/>
          <w:sz w:val="17"/>
          <w:szCs w:val="17"/>
          <w:u w:val="single"/>
        </w:rPr>
      </w:pPr>
    </w:p>
    <w:p w14:paraId="4459AC84" w14:textId="77777777" w:rsidR="00C82F0D" w:rsidRPr="00107B4D" w:rsidRDefault="00C82F0D" w:rsidP="00D84952">
      <w:pPr>
        <w:pStyle w:val="PargrafodaLista"/>
        <w:numPr>
          <w:ilvl w:val="0"/>
          <w:numId w:val="5"/>
        </w:numPr>
        <w:ind w:left="1843" w:hanging="425"/>
        <w:jc w:val="both"/>
        <w:rPr>
          <w:rFonts w:ascii="Verdana" w:hAnsi="Verdana" w:cs="Arial"/>
          <w:sz w:val="17"/>
          <w:szCs w:val="17"/>
          <w:u w:val="single"/>
        </w:rPr>
      </w:pPr>
      <w:r w:rsidRPr="00107B4D">
        <w:rPr>
          <w:rFonts w:ascii="Verdana" w:hAnsi="Verdana" w:cs="Arial"/>
          <w:sz w:val="17"/>
          <w:szCs w:val="17"/>
          <w:u w:val="single"/>
        </w:rPr>
        <w:t>Ativos financeiros</w:t>
      </w:r>
    </w:p>
    <w:p w14:paraId="3F3C1720" w14:textId="77777777" w:rsidR="00C82F0D" w:rsidRPr="00107B4D" w:rsidRDefault="00C82F0D" w:rsidP="00633A3B">
      <w:pPr>
        <w:pStyle w:val="PargrafodaLista"/>
        <w:ind w:left="1843"/>
        <w:jc w:val="both"/>
        <w:rPr>
          <w:rFonts w:ascii="Verdana" w:hAnsi="Verdana" w:cs="Arial"/>
          <w:sz w:val="17"/>
          <w:szCs w:val="17"/>
          <w:u w:val="single"/>
        </w:rPr>
      </w:pPr>
    </w:p>
    <w:p w14:paraId="7F4FF1ED" w14:textId="77777777" w:rsidR="00C82F0D" w:rsidRPr="00107B4D" w:rsidRDefault="00C82F0D" w:rsidP="00633A3B">
      <w:pPr>
        <w:pStyle w:val="PargrafodaLista"/>
        <w:ind w:left="1843"/>
        <w:jc w:val="both"/>
        <w:rPr>
          <w:rFonts w:ascii="Verdana" w:hAnsi="Verdana" w:cs="Arial"/>
          <w:sz w:val="17"/>
          <w:szCs w:val="17"/>
        </w:rPr>
      </w:pPr>
      <w:r w:rsidRPr="00107B4D">
        <w:rPr>
          <w:rFonts w:ascii="Verdana" w:hAnsi="Verdana" w:cs="Arial"/>
          <w:sz w:val="17"/>
          <w:szCs w:val="17"/>
        </w:rPr>
        <w:t>A classificação e mensuração dos ativos financeiros depende dos resultados da análise das características dos fluxos de caixa contratuais (teste SPPI), para concluir se os mesmos correspondem unicamente a pagamentos de capital e juros sobre o capital em dívida e do enquadramento nos respetivos modelos de negócio da Sociedade.</w:t>
      </w:r>
    </w:p>
    <w:p w14:paraId="3900FFFE" w14:textId="77777777" w:rsidR="00C82F0D" w:rsidRPr="00107B4D" w:rsidRDefault="00C82F0D" w:rsidP="00633A3B">
      <w:pPr>
        <w:pStyle w:val="PargrafodaLista"/>
        <w:ind w:left="1843"/>
        <w:jc w:val="both"/>
        <w:rPr>
          <w:rFonts w:ascii="Verdana" w:hAnsi="Verdana" w:cs="Arial"/>
          <w:sz w:val="17"/>
          <w:szCs w:val="17"/>
        </w:rPr>
      </w:pPr>
    </w:p>
    <w:p w14:paraId="76698684" w14:textId="77777777" w:rsidR="00C82F0D" w:rsidRPr="00107B4D" w:rsidRDefault="00C82F0D" w:rsidP="00633A3B">
      <w:pPr>
        <w:pStyle w:val="PargrafodaLista"/>
        <w:ind w:left="1843"/>
        <w:jc w:val="both"/>
        <w:rPr>
          <w:rFonts w:ascii="Verdana" w:hAnsi="Verdana" w:cs="Arial"/>
          <w:sz w:val="17"/>
          <w:szCs w:val="17"/>
        </w:rPr>
      </w:pPr>
      <w:r w:rsidRPr="00107B4D">
        <w:rPr>
          <w:rFonts w:ascii="Verdana" w:hAnsi="Verdana" w:cs="Arial"/>
          <w:sz w:val="17"/>
          <w:szCs w:val="17"/>
        </w:rPr>
        <w:t>No momento do seu reconhecimento inicial, os ativos financeiros podem ser classificados nas seguintes categorias:</w:t>
      </w:r>
    </w:p>
    <w:p w14:paraId="495A6E96" w14:textId="77777777" w:rsidR="00C82F0D" w:rsidRPr="00107B4D" w:rsidRDefault="00C82F0D" w:rsidP="00633A3B">
      <w:pPr>
        <w:pStyle w:val="PargrafodaLista"/>
        <w:ind w:left="1843"/>
        <w:jc w:val="both"/>
        <w:rPr>
          <w:rFonts w:ascii="Verdana" w:hAnsi="Verdana" w:cs="Arial"/>
          <w:sz w:val="17"/>
          <w:szCs w:val="17"/>
          <w:u w:val="single"/>
        </w:rPr>
      </w:pPr>
    </w:p>
    <w:p w14:paraId="2D515B6B" w14:textId="77777777" w:rsidR="00C82F0D" w:rsidRPr="00107B4D" w:rsidRDefault="00C82F0D" w:rsidP="00D84952">
      <w:pPr>
        <w:pStyle w:val="PargrafodaLista"/>
        <w:numPr>
          <w:ilvl w:val="0"/>
          <w:numId w:val="6"/>
        </w:numPr>
        <w:ind w:left="2127" w:hanging="284"/>
        <w:jc w:val="both"/>
        <w:rPr>
          <w:rFonts w:ascii="Verdana" w:hAnsi="Verdana" w:cs="Arial"/>
          <w:sz w:val="17"/>
          <w:szCs w:val="17"/>
        </w:rPr>
      </w:pPr>
      <w:r w:rsidRPr="00107B4D">
        <w:rPr>
          <w:rFonts w:ascii="Verdana" w:hAnsi="Verdana" w:cs="Arial"/>
          <w:sz w:val="17"/>
          <w:szCs w:val="17"/>
        </w:rPr>
        <w:t>ativos financeiros pelo custo amortizado;</w:t>
      </w:r>
    </w:p>
    <w:p w14:paraId="252CD311" w14:textId="77777777" w:rsidR="00C82F0D" w:rsidRPr="00107B4D" w:rsidRDefault="00C82F0D" w:rsidP="00D84952">
      <w:pPr>
        <w:pStyle w:val="PargrafodaLista"/>
        <w:numPr>
          <w:ilvl w:val="0"/>
          <w:numId w:val="6"/>
        </w:numPr>
        <w:ind w:left="2127" w:hanging="284"/>
        <w:jc w:val="both"/>
        <w:rPr>
          <w:rFonts w:ascii="Verdana" w:hAnsi="Verdana" w:cs="Arial"/>
          <w:sz w:val="17"/>
          <w:szCs w:val="17"/>
        </w:rPr>
      </w:pPr>
      <w:r w:rsidRPr="00107B4D">
        <w:rPr>
          <w:rFonts w:ascii="Verdana" w:hAnsi="Verdana" w:cs="Arial"/>
          <w:sz w:val="17"/>
          <w:szCs w:val="17"/>
        </w:rPr>
        <w:t xml:space="preserve">ativos financeiros ao justo valor através de outro rendimento integral; </w:t>
      </w:r>
    </w:p>
    <w:p w14:paraId="43A9F9AF" w14:textId="77777777" w:rsidR="00C82F0D" w:rsidRPr="00107B4D" w:rsidRDefault="00C82F0D" w:rsidP="00633A3B">
      <w:pPr>
        <w:pStyle w:val="PargrafodaLista"/>
        <w:ind w:left="2127"/>
        <w:jc w:val="both"/>
        <w:rPr>
          <w:rFonts w:ascii="Verdana" w:hAnsi="Verdana" w:cs="Arial"/>
          <w:sz w:val="17"/>
          <w:szCs w:val="17"/>
        </w:rPr>
      </w:pPr>
      <w:r w:rsidRPr="00107B4D">
        <w:rPr>
          <w:rFonts w:ascii="Verdana" w:hAnsi="Verdana" w:cs="Arial"/>
          <w:sz w:val="17"/>
          <w:szCs w:val="17"/>
        </w:rPr>
        <w:t>ou</w:t>
      </w:r>
    </w:p>
    <w:p w14:paraId="6ADC857D" w14:textId="77777777" w:rsidR="00C82F0D" w:rsidRPr="00107B4D" w:rsidRDefault="00C82F0D" w:rsidP="00D84952">
      <w:pPr>
        <w:pStyle w:val="PargrafodaLista"/>
        <w:numPr>
          <w:ilvl w:val="0"/>
          <w:numId w:val="6"/>
        </w:numPr>
        <w:ind w:left="2127" w:hanging="284"/>
        <w:jc w:val="both"/>
        <w:rPr>
          <w:rFonts w:ascii="Verdana" w:hAnsi="Verdana" w:cs="Arial"/>
          <w:sz w:val="17"/>
          <w:szCs w:val="17"/>
        </w:rPr>
      </w:pPr>
      <w:r w:rsidRPr="00107B4D">
        <w:rPr>
          <w:rFonts w:ascii="Verdana" w:hAnsi="Verdana" w:cs="Arial"/>
          <w:sz w:val="17"/>
          <w:szCs w:val="17"/>
        </w:rPr>
        <w:t>ativos financeiros ao justo valor através de resultados.</w:t>
      </w:r>
    </w:p>
    <w:p w14:paraId="28FA013A" w14:textId="77777777" w:rsidR="00C82F0D" w:rsidRPr="00107B4D" w:rsidRDefault="00C82F0D" w:rsidP="00633A3B">
      <w:pPr>
        <w:ind w:left="1843"/>
        <w:jc w:val="both"/>
        <w:rPr>
          <w:rFonts w:ascii="Verdana" w:hAnsi="Verdana" w:cs="Arial"/>
          <w:sz w:val="17"/>
          <w:szCs w:val="17"/>
        </w:rPr>
      </w:pPr>
    </w:p>
    <w:p w14:paraId="1A0DC871" w14:textId="77777777" w:rsidR="00C82F0D" w:rsidRPr="00107B4D" w:rsidRDefault="00C82F0D" w:rsidP="00633A3B">
      <w:pPr>
        <w:ind w:left="1843"/>
        <w:jc w:val="both"/>
        <w:rPr>
          <w:rFonts w:ascii="Verdana" w:hAnsi="Verdana" w:cs="Arial"/>
          <w:sz w:val="17"/>
          <w:szCs w:val="17"/>
        </w:rPr>
      </w:pPr>
      <w:r w:rsidRPr="00107B4D">
        <w:rPr>
          <w:rFonts w:ascii="Verdana" w:hAnsi="Verdana" w:cs="Arial"/>
          <w:sz w:val="17"/>
          <w:szCs w:val="17"/>
        </w:rPr>
        <w:t>A classificação dos ativos financeiros é efetuada tendo em conta os seguintes aspetos:</w:t>
      </w:r>
    </w:p>
    <w:p w14:paraId="1DCF5DA3" w14:textId="77777777" w:rsidR="00C82F0D" w:rsidRPr="00107B4D" w:rsidRDefault="00C82F0D" w:rsidP="00633A3B">
      <w:pPr>
        <w:ind w:left="993"/>
        <w:jc w:val="both"/>
        <w:rPr>
          <w:rFonts w:ascii="Verdana" w:hAnsi="Verdana" w:cs="Arial"/>
          <w:sz w:val="17"/>
          <w:szCs w:val="17"/>
        </w:rPr>
      </w:pPr>
    </w:p>
    <w:p w14:paraId="3747EDBD" w14:textId="77777777" w:rsidR="00C82F0D" w:rsidRPr="00107B4D" w:rsidRDefault="00C82F0D" w:rsidP="00D84952">
      <w:pPr>
        <w:pStyle w:val="PargrafodaLista"/>
        <w:numPr>
          <w:ilvl w:val="0"/>
          <w:numId w:val="6"/>
        </w:numPr>
        <w:ind w:left="2127" w:hanging="284"/>
        <w:jc w:val="both"/>
        <w:rPr>
          <w:rFonts w:ascii="Verdana" w:hAnsi="Verdana" w:cs="Arial"/>
          <w:sz w:val="17"/>
          <w:szCs w:val="17"/>
        </w:rPr>
      </w:pPr>
      <w:r w:rsidRPr="00107B4D">
        <w:rPr>
          <w:rFonts w:ascii="Verdana" w:hAnsi="Verdana" w:cs="Arial"/>
          <w:sz w:val="17"/>
          <w:szCs w:val="17"/>
        </w:rPr>
        <w:t>o modelo de negócio que a Sociedade definiu para a gestão do ativo financeiro; e</w:t>
      </w:r>
    </w:p>
    <w:p w14:paraId="5D7835FD" w14:textId="77777777" w:rsidR="00C82F0D" w:rsidRPr="00107B4D" w:rsidRDefault="00C82F0D" w:rsidP="00D84952">
      <w:pPr>
        <w:pStyle w:val="PargrafodaLista"/>
        <w:numPr>
          <w:ilvl w:val="0"/>
          <w:numId w:val="6"/>
        </w:numPr>
        <w:ind w:left="2127" w:hanging="284"/>
        <w:jc w:val="both"/>
        <w:rPr>
          <w:rFonts w:ascii="Verdana" w:hAnsi="Verdana" w:cs="Arial"/>
          <w:sz w:val="17"/>
          <w:szCs w:val="17"/>
        </w:rPr>
      </w:pPr>
      <w:r w:rsidRPr="00107B4D">
        <w:rPr>
          <w:rFonts w:ascii="Verdana" w:hAnsi="Verdana" w:cs="Arial"/>
          <w:sz w:val="17"/>
          <w:szCs w:val="17"/>
        </w:rPr>
        <w:t>as características dos fluxos contratuais do ativo financeiro.</w:t>
      </w:r>
    </w:p>
    <w:p w14:paraId="67BC0BF1" w14:textId="77777777" w:rsidR="00C82F0D" w:rsidRPr="00107B4D" w:rsidRDefault="00C82F0D" w:rsidP="00633A3B">
      <w:pPr>
        <w:ind w:left="993"/>
        <w:jc w:val="both"/>
        <w:rPr>
          <w:rFonts w:ascii="Verdana" w:hAnsi="Verdana" w:cs="Arial"/>
          <w:sz w:val="17"/>
          <w:szCs w:val="17"/>
          <w:u w:val="single"/>
        </w:rPr>
      </w:pPr>
    </w:p>
    <w:p w14:paraId="3422FF02" w14:textId="77777777" w:rsidR="00C82F0D" w:rsidRPr="00107B4D" w:rsidRDefault="00C82F0D" w:rsidP="00633A3B">
      <w:pPr>
        <w:ind w:left="1843"/>
        <w:jc w:val="both"/>
        <w:rPr>
          <w:rFonts w:ascii="Verdana" w:hAnsi="Verdana" w:cs="Arial"/>
          <w:i/>
          <w:sz w:val="17"/>
          <w:szCs w:val="17"/>
          <w:u w:val="single"/>
        </w:rPr>
      </w:pPr>
      <w:r w:rsidRPr="00107B4D">
        <w:rPr>
          <w:rFonts w:ascii="Verdana" w:hAnsi="Verdana" w:cs="Arial"/>
          <w:i/>
          <w:sz w:val="17"/>
          <w:szCs w:val="17"/>
          <w:u w:val="single"/>
        </w:rPr>
        <w:t xml:space="preserve">Avaliação se os fluxos de caixa contratuais correspondem somente ao recebimento de capital e juros (SPPI – </w:t>
      </w:r>
      <w:proofErr w:type="spellStart"/>
      <w:r w:rsidRPr="00107B4D">
        <w:rPr>
          <w:rFonts w:ascii="Verdana" w:hAnsi="Verdana" w:cs="Arial"/>
          <w:i/>
          <w:sz w:val="17"/>
          <w:szCs w:val="17"/>
          <w:u w:val="single"/>
        </w:rPr>
        <w:t>Solely</w:t>
      </w:r>
      <w:proofErr w:type="spellEnd"/>
      <w:r w:rsidRPr="00107B4D">
        <w:rPr>
          <w:rFonts w:ascii="Verdana" w:hAnsi="Verdana" w:cs="Arial"/>
          <w:i/>
          <w:sz w:val="17"/>
          <w:szCs w:val="17"/>
          <w:u w:val="single"/>
        </w:rPr>
        <w:t xml:space="preserve"> </w:t>
      </w:r>
      <w:proofErr w:type="spellStart"/>
      <w:r w:rsidRPr="00107B4D">
        <w:rPr>
          <w:rFonts w:ascii="Verdana" w:hAnsi="Verdana" w:cs="Arial"/>
          <w:i/>
          <w:sz w:val="17"/>
          <w:szCs w:val="17"/>
          <w:u w:val="single"/>
        </w:rPr>
        <w:t>Payments</w:t>
      </w:r>
      <w:proofErr w:type="spellEnd"/>
      <w:r w:rsidRPr="00107B4D">
        <w:rPr>
          <w:rFonts w:ascii="Verdana" w:hAnsi="Verdana" w:cs="Arial"/>
          <w:i/>
          <w:sz w:val="17"/>
          <w:szCs w:val="17"/>
          <w:u w:val="single"/>
        </w:rPr>
        <w:t xml:space="preserve"> </w:t>
      </w:r>
      <w:proofErr w:type="spellStart"/>
      <w:r w:rsidRPr="00107B4D">
        <w:rPr>
          <w:rFonts w:ascii="Verdana" w:hAnsi="Verdana" w:cs="Arial"/>
          <w:i/>
          <w:sz w:val="17"/>
          <w:szCs w:val="17"/>
          <w:u w:val="single"/>
        </w:rPr>
        <w:t>of</w:t>
      </w:r>
      <w:proofErr w:type="spellEnd"/>
      <w:r w:rsidRPr="00107B4D">
        <w:rPr>
          <w:rFonts w:ascii="Verdana" w:hAnsi="Verdana" w:cs="Arial"/>
          <w:i/>
          <w:sz w:val="17"/>
          <w:szCs w:val="17"/>
          <w:u w:val="single"/>
        </w:rPr>
        <w:t xml:space="preserve"> Principal </w:t>
      </w:r>
      <w:proofErr w:type="spellStart"/>
      <w:r w:rsidRPr="00107B4D">
        <w:rPr>
          <w:rFonts w:ascii="Verdana" w:hAnsi="Verdana" w:cs="Arial"/>
          <w:i/>
          <w:sz w:val="17"/>
          <w:szCs w:val="17"/>
          <w:u w:val="single"/>
        </w:rPr>
        <w:t>and</w:t>
      </w:r>
      <w:proofErr w:type="spellEnd"/>
      <w:r w:rsidRPr="00107B4D">
        <w:rPr>
          <w:rFonts w:ascii="Verdana" w:hAnsi="Verdana" w:cs="Arial"/>
          <w:i/>
          <w:sz w:val="17"/>
          <w:szCs w:val="17"/>
          <w:u w:val="single"/>
        </w:rPr>
        <w:t xml:space="preserve"> </w:t>
      </w:r>
      <w:proofErr w:type="spellStart"/>
      <w:r w:rsidRPr="00107B4D">
        <w:rPr>
          <w:rFonts w:ascii="Verdana" w:hAnsi="Verdana" w:cs="Arial"/>
          <w:i/>
          <w:sz w:val="17"/>
          <w:szCs w:val="17"/>
          <w:u w:val="single"/>
        </w:rPr>
        <w:t>Interest</w:t>
      </w:r>
      <w:proofErr w:type="spellEnd"/>
      <w:r w:rsidRPr="00107B4D">
        <w:rPr>
          <w:rFonts w:ascii="Verdana" w:hAnsi="Verdana" w:cs="Arial"/>
          <w:i/>
          <w:sz w:val="17"/>
          <w:szCs w:val="17"/>
          <w:u w:val="single"/>
        </w:rPr>
        <w:t>)</w:t>
      </w:r>
    </w:p>
    <w:p w14:paraId="3D9DBD21" w14:textId="77777777" w:rsidR="00C82F0D" w:rsidRPr="00107B4D" w:rsidRDefault="00C82F0D" w:rsidP="00633A3B">
      <w:pPr>
        <w:ind w:left="1843"/>
        <w:jc w:val="both"/>
        <w:rPr>
          <w:rFonts w:ascii="Verdana" w:hAnsi="Verdana" w:cs="Arial"/>
          <w:sz w:val="17"/>
          <w:szCs w:val="17"/>
          <w:u w:val="single"/>
        </w:rPr>
      </w:pPr>
    </w:p>
    <w:p w14:paraId="676D66D0" w14:textId="77777777" w:rsidR="00C82F0D" w:rsidRPr="00107B4D" w:rsidRDefault="00C82F0D" w:rsidP="00633A3B">
      <w:pPr>
        <w:ind w:left="1843"/>
        <w:jc w:val="both"/>
        <w:rPr>
          <w:rFonts w:ascii="Verdana" w:hAnsi="Verdana" w:cs="Arial"/>
          <w:sz w:val="17"/>
          <w:szCs w:val="17"/>
        </w:rPr>
      </w:pPr>
      <w:r w:rsidRPr="00107B4D">
        <w:rPr>
          <w:rFonts w:ascii="Verdana" w:hAnsi="Verdana" w:cs="Arial"/>
          <w:sz w:val="17"/>
          <w:szCs w:val="17"/>
        </w:rPr>
        <w:t xml:space="preserve">Na avaliação se os fluxos de caixa contratuais se referem somente ao recebimento de capital e juros, a Sociedade considerou os termos contratuais originais do ativo financeiro. </w:t>
      </w:r>
    </w:p>
    <w:p w14:paraId="6B0E32DE" w14:textId="77777777" w:rsidR="00C82F0D" w:rsidRPr="00107B4D" w:rsidRDefault="00C82F0D" w:rsidP="00633A3B">
      <w:pPr>
        <w:ind w:left="1843"/>
        <w:jc w:val="both"/>
        <w:rPr>
          <w:rFonts w:ascii="Verdana" w:hAnsi="Verdana" w:cs="Arial"/>
          <w:sz w:val="17"/>
          <w:szCs w:val="17"/>
        </w:rPr>
      </w:pPr>
    </w:p>
    <w:p w14:paraId="1AC271C7" w14:textId="77777777" w:rsidR="00C82F0D" w:rsidRPr="00107B4D" w:rsidRDefault="00C82F0D" w:rsidP="00633A3B">
      <w:pPr>
        <w:ind w:left="1843"/>
        <w:jc w:val="both"/>
        <w:rPr>
          <w:rFonts w:ascii="Verdana" w:hAnsi="Verdana" w:cs="Arial"/>
          <w:sz w:val="17"/>
          <w:szCs w:val="17"/>
        </w:rPr>
      </w:pPr>
      <w:r w:rsidRPr="00107B4D">
        <w:rPr>
          <w:rFonts w:ascii="Verdana" w:hAnsi="Verdana" w:cs="Arial"/>
          <w:sz w:val="17"/>
          <w:szCs w:val="17"/>
        </w:rPr>
        <w:t xml:space="preserve">Para efeitos desta avaliação, considera-se capital como o justo valor do ativo financeiro no momento do reconhecimento inicial. O juro corresponde à remuneração pelo efeito temporal do dinheiro, do risco de crédito associado ao montante em dívida durante um determinado </w:t>
      </w:r>
      <w:proofErr w:type="gramStart"/>
      <w:r w:rsidRPr="00107B4D">
        <w:rPr>
          <w:rFonts w:ascii="Verdana" w:hAnsi="Verdana" w:cs="Arial"/>
          <w:sz w:val="17"/>
          <w:szCs w:val="17"/>
        </w:rPr>
        <w:t>período de tempo</w:t>
      </w:r>
      <w:proofErr w:type="gramEnd"/>
      <w:r w:rsidRPr="00107B4D">
        <w:rPr>
          <w:rFonts w:ascii="Verdana" w:hAnsi="Verdana" w:cs="Arial"/>
          <w:sz w:val="17"/>
          <w:szCs w:val="17"/>
        </w:rPr>
        <w:t xml:space="preserve"> de outros riscos e custos básicos da concessão de crédito, bem como uma margem de lucro.</w:t>
      </w:r>
    </w:p>
    <w:p w14:paraId="30938DF9" w14:textId="77777777" w:rsidR="00C82F0D" w:rsidRPr="00107B4D" w:rsidRDefault="00C82F0D" w:rsidP="00633A3B">
      <w:pPr>
        <w:ind w:left="1843"/>
        <w:jc w:val="both"/>
        <w:rPr>
          <w:rFonts w:ascii="Verdana" w:hAnsi="Verdana" w:cs="Arial"/>
          <w:sz w:val="17"/>
          <w:szCs w:val="17"/>
        </w:rPr>
      </w:pPr>
    </w:p>
    <w:p w14:paraId="27BA6984" w14:textId="77777777" w:rsidR="00C82F0D" w:rsidRPr="00107B4D" w:rsidRDefault="00C82F0D" w:rsidP="00633A3B">
      <w:pPr>
        <w:ind w:left="1843"/>
        <w:jc w:val="both"/>
        <w:rPr>
          <w:rFonts w:ascii="Verdana" w:hAnsi="Verdana" w:cs="Arial"/>
          <w:i/>
          <w:sz w:val="17"/>
          <w:szCs w:val="17"/>
          <w:u w:val="single"/>
        </w:rPr>
      </w:pPr>
      <w:r w:rsidRPr="00107B4D">
        <w:rPr>
          <w:rFonts w:ascii="Verdana" w:hAnsi="Verdana" w:cs="Arial"/>
          <w:i/>
          <w:sz w:val="17"/>
          <w:szCs w:val="17"/>
          <w:u w:val="single"/>
        </w:rPr>
        <w:t>Avaliação do modelo de negócio</w:t>
      </w:r>
    </w:p>
    <w:p w14:paraId="356EC18C" w14:textId="77777777" w:rsidR="00C82F0D" w:rsidRPr="00107B4D" w:rsidRDefault="00C82F0D" w:rsidP="00633A3B">
      <w:pPr>
        <w:ind w:left="1843"/>
        <w:jc w:val="both"/>
        <w:rPr>
          <w:rFonts w:ascii="Verdana" w:hAnsi="Verdana" w:cs="Arial"/>
          <w:sz w:val="17"/>
          <w:szCs w:val="17"/>
        </w:rPr>
      </w:pPr>
    </w:p>
    <w:p w14:paraId="7503F478" w14:textId="77777777" w:rsidR="00C82F0D" w:rsidRPr="00107B4D" w:rsidRDefault="00C82F0D" w:rsidP="00633A3B">
      <w:pPr>
        <w:ind w:left="1843"/>
        <w:jc w:val="both"/>
        <w:rPr>
          <w:rFonts w:ascii="Verdana" w:hAnsi="Verdana" w:cs="Arial"/>
          <w:sz w:val="17"/>
          <w:szCs w:val="17"/>
        </w:rPr>
      </w:pPr>
      <w:r w:rsidRPr="00107B4D">
        <w:rPr>
          <w:rFonts w:ascii="Verdana" w:hAnsi="Verdana" w:cs="Arial"/>
          <w:sz w:val="17"/>
          <w:szCs w:val="17"/>
        </w:rPr>
        <w:t>A Sociedade determina o modelo de negócio tendo em consideração a forma como os grupos de ativos financeiros são geridos em conjunto para atingir um objetivo de negócio específico. Esta avaliação requer julgamento, na medida em que têm de ser considerados, entre outros, os seguintes aspetos: (i) a forma como o desempenho dos ativos é avaliada; e (</w:t>
      </w:r>
      <w:proofErr w:type="spellStart"/>
      <w:r w:rsidRPr="00107B4D">
        <w:rPr>
          <w:rFonts w:ascii="Verdana" w:hAnsi="Verdana" w:cs="Arial"/>
          <w:sz w:val="17"/>
          <w:szCs w:val="17"/>
        </w:rPr>
        <w:t>ii</w:t>
      </w:r>
      <w:proofErr w:type="spellEnd"/>
      <w:r w:rsidRPr="00107B4D">
        <w:rPr>
          <w:rFonts w:ascii="Verdana" w:hAnsi="Verdana" w:cs="Arial"/>
          <w:sz w:val="17"/>
          <w:szCs w:val="17"/>
        </w:rPr>
        <w:t>) os riscos que afetam o desempenho dos ativos e a forma como esses riscos são geridos.</w:t>
      </w:r>
    </w:p>
    <w:p w14:paraId="33C68CEA" w14:textId="77777777" w:rsidR="00C82F0D" w:rsidRPr="00107B4D" w:rsidRDefault="00C82F0D" w:rsidP="00633A3B">
      <w:pPr>
        <w:ind w:left="1843"/>
        <w:jc w:val="both"/>
        <w:rPr>
          <w:rFonts w:ascii="Verdana" w:hAnsi="Verdana" w:cs="Arial"/>
          <w:sz w:val="17"/>
          <w:szCs w:val="17"/>
        </w:rPr>
      </w:pPr>
    </w:p>
    <w:p w14:paraId="6318C772" w14:textId="77777777" w:rsidR="00C82F0D" w:rsidRPr="00107B4D" w:rsidRDefault="00C82F0D" w:rsidP="00D84952">
      <w:pPr>
        <w:pStyle w:val="PargrafodaLista"/>
        <w:numPr>
          <w:ilvl w:val="0"/>
          <w:numId w:val="7"/>
        </w:numPr>
        <w:ind w:left="2268" w:hanging="425"/>
        <w:jc w:val="both"/>
        <w:rPr>
          <w:rFonts w:ascii="Verdana" w:hAnsi="Verdana" w:cs="Arial"/>
          <w:sz w:val="17"/>
          <w:szCs w:val="17"/>
        </w:rPr>
      </w:pPr>
      <w:r w:rsidRPr="00107B4D">
        <w:rPr>
          <w:rFonts w:ascii="Verdana" w:hAnsi="Verdana" w:cs="Arial"/>
          <w:sz w:val="17"/>
          <w:szCs w:val="17"/>
          <w:u w:val="single"/>
        </w:rPr>
        <w:t>Ativos financeiros ao custo amortizado</w:t>
      </w:r>
      <w:r w:rsidRPr="00107B4D">
        <w:rPr>
          <w:rFonts w:ascii="Verdana" w:hAnsi="Verdana" w:cs="Arial"/>
          <w:sz w:val="17"/>
          <w:szCs w:val="17"/>
        </w:rPr>
        <w:t>:</w:t>
      </w:r>
    </w:p>
    <w:p w14:paraId="48A84378" w14:textId="77777777" w:rsidR="00C82F0D" w:rsidRPr="00107B4D" w:rsidRDefault="00C82F0D" w:rsidP="00633A3B">
      <w:pPr>
        <w:pStyle w:val="PargrafodaLista"/>
        <w:ind w:left="2268"/>
        <w:jc w:val="both"/>
        <w:rPr>
          <w:rFonts w:ascii="Verdana" w:hAnsi="Verdana" w:cs="Arial"/>
          <w:sz w:val="17"/>
          <w:szCs w:val="17"/>
          <w:u w:val="single"/>
        </w:rPr>
      </w:pPr>
    </w:p>
    <w:p w14:paraId="7A313160" w14:textId="77777777" w:rsidR="00C82F0D" w:rsidRPr="00107B4D" w:rsidRDefault="00C82F0D" w:rsidP="00633A3B">
      <w:pPr>
        <w:pStyle w:val="PargrafodaLista"/>
        <w:ind w:left="2268"/>
        <w:jc w:val="both"/>
        <w:rPr>
          <w:rFonts w:ascii="Verdana" w:hAnsi="Verdana" w:cs="Arial"/>
          <w:sz w:val="17"/>
          <w:szCs w:val="17"/>
        </w:rPr>
      </w:pPr>
      <w:r w:rsidRPr="00107B4D">
        <w:rPr>
          <w:rFonts w:ascii="Verdana" w:hAnsi="Verdana" w:cs="Arial"/>
          <w:sz w:val="17"/>
          <w:szCs w:val="17"/>
        </w:rPr>
        <w:t xml:space="preserve">Um ativo financeiro é classificado na categoria de “Ativos financeiros ao custo amortizado” se cumprir cumulativamente com as seguintes condições: </w:t>
      </w:r>
    </w:p>
    <w:p w14:paraId="4C402776" w14:textId="77777777" w:rsidR="00C82F0D" w:rsidRPr="00107B4D" w:rsidRDefault="00C82F0D" w:rsidP="00633A3B">
      <w:pPr>
        <w:ind w:left="1843"/>
        <w:jc w:val="both"/>
        <w:rPr>
          <w:rFonts w:ascii="Verdana" w:hAnsi="Verdana" w:cs="Arial"/>
          <w:sz w:val="17"/>
          <w:szCs w:val="17"/>
        </w:rPr>
      </w:pPr>
    </w:p>
    <w:p w14:paraId="5436AFCF" w14:textId="77777777" w:rsidR="00C82F0D" w:rsidRPr="00107B4D" w:rsidRDefault="00C82F0D" w:rsidP="00D84952">
      <w:pPr>
        <w:pStyle w:val="PargrafodaLista"/>
        <w:numPr>
          <w:ilvl w:val="0"/>
          <w:numId w:val="8"/>
        </w:numPr>
        <w:ind w:hanging="295"/>
        <w:jc w:val="both"/>
        <w:rPr>
          <w:rFonts w:ascii="Verdana" w:hAnsi="Verdana" w:cs="Arial"/>
          <w:sz w:val="17"/>
          <w:szCs w:val="17"/>
        </w:rPr>
      </w:pPr>
      <w:r w:rsidRPr="00107B4D">
        <w:rPr>
          <w:rFonts w:ascii="Verdana" w:hAnsi="Verdana" w:cs="Arial"/>
          <w:sz w:val="17"/>
          <w:szCs w:val="17"/>
        </w:rPr>
        <w:t>O ativo financeiro é detido num modelo de negócio cujo objetivo é o de deter ativos financeiros com o fim de recolher os respetivos fluxos de caixa contratuais; e</w:t>
      </w:r>
    </w:p>
    <w:p w14:paraId="51037F26" w14:textId="77777777" w:rsidR="00C82F0D" w:rsidRPr="00107B4D" w:rsidRDefault="00C82F0D" w:rsidP="00633A3B">
      <w:pPr>
        <w:ind w:left="2563" w:hanging="295"/>
        <w:jc w:val="both"/>
        <w:rPr>
          <w:rFonts w:ascii="Verdana" w:hAnsi="Verdana" w:cs="Arial"/>
          <w:sz w:val="17"/>
          <w:szCs w:val="17"/>
        </w:rPr>
      </w:pPr>
    </w:p>
    <w:p w14:paraId="0E31C4AD" w14:textId="77777777" w:rsidR="00C82F0D" w:rsidRPr="00107B4D" w:rsidRDefault="00C82F0D" w:rsidP="00D84952">
      <w:pPr>
        <w:pStyle w:val="PargrafodaLista"/>
        <w:numPr>
          <w:ilvl w:val="0"/>
          <w:numId w:val="8"/>
        </w:numPr>
        <w:ind w:hanging="295"/>
        <w:jc w:val="both"/>
        <w:rPr>
          <w:rFonts w:ascii="Verdana" w:hAnsi="Verdana" w:cs="Arial"/>
          <w:sz w:val="17"/>
          <w:szCs w:val="17"/>
        </w:rPr>
      </w:pPr>
      <w:r w:rsidRPr="00107B4D">
        <w:rPr>
          <w:rFonts w:ascii="Verdana" w:hAnsi="Verdana" w:cs="Arial"/>
          <w:sz w:val="17"/>
          <w:szCs w:val="17"/>
        </w:rPr>
        <w:t>Os termos contratuais dão origem a fluxos de caixa em datas específicas que correspondem apenas a pagamentos de capital e juro sobre o montante de capital em dívida (SPPI).</w:t>
      </w:r>
    </w:p>
    <w:p w14:paraId="2652DB98" w14:textId="77777777" w:rsidR="00C82F0D" w:rsidRPr="00107B4D" w:rsidRDefault="00C82F0D" w:rsidP="00633A3B">
      <w:pPr>
        <w:ind w:left="2563" w:hanging="295"/>
        <w:jc w:val="both"/>
        <w:rPr>
          <w:rFonts w:ascii="Verdana" w:hAnsi="Verdana" w:cs="Arial"/>
          <w:sz w:val="17"/>
          <w:szCs w:val="17"/>
        </w:rPr>
      </w:pPr>
    </w:p>
    <w:p w14:paraId="53BF1947" w14:textId="77777777" w:rsidR="00C82F0D" w:rsidRPr="00107B4D" w:rsidRDefault="00C82F0D" w:rsidP="00633A3B">
      <w:pPr>
        <w:ind w:left="2268"/>
        <w:jc w:val="both"/>
        <w:rPr>
          <w:rFonts w:ascii="Verdana" w:hAnsi="Verdana" w:cs="Arial"/>
          <w:sz w:val="17"/>
          <w:szCs w:val="17"/>
        </w:rPr>
      </w:pPr>
      <w:r w:rsidRPr="00107B4D">
        <w:rPr>
          <w:rFonts w:ascii="Verdana" w:hAnsi="Verdana" w:cs="Arial"/>
          <w:sz w:val="17"/>
          <w:szCs w:val="17"/>
        </w:rPr>
        <w:lastRenderedPageBreak/>
        <w:t>Esta categoria inclui as rubricas de outras contas a receber, adiantamentos a fornecedores e outros ativos financeiros.</w:t>
      </w:r>
    </w:p>
    <w:p w14:paraId="6539A86F" w14:textId="77777777" w:rsidR="00C82F0D" w:rsidRPr="00107B4D" w:rsidRDefault="00C82F0D" w:rsidP="00633A3B">
      <w:pPr>
        <w:ind w:left="2268"/>
        <w:jc w:val="both"/>
        <w:rPr>
          <w:rFonts w:ascii="Verdana" w:hAnsi="Verdana" w:cs="Arial"/>
          <w:sz w:val="17"/>
          <w:szCs w:val="17"/>
        </w:rPr>
      </w:pPr>
    </w:p>
    <w:p w14:paraId="6FFF9CE3" w14:textId="77777777" w:rsidR="00C82F0D" w:rsidRPr="00107B4D" w:rsidRDefault="00C82F0D" w:rsidP="00633A3B">
      <w:pPr>
        <w:ind w:left="2268"/>
        <w:jc w:val="both"/>
        <w:rPr>
          <w:rFonts w:ascii="Verdana" w:hAnsi="Verdana" w:cs="Arial"/>
          <w:i/>
          <w:sz w:val="17"/>
          <w:szCs w:val="17"/>
        </w:rPr>
      </w:pPr>
      <w:r w:rsidRPr="00107B4D">
        <w:rPr>
          <w:rFonts w:ascii="Verdana" w:hAnsi="Verdana" w:cs="Arial"/>
          <w:i/>
          <w:sz w:val="17"/>
          <w:szCs w:val="17"/>
        </w:rPr>
        <w:t xml:space="preserve">Reconhecimento inicial e mensuração subsequente </w:t>
      </w:r>
    </w:p>
    <w:p w14:paraId="3C32A641" w14:textId="77777777" w:rsidR="00C82F0D" w:rsidRPr="00107B4D" w:rsidRDefault="00C82F0D" w:rsidP="00633A3B">
      <w:pPr>
        <w:ind w:left="2268"/>
        <w:jc w:val="both"/>
        <w:rPr>
          <w:rFonts w:ascii="Verdana" w:hAnsi="Verdana" w:cs="Arial"/>
          <w:sz w:val="17"/>
          <w:szCs w:val="17"/>
        </w:rPr>
      </w:pPr>
      <w:r w:rsidRPr="00107B4D">
        <w:rPr>
          <w:rFonts w:ascii="Verdana" w:hAnsi="Verdana" w:cs="Arial"/>
          <w:sz w:val="17"/>
          <w:szCs w:val="17"/>
        </w:rPr>
        <w:t>Os ativos financeiros ao custo amortizado são reconhecidos inicialmente pelo seu justo valor, acrescidos dos custos de transação e são posteriormente mensurados ao custo amortizado. Adicionalmente, estão sujeitos, desde o seu reconhecimento inicial ao apuramento de perdas por imparidade para perdas esperadas, as quais são registadas por contrapartida de resultados.</w:t>
      </w:r>
    </w:p>
    <w:p w14:paraId="7E20D3C4" w14:textId="77777777" w:rsidR="00C82F0D" w:rsidRPr="00107B4D" w:rsidRDefault="00C82F0D" w:rsidP="00633A3B">
      <w:pPr>
        <w:ind w:left="2268"/>
        <w:jc w:val="both"/>
        <w:rPr>
          <w:rFonts w:ascii="Verdana" w:hAnsi="Verdana" w:cs="Arial"/>
          <w:sz w:val="17"/>
          <w:szCs w:val="17"/>
        </w:rPr>
      </w:pPr>
    </w:p>
    <w:p w14:paraId="4C690355" w14:textId="77777777" w:rsidR="00C82F0D" w:rsidRPr="00107B4D" w:rsidRDefault="00C82F0D" w:rsidP="00633A3B">
      <w:pPr>
        <w:ind w:left="2268"/>
        <w:jc w:val="both"/>
        <w:rPr>
          <w:rFonts w:ascii="Verdana" w:hAnsi="Verdana" w:cs="Arial"/>
          <w:sz w:val="17"/>
          <w:szCs w:val="17"/>
        </w:rPr>
      </w:pPr>
      <w:r w:rsidRPr="00107B4D">
        <w:rPr>
          <w:rFonts w:ascii="Verdana" w:hAnsi="Verdana" w:cs="Arial"/>
          <w:sz w:val="17"/>
          <w:szCs w:val="17"/>
        </w:rPr>
        <w:t>Os ativos financeiros classificados nesta categoria são subsequentemente mensurados ao custo amortizado.</w:t>
      </w:r>
    </w:p>
    <w:p w14:paraId="73B1BAE7" w14:textId="77777777" w:rsidR="00C82F0D" w:rsidRPr="00107B4D" w:rsidRDefault="00C82F0D" w:rsidP="00633A3B">
      <w:pPr>
        <w:ind w:left="1843"/>
        <w:jc w:val="both"/>
        <w:rPr>
          <w:rFonts w:ascii="Verdana" w:hAnsi="Verdana" w:cs="Arial"/>
          <w:sz w:val="17"/>
          <w:szCs w:val="17"/>
        </w:rPr>
      </w:pPr>
    </w:p>
    <w:p w14:paraId="045C26C2" w14:textId="77777777" w:rsidR="00C82F0D" w:rsidRPr="00107B4D" w:rsidRDefault="00C82F0D" w:rsidP="00D84952">
      <w:pPr>
        <w:pStyle w:val="PargrafodaLista"/>
        <w:numPr>
          <w:ilvl w:val="0"/>
          <w:numId w:val="7"/>
        </w:numPr>
        <w:ind w:left="2268" w:hanging="425"/>
        <w:jc w:val="both"/>
        <w:rPr>
          <w:rFonts w:ascii="Verdana" w:hAnsi="Verdana" w:cs="Arial"/>
          <w:sz w:val="17"/>
          <w:szCs w:val="17"/>
        </w:rPr>
      </w:pPr>
      <w:r w:rsidRPr="00107B4D">
        <w:rPr>
          <w:rFonts w:ascii="Verdana" w:hAnsi="Verdana" w:cs="Arial"/>
          <w:sz w:val="17"/>
          <w:szCs w:val="17"/>
          <w:u w:val="single"/>
        </w:rPr>
        <w:t>Ativos financeiros ao justo valor através de outro rendimento integral</w:t>
      </w:r>
      <w:r w:rsidRPr="00107B4D">
        <w:rPr>
          <w:rFonts w:ascii="Verdana" w:hAnsi="Verdana" w:cs="Arial"/>
          <w:sz w:val="17"/>
          <w:szCs w:val="17"/>
        </w:rPr>
        <w:t>:</w:t>
      </w:r>
    </w:p>
    <w:p w14:paraId="5E47973F" w14:textId="77777777" w:rsidR="00C82F0D" w:rsidRPr="00107B4D" w:rsidRDefault="00C82F0D" w:rsidP="00633A3B">
      <w:pPr>
        <w:ind w:left="1843"/>
        <w:jc w:val="both"/>
        <w:rPr>
          <w:rFonts w:ascii="Verdana" w:hAnsi="Verdana" w:cs="Arial"/>
          <w:sz w:val="17"/>
          <w:szCs w:val="17"/>
        </w:rPr>
      </w:pPr>
    </w:p>
    <w:p w14:paraId="7B82439E" w14:textId="77777777" w:rsidR="00C82F0D" w:rsidRPr="00107B4D" w:rsidRDefault="00C82F0D" w:rsidP="00633A3B">
      <w:pPr>
        <w:ind w:left="2268"/>
        <w:jc w:val="both"/>
        <w:rPr>
          <w:rFonts w:ascii="Verdana" w:hAnsi="Verdana" w:cs="Arial"/>
          <w:sz w:val="17"/>
          <w:szCs w:val="17"/>
        </w:rPr>
      </w:pPr>
      <w:r w:rsidRPr="00107B4D">
        <w:rPr>
          <w:rFonts w:ascii="Verdana" w:hAnsi="Verdana" w:cs="Arial"/>
          <w:sz w:val="17"/>
          <w:szCs w:val="17"/>
        </w:rPr>
        <w:t xml:space="preserve">Um ativo financeiro é classificado na categoria de “Ativos financeiros ao justo valor através de outro rendimento integral” se cumprir cumulativamente com as seguintes condições: </w:t>
      </w:r>
    </w:p>
    <w:p w14:paraId="4F690EA4" w14:textId="77777777" w:rsidR="00C82F0D" w:rsidRPr="00107B4D" w:rsidRDefault="00C82F0D" w:rsidP="00633A3B">
      <w:pPr>
        <w:ind w:left="2268"/>
        <w:jc w:val="both"/>
        <w:rPr>
          <w:rFonts w:ascii="Verdana" w:hAnsi="Verdana" w:cs="Arial"/>
          <w:sz w:val="17"/>
          <w:szCs w:val="17"/>
        </w:rPr>
      </w:pPr>
    </w:p>
    <w:p w14:paraId="0C63885E" w14:textId="77777777" w:rsidR="00C82F0D" w:rsidRPr="00107B4D" w:rsidRDefault="00C82F0D" w:rsidP="00D84952">
      <w:pPr>
        <w:pStyle w:val="PargrafodaLista"/>
        <w:numPr>
          <w:ilvl w:val="0"/>
          <w:numId w:val="9"/>
        </w:numPr>
        <w:ind w:left="2694" w:hanging="426"/>
        <w:jc w:val="both"/>
        <w:rPr>
          <w:rFonts w:ascii="Verdana" w:hAnsi="Verdana" w:cs="Arial"/>
          <w:sz w:val="17"/>
          <w:szCs w:val="17"/>
        </w:rPr>
      </w:pPr>
      <w:r w:rsidRPr="00107B4D">
        <w:rPr>
          <w:rFonts w:ascii="Verdana" w:hAnsi="Verdana" w:cs="Arial"/>
          <w:sz w:val="17"/>
          <w:szCs w:val="17"/>
        </w:rPr>
        <w:t>O ativo financeiro é detido num modelo de negócio cujo objetivo é o de recolher fluxos de caixa contratuais e a venda de ativos financeiros; e</w:t>
      </w:r>
    </w:p>
    <w:p w14:paraId="61732901" w14:textId="77777777" w:rsidR="00C82F0D" w:rsidRPr="00107B4D" w:rsidRDefault="00C82F0D" w:rsidP="00633A3B">
      <w:pPr>
        <w:ind w:left="2694" w:hanging="426"/>
        <w:jc w:val="both"/>
        <w:rPr>
          <w:rFonts w:ascii="Verdana" w:hAnsi="Verdana" w:cs="Arial"/>
          <w:sz w:val="17"/>
          <w:szCs w:val="17"/>
        </w:rPr>
      </w:pPr>
    </w:p>
    <w:p w14:paraId="19F907AC" w14:textId="77777777" w:rsidR="00C82F0D" w:rsidRPr="00107B4D" w:rsidRDefault="00C82F0D" w:rsidP="00D84952">
      <w:pPr>
        <w:pStyle w:val="PargrafodaLista"/>
        <w:numPr>
          <w:ilvl w:val="0"/>
          <w:numId w:val="9"/>
        </w:numPr>
        <w:ind w:left="2694" w:hanging="426"/>
        <w:jc w:val="both"/>
        <w:rPr>
          <w:rFonts w:ascii="Verdana" w:hAnsi="Verdana" w:cs="Arial"/>
          <w:sz w:val="17"/>
          <w:szCs w:val="17"/>
        </w:rPr>
      </w:pPr>
      <w:r w:rsidRPr="00107B4D">
        <w:rPr>
          <w:rFonts w:ascii="Verdana" w:hAnsi="Verdana" w:cs="Arial"/>
          <w:sz w:val="17"/>
          <w:szCs w:val="17"/>
        </w:rPr>
        <w:t>Os termos contratuais dão origem a fluxos de caixa em datas específicas que correspondem apenas a pagamentos de capital e juro sobre o montante de capital em dívida (SPPI).</w:t>
      </w:r>
    </w:p>
    <w:p w14:paraId="01A81214" w14:textId="77777777" w:rsidR="00C82F0D" w:rsidRPr="00107B4D" w:rsidRDefault="00C82F0D" w:rsidP="00633A3B">
      <w:pPr>
        <w:ind w:left="2268"/>
        <w:jc w:val="both"/>
        <w:rPr>
          <w:rFonts w:ascii="Verdana" w:hAnsi="Verdana" w:cs="Arial"/>
          <w:sz w:val="17"/>
          <w:szCs w:val="17"/>
        </w:rPr>
      </w:pPr>
    </w:p>
    <w:p w14:paraId="27CA2C69" w14:textId="77777777" w:rsidR="00C82F0D" w:rsidRPr="00107B4D" w:rsidRDefault="00C82F0D" w:rsidP="00633A3B">
      <w:pPr>
        <w:ind w:left="2268"/>
        <w:jc w:val="both"/>
        <w:rPr>
          <w:rFonts w:ascii="Verdana" w:hAnsi="Verdana" w:cs="Arial"/>
          <w:sz w:val="17"/>
          <w:szCs w:val="17"/>
        </w:rPr>
      </w:pPr>
    </w:p>
    <w:p w14:paraId="121672E5" w14:textId="77777777" w:rsidR="00C82F0D" w:rsidRPr="00107B4D" w:rsidRDefault="00C82F0D" w:rsidP="00583743">
      <w:pPr>
        <w:ind w:left="2268"/>
        <w:jc w:val="both"/>
        <w:rPr>
          <w:rFonts w:ascii="Verdana" w:hAnsi="Verdana" w:cs="Arial"/>
          <w:sz w:val="17"/>
          <w:szCs w:val="17"/>
        </w:rPr>
      </w:pPr>
      <w:r w:rsidRPr="00107B4D">
        <w:rPr>
          <w:rFonts w:ascii="Verdana" w:hAnsi="Verdana" w:cs="Arial"/>
          <w:sz w:val="17"/>
          <w:szCs w:val="17"/>
        </w:rPr>
        <w:t>Adicionalmente, a Sociedade pode optar, de forma irrevogável no momento do reconhecimento inicial, por classificar um instrumento de capital na categoria de “Ativos financeiros ao justo valor através de outro rendimento integral”, desde que o mesmo não seja detido para negociação. Esta opção é exercida numa base casuística, investimento a investimento e está apenas disponível para os instrumentos financeiros que se enquadram no âmbito da definição de instrumentos de capital prevista nas disposições da IFRS 9 e IAS 32.</w:t>
      </w:r>
    </w:p>
    <w:p w14:paraId="02426365" w14:textId="77777777" w:rsidR="00C82F0D" w:rsidRPr="00107B4D" w:rsidRDefault="00C82F0D">
      <w:pPr>
        <w:rPr>
          <w:rFonts w:ascii="Verdana" w:hAnsi="Verdana" w:cs="Arial"/>
          <w:sz w:val="17"/>
          <w:szCs w:val="17"/>
        </w:rPr>
      </w:pPr>
    </w:p>
    <w:p w14:paraId="47EBCB42" w14:textId="77777777" w:rsidR="00C82F0D" w:rsidRPr="00107B4D" w:rsidRDefault="00C82F0D" w:rsidP="00583743">
      <w:pPr>
        <w:ind w:left="2268"/>
        <w:jc w:val="both"/>
        <w:rPr>
          <w:rFonts w:ascii="Verdana" w:hAnsi="Verdana" w:cs="Arial"/>
          <w:sz w:val="17"/>
          <w:szCs w:val="17"/>
        </w:rPr>
      </w:pPr>
      <w:r w:rsidRPr="00107B4D">
        <w:rPr>
          <w:rFonts w:ascii="Verdana" w:hAnsi="Verdana" w:cs="Arial"/>
          <w:sz w:val="17"/>
          <w:szCs w:val="17"/>
        </w:rPr>
        <w:t>Esta categoria inclui os instrumentos de dívida detidos pela Sociedade classificados na rubrica de “Ativos financeiros ao justo valor através de outro rendimento integral”.</w:t>
      </w:r>
    </w:p>
    <w:p w14:paraId="3BE16F98" w14:textId="77777777" w:rsidR="00C82F0D" w:rsidRPr="00107B4D" w:rsidRDefault="00C82F0D" w:rsidP="00583743">
      <w:pPr>
        <w:ind w:left="2268"/>
        <w:jc w:val="both"/>
        <w:rPr>
          <w:rFonts w:ascii="Verdana" w:hAnsi="Verdana" w:cs="Arial"/>
          <w:sz w:val="17"/>
          <w:szCs w:val="17"/>
        </w:rPr>
      </w:pPr>
    </w:p>
    <w:p w14:paraId="5282ED63" w14:textId="77777777" w:rsidR="00C82F0D" w:rsidRPr="00107B4D" w:rsidRDefault="00C82F0D" w:rsidP="00583743">
      <w:pPr>
        <w:ind w:left="2268"/>
        <w:jc w:val="both"/>
        <w:rPr>
          <w:rFonts w:ascii="Verdana" w:hAnsi="Verdana" w:cs="Arial"/>
          <w:i/>
          <w:sz w:val="17"/>
          <w:szCs w:val="17"/>
        </w:rPr>
      </w:pPr>
      <w:r w:rsidRPr="00107B4D">
        <w:rPr>
          <w:rFonts w:ascii="Verdana" w:hAnsi="Verdana" w:cs="Arial"/>
          <w:i/>
          <w:sz w:val="17"/>
          <w:szCs w:val="17"/>
        </w:rPr>
        <w:t xml:space="preserve">Reconhecimento inicial e mensuração subsequente </w:t>
      </w:r>
    </w:p>
    <w:p w14:paraId="03D9E0A3" w14:textId="77777777" w:rsidR="00C82F0D" w:rsidRPr="00107B4D" w:rsidRDefault="00C82F0D" w:rsidP="00583743">
      <w:pPr>
        <w:ind w:left="2268"/>
        <w:jc w:val="both"/>
        <w:rPr>
          <w:rFonts w:ascii="Verdana" w:hAnsi="Verdana" w:cs="Arial"/>
          <w:sz w:val="17"/>
          <w:szCs w:val="17"/>
        </w:rPr>
      </w:pPr>
    </w:p>
    <w:p w14:paraId="588B6F62" w14:textId="77777777" w:rsidR="00C82F0D" w:rsidRPr="00107B4D" w:rsidRDefault="00C82F0D" w:rsidP="00583743">
      <w:pPr>
        <w:ind w:left="2268"/>
        <w:jc w:val="both"/>
        <w:rPr>
          <w:rFonts w:ascii="Verdana" w:hAnsi="Verdana" w:cs="Arial"/>
          <w:sz w:val="17"/>
          <w:szCs w:val="17"/>
        </w:rPr>
      </w:pPr>
      <w:r w:rsidRPr="00107B4D">
        <w:rPr>
          <w:rFonts w:ascii="Verdana" w:hAnsi="Verdana" w:cs="Arial"/>
          <w:sz w:val="17"/>
          <w:szCs w:val="17"/>
        </w:rPr>
        <w:t>Os instrumentos de dívida ao justo valor através de outro rendimento integral são reconhecidos inicialmente pelo seu justo valor, acrescido dos custos de transação, e subsequentemente mensurados ao justo valor. As variações no justo valor destes ativos financeiros são registadas por contrapartida de outro rendimento integral e, no momento da sua alienação, os respetivos ganhos ou perdas acumuladas em outro rendimento integral são reclassificados para resultados.</w:t>
      </w:r>
    </w:p>
    <w:p w14:paraId="783CD5D8" w14:textId="77777777" w:rsidR="00C82F0D" w:rsidRPr="00107B4D" w:rsidRDefault="00C82F0D" w:rsidP="00583743">
      <w:pPr>
        <w:ind w:left="2268"/>
        <w:jc w:val="both"/>
        <w:rPr>
          <w:rFonts w:ascii="Verdana" w:hAnsi="Verdana" w:cs="Arial"/>
          <w:sz w:val="17"/>
          <w:szCs w:val="17"/>
        </w:rPr>
      </w:pPr>
    </w:p>
    <w:p w14:paraId="50E4B81A" w14:textId="77777777" w:rsidR="00C82F0D" w:rsidRPr="00107B4D" w:rsidRDefault="00C82F0D" w:rsidP="00583743">
      <w:pPr>
        <w:ind w:left="2268"/>
        <w:jc w:val="both"/>
        <w:rPr>
          <w:rFonts w:ascii="Verdana" w:hAnsi="Verdana" w:cs="Arial"/>
          <w:sz w:val="17"/>
          <w:szCs w:val="17"/>
        </w:rPr>
      </w:pPr>
      <w:r w:rsidRPr="00107B4D">
        <w:rPr>
          <w:rFonts w:ascii="Verdana" w:hAnsi="Verdana" w:cs="Arial"/>
          <w:sz w:val="17"/>
          <w:szCs w:val="17"/>
        </w:rPr>
        <w:t>Os juros, prémios ou descontos dos ativos financeiros ao justo valor através de outro rendimento integral são reconhecidos em “Outros rendimentos e ganhos”, tendo por base o método da taxa efetiva.</w:t>
      </w:r>
    </w:p>
    <w:p w14:paraId="7177A85E" w14:textId="77777777" w:rsidR="00C82F0D" w:rsidRPr="00107B4D" w:rsidRDefault="00C82F0D" w:rsidP="00583743">
      <w:pPr>
        <w:ind w:left="2268"/>
        <w:jc w:val="both"/>
        <w:rPr>
          <w:rFonts w:ascii="Verdana" w:hAnsi="Verdana" w:cs="Arial"/>
          <w:sz w:val="17"/>
          <w:szCs w:val="17"/>
        </w:rPr>
      </w:pPr>
    </w:p>
    <w:p w14:paraId="1682FFB5" w14:textId="77777777" w:rsidR="00C82F0D" w:rsidRPr="00107B4D" w:rsidRDefault="00C82F0D" w:rsidP="00583743">
      <w:pPr>
        <w:ind w:left="2268"/>
        <w:jc w:val="both"/>
        <w:rPr>
          <w:rFonts w:ascii="Verdana" w:hAnsi="Verdana" w:cs="Arial"/>
          <w:sz w:val="17"/>
          <w:szCs w:val="17"/>
        </w:rPr>
      </w:pPr>
      <w:r w:rsidRPr="00107B4D">
        <w:rPr>
          <w:rFonts w:ascii="Verdana" w:hAnsi="Verdana" w:cs="Arial"/>
          <w:sz w:val="17"/>
          <w:szCs w:val="17"/>
        </w:rPr>
        <w:t>Os instrumentos de dívida ao justo valor através de outro rendimento integral estão sujeitos, desde o seu reconhecimento inicial, ao apuramento de perdas por imparidade para perdas esperadas. As perdas de imparidade estimadas são reconhecidas em resultados, na rubrica “Imparidade para investimentos financeiros”, por contrapartida da rubrica de outro rendimento integral, e não reduzem a quantia escriturada do ativo financeiro no balanço.</w:t>
      </w:r>
    </w:p>
    <w:p w14:paraId="3A988969" w14:textId="77777777" w:rsidR="00C82F0D" w:rsidRPr="00107B4D" w:rsidRDefault="00C82F0D" w:rsidP="00583743">
      <w:pPr>
        <w:ind w:left="2268"/>
        <w:jc w:val="both"/>
        <w:rPr>
          <w:rFonts w:ascii="Verdana" w:hAnsi="Verdana" w:cs="Arial"/>
          <w:sz w:val="17"/>
          <w:szCs w:val="17"/>
        </w:rPr>
      </w:pPr>
    </w:p>
    <w:p w14:paraId="08DC6600" w14:textId="77777777" w:rsidR="00C82F0D" w:rsidRPr="00107B4D" w:rsidRDefault="00C82F0D" w:rsidP="00583743">
      <w:pPr>
        <w:ind w:left="2268"/>
        <w:jc w:val="both"/>
        <w:rPr>
          <w:rFonts w:ascii="Verdana" w:hAnsi="Verdana" w:cs="Arial"/>
          <w:sz w:val="17"/>
          <w:szCs w:val="17"/>
        </w:rPr>
      </w:pPr>
      <w:r w:rsidRPr="00107B4D">
        <w:rPr>
          <w:rFonts w:ascii="Verdana" w:hAnsi="Verdana" w:cs="Arial"/>
          <w:sz w:val="17"/>
          <w:szCs w:val="17"/>
        </w:rPr>
        <w:t xml:space="preserve">Os instrumentos de capital ao justo valor através de outro rendimento integral são reconhecidos inicialmente pelo seu justo valor, acrescido dos custos de transação, e subsequentemente são mensurados ao justo </w:t>
      </w:r>
      <w:r w:rsidRPr="00107B4D">
        <w:rPr>
          <w:rFonts w:ascii="Verdana" w:hAnsi="Verdana" w:cs="Arial"/>
          <w:sz w:val="17"/>
          <w:szCs w:val="17"/>
        </w:rPr>
        <w:lastRenderedPageBreak/>
        <w:t xml:space="preserve">valor. As variações no justo valor destes ativos financeiros são registadas por contrapartida de outro rendimento integral. </w:t>
      </w:r>
    </w:p>
    <w:p w14:paraId="0A41D436" w14:textId="77777777" w:rsidR="00C82F0D" w:rsidRPr="00107B4D" w:rsidRDefault="00C82F0D" w:rsidP="00583743">
      <w:pPr>
        <w:ind w:left="2268"/>
        <w:jc w:val="both"/>
        <w:rPr>
          <w:rFonts w:ascii="Verdana" w:hAnsi="Verdana" w:cs="Arial"/>
          <w:sz w:val="17"/>
          <w:szCs w:val="17"/>
        </w:rPr>
      </w:pPr>
    </w:p>
    <w:p w14:paraId="1A76D6AA" w14:textId="77777777" w:rsidR="00C82F0D" w:rsidRPr="00107B4D" w:rsidRDefault="00C82F0D" w:rsidP="00583743">
      <w:pPr>
        <w:ind w:left="2268"/>
        <w:jc w:val="both"/>
        <w:rPr>
          <w:rFonts w:ascii="Verdana" w:hAnsi="Verdana" w:cs="Arial"/>
          <w:sz w:val="17"/>
          <w:szCs w:val="17"/>
        </w:rPr>
      </w:pPr>
      <w:r w:rsidRPr="00107B4D">
        <w:rPr>
          <w:rFonts w:ascii="Verdana" w:hAnsi="Verdana" w:cs="Arial"/>
          <w:sz w:val="17"/>
          <w:szCs w:val="17"/>
        </w:rPr>
        <w:t>Os dividendos de instrumentos de capital são reconhecidos em resultados quando for atribuído o direito da Sociedade ao seu recebimento em “Outros rendimentos e ganhos”.</w:t>
      </w:r>
    </w:p>
    <w:p w14:paraId="5C15F054" w14:textId="77777777" w:rsidR="00C82F0D" w:rsidRPr="00107B4D" w:rsidRDefault="00C82F0D" w:rsidP="00583743">
      <w:pPr>
        <w:ind w:left="2268"/>
        <w:jc w:val="both"/>
        <w:rPr>
          <w:rFonts w:ascii="Verdana" w:hAnsi="Verdana" w:cs="Arial"/>
          <w:sz w:val="17"/>
          <w:szCs w:val="17"/>
        </w:rPr>
      </w:pPr>
    </w:p>
    <w:p w14:paraId="50B1A5AD" w14:textId="77777777" w:rsidR="00C82F0D" w:rsidRDefault="00C82F0D" w:rsidP="002B4F29">
      <w:pPr>
        <w:ind w:left="2268"/>
        <w:jc w:val="both"/>
        <w:rPr>
          <w:rFonts w:ascii="Verdana" w:hAnsi="Verdana" w:cs="Arial"/>
          <w:sz w:val="17"/>
          <w:szCs w:val="17"/>
        </w:rPr>
      </w:pPr>
      <w:r w:rsidRPr="00107B4D">
        <w:rPr>
          <w:rFonts w:ascii="Verdana" w:hAnsi="Verdana" w:cs="Arial"/>
          <w:sz w:val="17"/>
          <w:szCs w:val="17"/>
        </w:rPr>
        <w:t xml:space="preserve">Não são reconhecidas perdas de imparidade para instrumentos de capital ao justo valor através de outro rendimento integral, sendo os respetivos ganhos ou perdas acumuladas registadas em variações de justo valor transferidos para resultados transitados no momento do seu </w:t>
      </w:r>
      <w:proofErr w:type="spellStart"/>
      <w:r w:rsidRPr="00107B4D">
        <w:rPr>
          <w:rFonts w:ascii="Verdana" w:hAnsi="Verdana" w:cs="Arial"/>
          <w:sz w:val="17"/>
          <w:szCs w:val="17"/>
        </w:rPr>
        <w:t>desreconhecimento</w:t>
      </w:r>
      <w:proofErr w:type="spellEnd"/>
      <w:r w:rsidRPr="00107B4D">
        <w:rPr>
          <w:rFonts w:ascii="Verdana" w:hAnsi="Verdana" w:cs="Arial"/>
          <w:sz w:val="17"/>
          <w:szCs w:val="17"/>
        </w:rPr>
        <w:t>.</w:t>
      </w:r>
    </w:p>
    <w:p w14:paraId="4A2DAB8C" w14:textId="77777777" w:rsidR="00C82F0D" w:rsidRPr="00107B4D" w:rsidRDefault="00C82F0D" w:rsidP="00583743">
      <w:pPr>
        <w:ind w:left="2268"/>
        <w:jc w:val="both"/>
        <w:rPr>
          <w:rFonts w:ascii="Verdana" w:hAnsi="Verdana" w:cs="Arial"/>
          <w:sz w:val="17"/>
          <w:szCs w:val="17"/>
          <w:u w:val="single"/>
        </w:rPr>
      </w:pPr>
    </w:p>
    <w:p w14:paraId="551B018F" w14:textId="77777777" w:rsidR="00C82F0D" w:rsidRPr="00107B4D" w:rsidRDefault="00C82F0D" w:rsidP="00583743">
      <w:pPr>
        <w:ind w:left="2268"/>
        <w:jc w:val="both"/>
        <w:rPr>
          <w:rFonts w:ascii="Verdana" w:hAnsi="Verdana" w:cs="Arial"/>
          <w:sz w:val="17"/>
          <w:szCs w:val="17"/>
          <w:u w:val="single"/>
        </w:rPr>
      </w:pPr>
    </w:p>
    <w:p w14:paraId="0817B3C7" w14:textId="77777777" w:rsidR="00C82F0D" w:rsidRPr="00107B4D" w:rsidRDefault="00C82F0D" w:rsidP="00D84952">
      <w:pPr>
        <w:pStyle w:val="PargrafodaLista"/>
        <w:numPr>
          <w:ilvl w:val="0"/>
          <w:numId w:val="7"/>
        </w:numPr>
        <w:ind w:left="2268" w:hanging="425"/>
        <w:jc w:val="both"/>
        <w:rPr>
          <w:rFonts w:ascii="Verdana" w:hAnsi="Verdana" w:cs="Arial"/>
          <w:sz w:val="17"/>
          <w:szCs w:val="17"/>
        </w:rPr>
      </w:pPr>
      <w:r w:rsidRPr="00107B4D">
        <w:rPr>
          <w:rFonts w:ascii="Verdana" w:hAnsi="Verdana" w:cs="Arial"/>
          <w:sz w:val="17"/>
          <w:szCs w:val="17"/>
          <w:u w:val="single"/>
        </w:rPr>
        <w:t>Ativos financeiros ao justo valor através de resultados</w:t>
      </w:r>
      <w:r w:rsidRPr="00107B4D">
        <w:rPr>
          <w:rFonts w:ascii="Verdana" w:hAnsi="Verdana" w:cs="Arial"/>
          <w:sz w:val="17"/>
          <w:szCs w:val="17"/>
        </w:rPr>
        <w:t>:</w:t>
      </w:r>
    </w:p>
    <w:p w14:paraId="10589131" w14:textId="77777777" w:rsidR="00C82F0D" w:rsidRPr="00107B4D" w:rsidRDefault="00C82F0D" w:rsidP="008E1070">
      <w:pPr>
        <w:pStyle w:val="PargrafodaLista"/>
        <w:ind w:left="2268"/>
        <w:jc w:val="both"/>
        <w:rPr>
          <w:rFonts w:ascii="Verdana" w:hAnsi="Verdana" w:cs="Arial"/>
          <w:sz w:val="17"/>
          <w:szCs w:val="17"/>
          <w:u w:val="single"/>
        </w:rPr>
      </w:pPr>
    </w:p>
    <w:p w14:paraId="30C6CB9C" w14:textId="77777777" w:rsidR="00C82F0D" w:rsidRPr="00107B4D" w:rsidRDefault="00C82F0D" w:rsidP="008E1070">
      <w:pPr>
        <w:pStyle w:val="PargrafodaLista"/>
        <w:ind w:left="2268"/>
        <w:jc w:val="both"/>
        <w:rPr>
          <w:rFonts w:ascii="Verdana" w:hAnsi="Verdana" w:cs="Arial"/>
          <w:sz w:val="17"/>
          <w:szCs w:val="17"/>
        </w:rPr>
      </w:pPr>
      <w:r w:rsidRPr="00107B4D">
        <w:rPr>
          <w:rFonts w:ascii="Verdana" w:hAnsi="Verdana" w:cs="Arial"/>
          <w:sz w:val="17"/>
          <w:szCs w:val="17"/>
        </w:rPr>
        <w:t>Um ativo financeiro é classificado na categoria de “Ativos financeiros ao justo valor através de resultados” quando não é elegível para ser mensurado ao custo amortizado ou ao justo valor através de outro rendimento integral, atendendo ao modelo de negócio definido pela Sociedade para a sua gestão ou as características dos seus fluxos de caixa contratuais.</w:t>
      </w:r>
    </w:p>
    <w:p w14:paraId="557DEC19" w14:textId="77777777" w:rsidR="00C82F0D" w:rsidRPr="00107B4D" w:rsidRDefault="00C82F0D" w:rsidP="008E1070">
      <w:pPr>
        <w:pStyle w:val="PargrafodaLista"/>
        <w:ind w:left="2268"/>
        <w:jc w:val="both"/>
        <w:rPr>
          <w:rFonts w:ascii="Verdana" w:hAnsi="Verdana" w:cs="Arial"/>
          <w:sz w:val="17"/>
          <w:szCs w:val="17"/>
        </w:rPr>
      </w:pPr>
    </w:p>
    <w:p w14:paraId="5AD75F69" w14:textId="77777777" w:rsidR="00C82F0D" w:rsidRPr="00107B4D" w:rsidRDefault="00C82F0D" w:rsidP="008E1070">
      <w:pPr>
        <w:pStyle w:val="PargrafodaLista"/>
        <w:ind w:left="2268"/>
        <w:jc w:val="both"/>
        <w:rPr>
          <w:rFonts w:ascii="Verdana" w:hAnsi="Verdana" w:cs="Arial"/>
          <w:sz w:val="17"/>
          <w:szCs w:val="17"/>
        </w:rPr>
      </w:pPr>
      <w:r w:rsidRPr="00107B4D">
        <w:rPr>
          <w:rFonts w:ascii="Verdana" w:hAnsi="Verdana" w:cs="Arial"/>
          <w:sz w:val="17"/>
          <w:szCs w:val="17"/>
        </w:rPr>
        <w:t>Adicionalmente, a Sociedade pode optar por designar um ativo financeiro ao justo valor através de resultados, de forma irrevogável e no momento do reconhecimento inicial, ainda que este cumpra os critérios para ser mensurado ao custo amortizado ou ao justo valor através de outro rendimento integral, se tal eliminar ou reduzir significativamente uma incoerência na mensuração ou no reconhecimento (</w:t>
      </w:r>
      <w:proofErr w:type="spellStart"/>
      <w:r w:rsidRPr="00107B4D">
        <w:rPr>
          <w:rFonts w:ascii="Verdana" w:hAnsi="Verdana" w:cs="Arial"/>
          <w:i/>
          <w:sz w:val="17"/>
          <w:szCs w:val="17"/>
        </w:rPr>
        <w:t>accounting</w:t>
      </w:r>
      <w:proofErr w:type="spellEnd"/>
      <w:r w:rsidRPr="00107B4D">
        <w:rPr>
          <w:rFonts w:ascii="Verdana" w:hAnsi="Verdana" w:cs="Arial"/>
          <w:i/>
          <w:sz w:val="17"/>
          <w:szCs w:val="17"/>
        </w:rPr>
        <w:t xml:space="preserve"> </w:t>
      </w:r>
      <w:proofErr w:type="spellStart"/>
      <w:r w:rsidRPr="00107B4D">
        <w:rPr>
          <w:rFonts w:ascii="Verdana" w:hAnsi="Verdana" w:cs="Arial"/>
          <w:i/>
          <w:sz w:val="17"/>
          <w:szCs w:val="17"/>
        </w:rPr>
        <w:t>mismatch</w:t>
      </w:r>
      <w:proofErr w:type="spellEnd"/>
      <w:r w:rsidRPr="00107B4D">
        <w:rPr>
          <w:rFonts w:ascii="Verdana" w:hAnsi="Verdana" w:cs="Arial"/>
          <w:sz w:val="17"/>
          <w:szCs w:val="17"/>
        </w:rPr>
        <w:t>), que de outra forma resultaria da mensuração de ativos ou passivos ou do reconhecimento de ganhos e perdas sobre os mesmos em diferentes bases.</w:t>
      </w:r>
    </w:p>
    <w:p w14:paraId="1374214E" w14:textId="77777777" w:rsidR="00C82F0D" w:rsidRPr="00107B4D" w:rsidRDefault="00C82F0D">
      <w:pPr>
        <w:rPr>
          <w:rFonts w:ascii="Verdana" w:hAnsi="Verdana" w:cs="Arial"/>
          <w:sz w:val="17"/>
          <w:szCs w:val="17"/>
        </w:rPr>
      </w:pPr>
    </w:p>
    <w:p w14:paraId="692E5EDD" w14:textId="77777777" w:rsidR="00C82F0D" w:rsidRPr="00107B4D" w:rsidRDefault="00C82F0D" w:rsidP="008E1070">
      <w:pPr>
        <w:pStyle w:val="PargrafodaLista"/>
        <w:ind w:left="2268"/>
        <w:jc w:val="both"/>
        <w:rPr>
          <w:rFonts w:ascii="Verdana" w:hAnsi="Verdana" w:cs="Arial"/>
          <w:sz w:val="17"/>
          <w:szCs w:val="17"/>
        </w:rPr>
      </w:pPr>
      <w:r w:rsidRPr="00107B4D">
        <w:rPr>
          <w:rFonts w:ascii="Verdana" w:hAnsi="Verdana" w:cs="Arial"/>
          <w:sz w:val="17"/>
          <w:szCs w:val="17"/>
        </w:rPr>
        <w:t xml:space="preserve">A categoria “ativos financeiros ao justo valor através de resultados” encontra-se segregada pelas seguintes </w:t>
      </w:r>
      <w:proofErr w:type="spellStart"/>
      <w:r w:rsidRPr="00107B4D">
        <w:rPr>
          <w:rFonts w:ascii="Verdana" w:hAnsi="Verdana" w:cs="Arial"/>
          <w:sz w:val="17"/>
          <w:szCs w:val="17"/>
        </w:rPr>
        <w:t>sub-rubricas</w:t>
      </w:r>
      <w:proofErr w:type="spellEnd"/>
      <w:r w:rsidRPr="00107B4D">
        <w:rPr>
          <w:rFonts w:ascii="Verdana" w:hAnsi="Verdana" w:cs="Arial"/>
          <w:sz w:val="17"/>
          <w:szCs w:val="17"/>
        </w:rPr>
        <w:t>:</w:t>
      </w:r>
    </w:p>
    <w:p w14:paraId="32FA2099" w14:textId="77777777" w:rsidR="00C82F0D" w:rsidRPr="00107B4D" w:rsidRDefault="00C82F0D" w:rsidP="00633A3B">
      <w:pPr>
        <w:ind w:left="1843"/>
        <w:jc w:val="both"/>
        <w:rPr>
          <w:rFonts w:ascii="Verdana" w:hAnsi="Verdana"/>
          <w:sz w:val="17"/>
          <w:szCs w:val="17"/>
        </w:rPr>
      </w:pPr>
    </w:p>
    <w:p w14:paraId="40C15F08" w14:textId="77777777" w:rsidR="00C82F0D" w:rsidRPr="00107B4D" w:rsidRDefault="00C82F0D" w:rsidP="00D84952">
      <w:pPr>
        <w:pStyle w:val="PargrafodaLista"/>
        <w:numPr>
          <w:ilvl w:val="0"/>
          <w:numId w:val="10"/>
        </w:numPr>
        <w:ind w:hanging="295"/>
        <w:jc w:val="both"/>
        <w:rPr>
          <w:rFonts w:ascii="Verdana" w:hAnsi="Verdana" w:cs="Arial"/>
          <w:sz w:val="17"/>
          <w:szCs w:val="17"/>
        </w:rPr>
      </w:pPr>
      <w:r w:rsidRPr="00107B4D">
        <w:rPr>
          <w:rFonts w:ascii="Verdana" w:hAnsi="Verdana" w:cs="Arial"/>
          <w:sz w:val="17"/>
          <w:szCs w:val="17"/>
        </w:rPr>
        <w:t>Ativos financeiros detidos para negociação</w:t>
      </w:r>
    </w:p>
    <w:p w14:paraId="55677A64" w14:textId="77777777" w:rsidR="00C82F0D" w:rsidRPr="00107B4D" w:rsidRDefault="00C82F0D" w:rsidP="008E1070">
      <w:pPr>
        <w:ind w:left="1843" w:hanging="295"/>
        <w:jc w:val="both"/>
        <w:rPr>
          <w:rFonts w:ascii="Verdana" w:hAnsi="Verdana" w:cs="Arial"/>
          <w:sz w:val="17"/>
          <w:szCs w:val="17"/>
        </w:rPr>
      </w:pPr>
    </w:p>
    <w:p w14:paraId="7DCF28EA" w14:textId="77777777" w:rsidR="00C82F0D" w:rsidRPr="00107B4D" w:rsidRDefault="00C82F0D" w:rsidP="008E1070">
      <w:pPr>
        <w:pStyle w:val="PargrafodaLista"/>
        <w:ind w:left="2563"/>
        <w:jc w:val="both"/>
        <w:rPr>
          <w:rFonts w:ascii="Verdana" w:hAnsi="Verdana" w:cs="Arial"/>
          <w:sz w:val="17"/>
          <w:szCs w:val="17"/>
        </w:rPr>
      </w:pPr>
      <w:r w:rsidRPr="00107B4D">
        <w:rPr>
          <w:rFonts w:ascii="Verdana" w:hAnsi="Verdana" w:cs="Arial"/>
          <w:sz w:val="17"/>
          <w:szCs w:val="17"/>
        </w:rPr>
        <w:t>Os ativos financeiros classificados nesta rubrica são adquiridos com o objetivo de gerar valias no curto prazo ou enquadram-se na definição de instrumento financeiro derivado.</w:t>
      </w:r>
    </w:p>
    <w:p w14:paraId="0F618A01" w14:textId="77777777" w:rsidR="00C82F0D" w:rsidRPr="00107B4D" w:rsidRDefault="00C82F0D" w:rsidP="008E1070">
      <w:pPr>
        <w:ind w:left="1843" w:hanging="295"/>
        <w:jc w:val="both"/>
        <w:rPr>
          <w:rFonts w:ascii="Verdana" w:hAnsi="Verdana" w:cs="Arial"/>
          <w:sz w:val="17"/>
          <w:szCs w:val="17"/>
        </w:rPr>
      </w:pPr>
    </w:p>
    <w:p w14:paraId="2BF7F88B" w14:textId="77777777" w:rsidR="00C82F0D" w:rsidRPr="00107B4D" w:rsidRDefault="00C82F0D" w:rsidP="00D84952">
      <w:pPr>
        <w:pStyle w:val="PargrafodaLista"/>
        <w:numPr>
          <w:ilvl w:val="0"/>
          <w:numId w:val="10"/>
        </w:numPr>
        <w:ind w:hanging="295"/>
        <w:jc w:val="both"/>
        <w:rPr>
          <w:rFonts w:ascii="Verdana" w:hAnsi="Verdana" w:cs="Arial"/>
          <w:sz w:val="17"/>
          <w:szCs w:val="17"/>
        </w:rPr>
      </w:pPr>
      <w:r w:rsidRPr="00107B4D">
        <w:rPr>
          <w:rFonts w:ascii="Verdana" w:hAnsi="Verdana" w:cs="Arial"/>
          <w:sz w:val="17"/>
          <w:szCs w:val="17"/>
        </w:rPr>
        <w:t>Ativos financeiros não detidos para negociação obrigatoriamente ao justo valor através de resultados</w:t>
      </w:r>
    </w:p>
    <w:p w14:paraId="6306BE77" w14:textId="77777777" w:rsidR="00C82F0D" w:rsidRPr="00107B4D" w:rsidRDefault="00C82F0D" w:rsidP="00633A3B">
      <w:pPr>
        <w:ind w:left="1843"/>
        <w:jc w:val="both"/>
        <w:rPr>
          <w:rFonts w:ascii="Verdana" w:hAnsi="Verdana"/>
          <w:sz w:val="17"/>
          <w:szCs w:val="17"/>
        </w:rPr>
      </w:pPr>
    </w:p>
    <w:p w14:paraId="14C5D07F" w14:textId="77777777" w:rsidR="00C82F0D" w:rsidRPr="00107B4D" w:rsidRDefault="00C82F0D" w:rsidP="008E1070">
      <w:pPr>
        <w:ind w:left="2552"/>
        <w:jc w:val="both"/>
        <w:rPr>
          <w:rFonts w:ascii="Verdana" w:hAnsi="Verdana" w:cs="Arial"/>
          <w:sz w:val="17"/>
          <w:szCs w:val="17"/>
        </w:rPr>
      </w:pPr>
      <w:r w:rsidRPr="00107B4D">
        <w:rPr>
          <w:rFonts w:ascii="Verdana" w:hAnsi="Verdana" w:cs="Arial"/>
          <w:sz w:val="17"/>
          <w:szCs w:val="17"/>
        </w:rPr>
        <w:t>Os ativos financeiros classificados nesta rubrica correspondem aos instrumentos de capital, que não se classifiquem como detidos para negociação e instrumentos de dívida cujos fluxos de caixa contratuais não representam somente o reembolso de capital e juros sobre o capital em dívida.</w:t>
      </w:r>
    </w:p>
    <w:p w14:paraId="03DC55E2" w14:textId="77777777" w:rsidR="00C82F0D" w:rsidRPr="00107B4D" w:rsidRDefault="00C82F0D" w:rsidP="008E1070">
      <w:pPr>
        <w:ind w:left="2552"/>
        <w:jc w:val="both"/>
        <w:rPr>
          <w:rFonts w:ascii="Verdana" w:hAnsi="Verdana" w:cs="Arial"/>
          <w:sz w:val="17"/>
          <w:szCs w:val="17"/>
        </w:rPr>
      </w:pPr>
    </w:p>
    <w:p w14:paraId="36D765FE" w14:textId="77777777" w:rsidR="00C82F0D" w:rsidRPr="00107B4D" w:rsidRDefault="00C82F0D" w:rsidP="008E1070">
      <w:pPr>
        <w:ind w:left="2268"/>
        <w:jc w:val="both"/>
        <w:rPr>
          <w:rFonts w:ascii="Verdana" w:hAnsi="Verdana" w:cs="Arial"/>
          <w:i/>
          <w:sz w:val="17"/>
          <w:szCs w:val="17"/>
        </w:rPr>
      </w:pPr>
      <w:r w:rsidRPr="00107B4D">
        <w:rPr>
          <w:rFonts w:ascii="Verdana" w:hAnsi="Verdana" w:cs="Arial"/>
          <w:i/>
          <w:sz w:val="17"/>
          <w:szCs w:val="17"/>
        </w:rPr>
        <w:t xml:space="preserve">Reconhecimento inicial e mensuração subsequente </w:t>
      </w:r>
    </w:p>
    <w:p w14:paraId="00707F2B" w14:textId="77777777" w:rsidR="00C82F0D" w:rsidRPr="00107B4D" w:rsidRDefault="00C82F0D" w:rsidP="008E1070">
      <w:pPr>
        <w:ind w:left="2268"/>
        <w:jc w:val="both"/>
        <w:rPr>
          <w:rFonts w:ascii="Verdana" w:hAnsi="Verdana" w:cs="Arial"/>
          <w:sz w:val="17"/>
          <w:szCs w:val="17"/>
        </w:rPr>
      </w:pPr>
    </w:p>
    <w:p w14:paraId="76CB4971" w14:textId="77777777" w:rsidR="00C82F0D" w:rsidRPr="00107B4D" w:rsidRDefault="00C82F0D" w:rsidP="008E1070">
      <w:pPr>
        <w:ind w:left="2268"/>
        <w:jc w:val="both"/>
        <w:rPr>
          <w:rFonts w:ascii="Verdana" w:hAnsi="Verdana" w:cs="Arial"/>
          <w:sz w:val="17"/>
          <w:szCs w:val="17"/>
        </w:rPr>
      </w:pPr>
      <w:r w:rsidRPr="00107B4D">
        <w:rPr>
          <w:rFonts w:ascii="Verdana" w:hAnsi="Verdana" w:cs="Arial"/>
          <w:sz w:val="17"/>
          <w:szCs w:val="17"/>
        </w:rPr>
        <w:t>Os ativos financeiros ao justo valor através de resultados são reconhecidos inicialmente ao seu justo valor, com os custos ou proveitos associados às transações reconhecidos em resultados no momento inicial. As variações subsequentes no justo valor destes ativos financeiros, bem como os ganhos ou perdas geradas no momento da sua alienação são reconhecidas em resultados.</w:t>
      </w:r>
    </w:p>
    <w:p w14:paraId="6FCD766D" w14:textId="77777777" w:rsidR="00C82F0D" w:rsidRPr="00107B4D" w:rsidRDefault="00C82F0D" w:rsidP="008E1070">
      <w:pPr>
        <w:ind w:left="2268"/>
        <w:jc w:val="both"/>
        <w:rPr>
          <w:rFonts w:ascii="Verdana" w:hAnsi="Verdana" w:cs="Arial"/>
          <w:sz w:val="17"/>
          <w:szCs w:val="17"/>
        </w:rPr>
      </w:pPr>
    </w:p>
    <w:p w14:paraId="38451B13" w14:textId="77777777" w:rsidR="00C82F0D" w:rsidRPr="00107B4D" w:rsidRDefault="00C82F0D" w:rsidP="008E1070">
      <w:pPr>
        <w:ind w:left="2268"/>
        <w:jc w:val="both"/>
        <w:rPr>
          <w:rFonts w:ascii="Verdana" w:hAnsi="Verdana" w:cs="Arial"/>
          <w:sz w:val="17"/>
          <w:szCs w:val="17"/>
        </w:rPr>
      </w:pPr>
      <w:r w:rsidRPr="00107B4D">
        <w:rPr>
          <w:rFonts w:ascii="Verdana" w:hAnsi="Verdana" w:cs="Arial"/>
          <w:sz w:val="17"/>
          <w:szCs w:val="17"/>
        </w:rPr>
        <w:t>Os dividendos de instrumentos de capital são reconhecidos em resultados quando for atribuído o direito da Sociedade ao seu recebimento em “Outros rendimentos e ganhos”</w:t>
      </w:r>
    </w:p>
    <w:p w14:paraId="4E2C7BE5" w14:textId="77777777" w:rsidR="00C82F0D" w:rsidRDefault="00C82F0D" w:rsidP="008E1070">
      <w:pPr>
        <w:ind w:left="2268"/>
        <w:jc w:val="both"/>
        <w:rPr>
          <w:rFonts w:ascii="Verdana" w:hAnsi="Verdana" w:cs="Arial"/>
          <w:sz w:val="17"/>
          <w:szCs w:val="17"/>
        </w:rPr>
      </w:pPr>
    </w:p>
    <w:p w14:paraId="1B99F1C9" w14:textId="77777777" w:rsidR="00C82F0D" w:rsidRDefault="00C82F0D" w:rsidP="008E1070">
      <w:pPr>
        <w:ind w:left="2268"/>
        <w:jc w:val="both"/>
        <w:rPr>
          <w:rFonts w:ascii="Verdana" w:hAnsi="Verdana" w:cs="Arial"/>
          <w:sz w:val="17"/>
          <w:szCs w:val="17"/>
        </w:rPr>
      </w:pPr>
    </w:p>
    <w:p w14:paraId="7BDD6D94" w14:textId="77777777" w:rsidR="00C82F0D" w:rsidRDefault="00C82F0D" w:rsidP="008E1070">
      <w:pPr>
        <w:ind w:left="2268"/>
        <w:jc w:val="both"/>
        <w:rPr>
          <w:rFonts w:ascii="Verdana" w:hAnsi="Verdana" w:cs="Arial"/>
          <w:sz w:val="17"/>
          <w:szCs w:val="17"/>
        </w:rPr>
      </w:pPr>
    </w:p>
    <w:p w14:paraId="78C1C47E" w14:textId="77777777" w:rsidR="00C82F0D" w:rsidRPr="00107B4D" w:rsidRDefault="00C82F0D" w:rsidP="008E1070">
      <w:pPr>
        <w:ind w:left="2268"/>
        <w:jc w:val="both"/>
        <w:rPr>
          <w:rFonts w:ascii="Verdana" w:hAnsi="Verdana" w:cs="Arial"/>
          <w:sz w:val="17"/>
          <w:szCs w:val="17"/>
        </w:rPr>
      </w:pPr>
    </w:p>
    <w:p w14:paraId="3C9C0E2F" w14:textId="77777777" w:rsidR="00C82F0D" w:rsidRPr="00107B4D" w:rsidRDefault="00C82F0D" w:rsidP="008E1070">
      <w:pPr>
        <w:ind w:left="2268"/>
        <w:jc w:val="both"/>
        <w:rPr>
          <w:rFonts w:ascii="Verdana" w:hAnsi="Verdana" w:cs="Arial"/>
          <w:sz w:val="17"/>
          <w:szCs w:val="17"/>
          <w:u w:val="single"/>
        </w:rPr>
      </w:pPr>
      <w:r w:rsidRPr="00107B4D">
        <w:rPr>
          <w:rFonts w:ascii="Verdana" w:hAnsi="Verdana" w:cs="Arial"/>
          <w:sz w:val="17"/>
          <w:szCs w:val="17"/>
          <w:u w:val="single"/>
        </w:rPr>
        <w:lastRenderedPageBreak/>
        <w:t>Justo valor</w:t>
      </w:r>
    </w:p>
    <w:p w14:paraId="49D8F704" w14:textId="77777777" w:rsidR="00C82F0D" w:rsidRPr="00107B4D" w:rsidRDefault="00C82F0D" w:rsidP="008E1070">
      <w:pPr>
        <w:ind w:left="2268"/>
        <w:jc w:val="both"/>
        <w:rPr>
          <w:rFonts w:ascii="Verdana" w:hAnsi="Verdana" w:cs="Arial"/>
          <w:sz w:val="17"/>
          <w:szCs w:val="17"/>
          <w:u w:val="single"/>
        </w:rPr>
      </w:pPr>
    </w:p>
    <w:p w14:paraId="23893B68" w14:textId="77777777" w:rsidR="00C82F0D" w:rsidRPr="00107B4D" w:rsidRDefault="00C82F0D" w:rsidP="008E1070">
      <w:pPr>
        <w:ind w:left="2268"/>
        <w:jc w:val="both"/>
        <w:rPr>
          <w:rFonts w:ascii="Verdana" w:hAnsi="Verdana" w:cs="Arial"/>
          <w:sz w:val="17"/>
          <w:szCs w:val="17"/>
        </w:rPr>
      </w:pPr>
      <w:r w:rsidRPr="00107B4D">
        <w:rPr>
          <w:rFonts w:ascii="Verdana" w:hAnsi="Verdana" w:cs="Arial"/>
          <w:sz w:val="17"/>
          <w:szCs w:val="17"/>
        </w:rPr>
        <w:t>Conforme acima referido, os investimentos registados na categoria de “Ativos financeiros ao justo valor através de resultados” e “Ativos financeiros ao justo valor através de outro rendimento integral” são valorizados pelo justo valor.</w:t>
      </w:r>
    </w:p>
    <w:p w14:paraId="62B8CE49" w14:textId="77777777" w:rsidR="00C82F0D" w:rsidRPr="00107B4D" w:rsidRDefault="00C82F0D" w:rsidP="008E1070">
      <w:pPr>
        <w:ind w:left="2268"/>
        <w:jc w:val="both"/>
        <w:rPr>
          <w:rFonts w:ascii="Verdana" w:hAnsi="Verdana" w:cs="Arial"/>
          <w:sz w:val="17"/>
          <w:szCs w:val="17"/>
        </w:rPr>
      </w:pPr>
    </w:p>
    <w:p w14:paraId="66CEA7A0" w14:textId="77777777" w:rsidR="00C82F0D" w:rsidRDefault="00C82F0D" w:rsidP="002B4F29">
      <w:pPr>
        <w:ind w:left="2268"/>
        <w:jc w:val="both"/>
        <w:rPr>
          <w:rFonts w:ascii="Verdana" w:hAnsi="Verdana" w:cs="Arial"/>
          <w:sz w:val="17"/>
          <w:szCs w:val="17"/>
        </w:rPr>
      </w:pPr>
      <w:r w:rsidRPr="00107B4D">
        <w:rPr>
          <w:rFonts w:ascii="Verdana" w:hAnsi="Verdana" w:cs="Arial"/>
          <w:sz w:val="17"/>
          <w:szCs w:val="17"/>
        </w:rPr>
        <w:t xml:space="preserve">O justo valor de um instrumento financeiro corresponde ao montante pelo qual um ativo ou </w:t>
      </w:r>
      <w:r w:rsidRPr="00107B4D">
        <w:rPr>
          <w:rFonts w:ascii="Verdana" w:hAnsi="Verdana"/>
          <w:sz w:val="17"/>
          <w:szCs w:val="17"/>
        </w:rPr>
        <w:t>passivo</w:t>
      </w:r>
      <w:r w:rsidRPr="00107B4D">
        <w:rPr>
          <w:rFonts w:ascii="Verdana" w:hAnsi="Verdana" w:cs="Arial"/>
          <w:sz w:val="17"/>
          <w:szCs w:val="17"/>
        </w:rPr>
        <w:t xml:space="preserve"> financeiro pode ser vendido ou liquidado entre partes independentes, informadas e interessadas na concretização da transação em condições normais de mercado.</w:t>
      </w:r>
    </w:p>
    <w:p w14:paraId="21018E8D" w14:textId="77777777" w:rsidR="00C82F0D" w:rsidRDefault="00C82F0D" w:rsidP="002B4F29">
      <w:pPr>
        <w:ind w:left="2268"/>
        <w:jc w:val="both"/>
        <w:rPr>
          <w:rFonts w:ascii="Verdana" w:hAnsi="Verdana" w:cs="Arial"/>
          <w:sz w:val="17"/>
          <w:szCs w:val="17"/>
        </w:rPr>
      </w:pPr>
    </w:p>
    <w:p w14:paraId="53C68080" w14:textId="77777777" w:rsidR="00C82F0D" w:rsidRPr="00107B4D" w:rsidRDefault="00C82F0D" w:rsidP="008E1070">
      <w:pPr>
        <w:ind w:left="2268"/>
        <w:jc w:val="both"/>
        <w:rPr>
          <w:rFonts w:ascii="Verdana" w:hAnsi="Verdana" w:cs="Arial"/>
          <w:sz w:val="17"/>
          <w:szCs w:val="17"/>
        </w:rPr>
      </w:pPr>
      <w:r w:rsidRPr="00107B4D">
        <w:rPr>
          <w:rFonts w:ascii="Verdana" w:hAnsi="Verdana" w:cs="Arial"/>
          <w:sz w:val="17"/>
          <w:szCs w:val="17"/>
        </w:rPr>
        <w:t xml:space="preserve">O </w:t>
      </w:r>
      <w:r w:rsidRPr="00107B4D">
        <w:rPr>
          <w:rFonts w:ascii="Verdana" w:hAnsi="Verdana"/>
          <w:sz w:val="17"/>
          <w:szCs w:val="17"/>
        </w:rPr>
        <w:t>justo</w:t>
      </w:r>
      <w:r w:rsidRPr="00107B4D">
        <w:rPr>
          <w:rFonts w:ascii="Verdana" w:hAnsi="Verdana" w:cs="Arial"/>
          <w:sz w:val="17"/>
          <w:szCs w:val="17"/>
        </w:rPr>
        <w:t xml:space="preserve"> valor de investimentos financeiros é determinado com base em:</w:t>
      </w:r>
    </w:p>
    <w:p w14:paraId="013CA112" w14:textId="77777777" w:rsidR="00C82F0D" w:rsidRPr="00107B4D" w:rsidRDefault="00C82F0D" w:rsidP="008E1070">
      <w:pPr>
        <w:ind w:left="2268"/>
        <w:jc w:val="both"/>
        <w:rPr>
          <w:rFonts w:ascii="Verdana" w:hAnsi="Verdana" w:cs="Arial"/>
          <w:sz w:val="17"/>
          <w:szCs w:val="17"/>
        </w:rPr>
      </w:pPr>
    </w:p>
    <w:p w14:paraId="0DFBD89A" w14:textId="77777777" w:rsidR="00C82F0D" w:rsidRPr="00107B4D" w:rsidRDefault="00C82F0D" w:rsidP="00D84952">
      <w:pPr>
        <w:pStyle w:val="PargrafodaLista"/>
        <w:numPr>
          <w:ilvl w:val="0"/>
          <w:numId w:val="11"/>
        </w:numPr>
        <w:ind w:left="2694" w:hanging="426"/>
        <w:jc w:val="both"/>
        <w:rPr>
          <w:rFonts w:ascii="Verdana" w:hAnsi="Verdana" w:cs="Arial"/>
          <w:sz w:val="17"/>
          <w:szCs w:val="17"/>
        </w:rPr>
      </w:pPr>
      <w:r w:rsidRPr="00107B4D">
        <w:rPr>
          <w:rFonts w:ascii="Verdana" w:hAnsi="Verdana" w:cs="Arial"/>
          <w:sz w:val="17"/>
          <w:szCs w:val="17"/>
        </w:rPr>
        <w:t>Cotação de fecho na data de balanço, para instrumentos transacionados em mercados ativos;</w:t>
      </w:r>
    </w:p>
    <w:p w14:paraId="11B1541B" w14:textId="77777777" w:rsidR="00C82F0D" w:rsidRPr="00107B4D" w:rsidRDefault="00C82F0D" w:rsidP="008E1070">
      <w:pPr>
        <w:ind w:left="2694" w:hanging="426"/>
        <w:jc w:val="both"/>
        <w:rPr>
          <w:rFonts w:ascii="Verdana" w:hAnsi="Verdana" w:cs="Arial"/>
          <w:sz w:val="17"/>
          <w:szCs w:val="17"/>
        </w:rPr>
      </w:pPr>
    </w:p>
    <w:p w14:paraId="5AF44BB6" w14:textId="77777777" w:rsidR="00C82F0D" w:rsidRPr="00107B4D" w:rsidRDefault="00C82F0D" w:rsidP="00D84952">
      <w:pPr>
        <w:pStyle w:val="PargrafodaLista"/>
        <w:numPr>
          <w:ilvl w:val="0"/>
          <w:numId w:val="11"/>
        </w:numPr>
        <w:ind w:left="2694" w:hanging="426"/>
        <w:jc w:val="both"/>
        <w:rPr>
          <w:rFonts w:ascii="Verdana" w:hAnsi="Verdana" w:cs="Arial"/>
          <w:sz w:val="17"/>
          <w:szCs w:val="17"/>
        </w:rPr>
      </w:pPr>
      <w:r w:rsidRPr="00107B4D">
        <w:rPr>
          <w:rFonts w:ascii="Verdana" w:hAnsi="Verdana" w:cs="Arial"/>
          <w:sz w:val="17"/>
          <w:szCs w:val="17"/>
        </w:rPr>
        <w:t>Preços (</w:t>
      </w:r>
      <w:proofErr w:type="spellStart"/>
      <w:r w:rsidRPr="00107B4D">
        <w:rPr>
          <w:rFonts w:ascii="Verdana" w:hAnsi="Verdana" w:cs="Arial"/>
          <w:sz w:val="17"/>
          <w:szCs w:val="17"/>
        </w:rPr>
        <w:t>bid</w:t>
      </w:r>
      <w:proofErr w:type="spellEnd"/>
      <w:r w:rsidRPr="00107B4D">
        <w:rPr>
          <w:rFonts w:ascii="Verdana" w:hAnsi="Verdana" w:cs="Arial"/>
          <w:sz w:val="17"/>
          <w:szCs w:val="17"/>
        </w:rPr>
        <w:t xml:space="preserve"> </w:t>
      </w:r>
      <w:proofErr w:type="spellStart"/>
      <w:r w:rsidRPr="00107B4D">
        <w:rPr>
          <w:rFonts w:ascii="Verdana" w:hAnsi="Verdana" w:cs="Arial"/>
          <w:sz w:val="17"/>
          <w:szCs w:val="17"/>
        </w:rPr>
        <w:t>prices</w:t>
      </w:r>
      <w:proofErr w:type="spellEnd"/>
      <w:r w:rsidRPr="00107B4D">
        <w:rPr>
          <w:rFonts w:ascii="Verdana" w:hAnsi="Verdana" w:cs="Arial"/>
          <w:sz w:val="17"/>
          <w:szCs w:val="17"/>
        </w:rPr>
        <w:t>) difundidos por meios de difusão de informação financeira, nomeadamente a Bloomberg e a Reuters incluindo preços de mercado disponíveis em transações recentes;</w:t>
      </w:r>
    </w:p>
    <w:p w14:paraId="69097AA4" w14:textId="77777777" w:rsidR="00C82F0D" w:rsidRPr="00107B4D" w:rsidRDefault="00C82F0D" w:rsidP="008E1070">
      <w:pPr>
        <w:ind w:left="2694" w:hanging="426"/>
        <w:jc w:val="both"/>
        <w:rPr>
          <w:rFonts w:ascii="Verdana" w:hAnsi="Verdana" w:cs="Arial"/>
          <w:sz w:val="17"/>
          <w:szCs w:val="17"/>
        </w:rPr>
      </w:pPr>
    </w:p>
    <w:p w14:paraId="2BB2CEEE" w14:textId="77777777" w:rsidR="00C82F0D" w:rsidRPr="00107B4D" w:rsidRDefault="00C82F0D" w:rsidP="00D84952">
      <w:pPr>
        <w:pStyle w:val="PargrafodaLista"/>
        <w:numPr>
          <w:ilvl w:val="0"/>
          <w:numId w:val="11"/>
        </w:numPr>
        <w:ind w:left="2694" w:hanging="426"/>
        <w:jc w:val="both"/>
        <w:rPr>
          <w:rFonts w:ascii="Verdana" w:hAnsi="Verdana" w:cs="Arial"/>
          <w:sz w:val="17"/>
          <w:szCs w:val="17"/>
        </w:rPr>
      </w:pPr>
      <w:r w:rsidRPr="00107B4D">
        <w:rPr>
          <w:rFonts w:ascii="Verdana" w:hAnsi="Verdana" w:cs="Arial"/>
          <w:sz w:val="17"/>
          <w:szCs w:val="17"/>
        </w:rPr>
        <w:t>Preços (</w:t>
      </w:r>
      <w:proofErr w:type="spellStart"/>
      <w:r w:rsidRPr="00107B4D">
        <w:rPr>
          <w:rFonts w:ascii="Verdana" w:hAnsi="Verdana" w:cs="Arial"/>
          <w:sz w:val="17"/>
          <w:szCs w:val="17"/>
        </w:rPr>
        <w:t>bid</w:t>
      </w:r>
      <w:proofErr w:type="spellEnd"/>
      <w:r w:rsidRPr="00107B4D">
        <w:rPr>
          <w:rFonts w:ascii="Verdana" w:hAnsi="Verdana" w:cs="Arial"/>
          <w:sz w:val="17"/>
          <w:szCs w:val="17"/>
        </w:rPr>
        <w:t xml:space="preserve"> </w:t>
      </w:r>
      <w:proofErr w:type="spellStart"/>
      <w:r w:rsidRPr="00107B4D">
        <w:rPr>
          <w:rFonts w:ascii="Verdana" w:hAnsi="Verdana" w:cs="Arial"/>
          <w:sz w:val="17"/>
          <w:szCs w:val="17"/>
        </w:rPr>
        <w:t>prices</w:t>
      </w:r>
      <w:proofErr w:type="spellEnd"/>
      <w:r w:rsidRPr="00107B4D">
        <w:rPr>
          <w:rFonts w:ascii="Verdana" w:hAnsi="Verdana" w:cs="Arial"/>
          <w:sz w:val="17"/>
          <w:szCs w:val="17"/>
        </w:rPr>
        <w:t>) indicativos divulgados por terceiros, baseados em modelos teóricos; e</w:t>
      </w:r>
    </w:p>
    <w:p w14:paraId="05B942C7" w14:textId="77777777" w:rsidR="00C82F0D" w:rsidRPr="00107B4D" w:rsidRDefault="00C82F0D" w:rsidP="008E1070">
      <w:pPr>
        <w:ind w:left="2694" w:hanging="426"/>
        <w:jc w:val="both"/>
        <w:rPr>
          <w:rFonts w:ascii="Verdana" w:hAnsi="Verdana" w:cs="Arial"/>
          <w:sz w:val="17"/>
          <w:szCs w:val="17"/>
        </w:rPr>
      </w:pPr>
    </w:p>
    <w:p w14:paraId="2F437641" w14:textId="77777777" w:rsidR="00C82F0D" w:rsidRPr="00107B4D" w:rsidRDefault="00C82F0D" w:rsidP="00D84952">
      <w:pPr>
        <w:pStyle w:val="PargrafodaLista"/>
        <w:numPr>
          <w:ilvl w:val="0"/>
          <w:numId w:val="11"/>
        </w:numPr>
        <w:ind w:left="2694" w:hanging="426"/>
        <w:jc w:val="both"/>
        <w:rPr>
          <w:rFonts w:ascii="Verdana" w:hAnsi="Verdana" w:cs="Arial"/>
          <w:sz w:val="17"/>
          <w:szCs w:val="17"/>
        </w:rPr>
      </w:pPr>
      <w:r w:rsidRPr="00107B4D">
        <w:rPr>
          <w:rFonts w:ascii="Verdana" w:hAnsi="Verdana" w:cs="Arial"/>
          <w:sz w:val="17"/>
          <w:szCs w:val="17"/>
        </w:rPr>
        <w:t>Valor patrimonial das unidades de participação divulgado pela respetiva sociedade gestora.</w:t>
      </w:r>
    </w:p>
    <w:p w14:paraId="4A1C6AAA" w14:textId="77777777" w:rsidR="00C82F0D" w:rsidRPr="00107B4D" w:rsidRDefault="00C82F0D">
      <w:pPr>
        <w:rPr>
          <w:rFonts w:ascii="Verdana" w:hAnsi="Verdana" w:cs="Arial"/>
          <w:sz w:val="17"/>
          <w:szCs w:val="17"/>
          <w:u w:val="single"/>
        </w:rPr>
      </w:pPr>
    </w:p>
    <w:p w14:paraId="3F34C770" w14:textId="77777777" w:rsidR="00C82F0D" w:rsidRPr="00107B4D" w:rsidRDefault="00C82F0D" w:rsidP="00D84952">
      <w:pPr>
        <w:pStyle w:val="PargrafodaLista"/>
        <w:numPr>
          <w:ilvl w:val="0"/>
          <w:numId w:val="5"/>
        </w:numPr>
        <w:ind w:left="1843" w:hanging="425"/>
        <w:jc w:val="both"/>
        <w:rPr>
          <w:rFonts w:ascii="Verdana" w:hAnsi="Verdana" w:cs="Arial"/>
          <w:sz w:val="17"/>
          <w:szCs w:val="17"/>
          <w:u w:val="single"/>
        </w:rPr>
      </w:pPr>
      <w:r w:rsidRPr="00107B4D">
        <w:rPr>
          <w:rFonts w:ascii="Verdana" w:hAnsi="Verdana" w:cs="Arial"/>
          <w:sz w:val="17"/>
          <w:szCs w:val="17"/>
          <w:u w:val="single"/>
        </w:rPr>
        <w:t>Imparidade</w:t>
      </w:r>
    </w:p>
    <w:p w14:paraId="66D3D8B2" w14:textId="77777777" w:rsidR="00C82F0D" w:rsidRPr="00107B4D" w:rsidRDefault="00C82F0D" w:rsidP="008E1070">
      <w:pPr>
        <w:ind w:left="2268"/>
        <w:jc w:val="both"/>
        <w:rPr>
          <w:rFonts w:ascii="Verdana" w:hAnsi="Verdana" w:cs="Arial"/>
          <w:sz w:val="17"/>
          <w:szCs w:val="17"/>
        </w:rPr>
      </w:pPr>
    </w:p>
    <w:p w14:paraId="682D09AA" w14:textId="77777777" w:rsidR="00C82F0D" w:rsidRPr="00107B4D" w:rsidRDefault="00C82F0D" w:rsidP="008E1070">
      <w:pPr>
        <w:ind w:left="1843"/>
        <w:jc w:val="both"/>
        <w:rPr>
          <w:rFonts w:ascii="Verdana" w:hAnsi="Verdana" w:cs="Arial"/>
          <w:sz w:val="17"/>
          <w:szCs w:val="17"/>
        </w:rPr>
      </w:pPr>
      <w:r w:rsidRPr="00107B4D">
        <w:rPr>
          <w:rFonts w:ascii="Verdana" w:hAnsi="Verdana" w:cs="Arial"/>
          <w:sz w:val="17"/>
          <w:szCs w:val="17"/>
        </w:rPr>
        <w:t>A imparidade constituída para as rubricas “Outras contas a receber” e “Adiantamentos a fornecedores” é apurada da seguinte forma:</w:t>
      </w:r>
    </w:p>
    <w:p w14:paraId="22D8B945" w14:textId="77777777" w:rsidR="00C82F0D" w:rsidRPr="00107B4D" w:rsidRDefault="00C82F0D" w:rsidP="008E1070">
      <w:pPr>
        <w:ind w:left="1843"/>
        <w:jc w:val="both"/>
        <w:rPr>
          <w:rFonts w:ascii="Verdana" w:hAnsi="Verdana" w:cs="Arial"/>
          <w:sz w:val="17"/>
          <w:szCs w:val="17"/>
        </w:rPr>
      </w:pPr>
    </w:p>
    <w:p w14:paraId="6F483EDD" w14:textId="77777777" w:rsidR="00C82F0D" w:rsidRPr="00107B4D" w:rsidRDefault="00C82F0D" w:rsidP="00D84952">
      <w:pPr>
        <w:pStyle w:val="PargrafodaLista"/>
        <w:numPr>
          <w:ilvl w:val="0"/>
          <w:numId w:val="12"/>
        </w:numPr>
        <w:ind w:left="2268" w:hanging="425"/>
        <w:jc w:val="both"/>
        <w:rPr>
          <w:rFonts w:ascii="Verdana" w:hAnsi="Verdana" w:cs="Arial"/>
          <w:sz w:val="17"/>
          <w:szCs w:val="17"/>
        </w:rPr>
      </w:pPr>
      <w:r w:rsidRPr="00107B4D">
        <w:rPr>
          <w:rFonts w:ascii="Verdana" w:hAnsi="Verdana" w:cs="Arial"/>
          <w:sz w:val="17"/>
          <w:szCs w:val="17"/>
        </w:rPr>
        <w:t xml:space="preserve">Análise individual de todos os devedores com responsabilidades superiores a 250 </w:t>
      </w:r>
      <w:proofErr w:type="spellStart"/>
      <w:proofErr w:type="gramStart"/>
      <w:r w:rsidRPr="00107B4D">
        <w:rPr>
          <w:rFonts w:ascii="Verdana" w:hAnsi="Verdana" w:cs="Arial"/>
          <w:sz w:val="17"/>
          <w:szCs w:val="17"/>
        </w:rPr>
        <w:t>m.euros</w:t>
      </w:r>
      <w:proofErr w:type="spellEnd"/>
      <w:proofErr w:type="gramEnd"/>
      <w:r w:rsidRPr="00107B4D">
        <w:rPr>
          <w:rFonts w:ascii="Verdana" w:hAnsi="Verdana" w:cs="Arial"/>
          <w:sz w:val="17"/>
          <w:szCs w:val="17"/>
        </w:rPr>
        <w:t xml:space="preserve"> – A Sociedade efetua uma análise específica com recurso a fichas e questionários de imparidade preenchidos pelas áreas responsáveis pelo acompanhamento dos créditos, tendo por base uma metodologia de análise interna, a qual considera entre outros aspetos os colaterais das operações.</w:t>
      </w:r>
    </w:p>
    <w:p w14:paraId="41A0AA55" w14:textId="77777777" w:rsidR="00C82F0D" w:rsidRPr="00107B4D" w:rsidRDefault="00C82F0D" w:rsidP="008E1070">
      <w:pPr>
        <w:ind w:left="2268" w:hanging="425"/>
        <w:jc w:val="both"/>
        <w:rPr>
          <w:rFonts w:ascii="Verdana" w:hAnsi="Verdana" w:cs="Arial"/>
          <w:sz w:val="17"/>
          <w:szCs w:val="17"/>
        </w:rPr>
      </w:pPr>
    </w:p>
    <w:p w14:paraId="4BB35712" w14:textId="77777777" w:rsidR="00C82F0D" w:rsidRPr="00107B4D" w:rsidRDefault="00C82F0D" w:rsidP="00D84952">
      <w:pPr>
        <w:pStyle w:val="PargrafodaLista"/>
        <w:numPr>
          <w:ilvl w:val="0"/>
          <w:numId w:val="12"/>
        </w:numPr>
        <w:ind w:left="2268" w:hanging="425"/>
        <w:jc w:val="both"/>
        <w:rPr>
          <w:rFonts w:ascii="Verdana" w:hAnsi="Verdana" w:cs="Arial"/>
          <w:sz w:val="17"/>
          <w:szCs w:val="17"/>
        </w:rPr>
      </w:pPr>
      <w:r w:rsidRPr="00107B4D">
        <w:rPr>
          <w:rFonts w:ascii="Verdana" w:hAnsi="Verdana" w:cs="Arial"/>
          <w:sz w:val="17"/>
          <w:szCs w:val="17"/>
        </w:rPr>
        <w:t>Para o universo dos devedores não sujeitos à análise individual, foi efetuada análise coletiva de crédito, atendendo ao cumprimento do plano de reembolso definido e existência de reestruturações de contratos e a antiguidade dos saldos em aberto sem movimentos e sem garantias reais.</w:t>
      </w:r>
    </w:p>
    <w:p w14:paraId="3A201F5D" w14:textId="77777777" w:rsidR="00C82F0D" w:rsidRPr="00107B4D" w:rsidRDefault="00C82F0D" w:rsidP="008E1070">
      <w:pPr>
        <w:ind w:left="1843"/>
        <w:jc w:val="both"/>
        <w:rPr>
          <w:rFonts w:ascii="Verdana" w:hAnsi="Verdana" w:cs="Arial"/>
          <w:sz w:val="17"/>
          <w:szCs w:val="17"/>
        </w:rPr>
      </w:pPr>
    </w:p>
    <w:p w14:paraId="7D5FF3BF" w14:textId="77777777" w:rsidR="00C82F0D" w:rsidRPr="00107B4D" w:rsidRDefault="00C82F0D" w:rsidP="008E1070">
      <w:pPr>
        <w:ind w:left="1843"/>
        <w:jc w:val="both"/>
        <w:rPr>
          <w:rFonts w:ascii="Verdana" w:hAnsi="Verdana" w:cs="Arial"/>
          <w:sz w:val="17"/>
          <w:szCs w:val="17"/>
        </w:rPr>
      </w:pPr>
      <w:r w:rsidRPr="00107B4D">
        <w:rPr>
          <w:rFonts w:ascii="Verdana" w:hAnsi="Verdana" w:cs="Arial"/>
          <w:sz w:val="17"/>
          <w:szCs w:val="17"/>
        </w:rPr>
        <w:t>Adicionalmente, conforme referido acima, a Sociedade determina perdas por imparidade para instrumentos de dívida mensurados ao justo valor através de outro rendimento integral e ativos financeiros mensurados ao custo amortizado.</w:t>
      </w:r>
    </w:p>
    <w:p w14:paraId="6516D2BB" w14:textId="77777777" w:rsidR="00C82F0D" w:rsidRPr="00107B4D" w:rsidRDefault="00C82F0D" w:rsidP="008E1070">
      <w:pPr>
        <w:ind w:left="1843"/>
        <w:jc w:val="both"/>
        <w:rPr>
          <w:rFonts w:ascii="Verdana" w:hAnsi="Verdana" w:cs="Arial"/>
          <w:sz w:val="17"/>
          <w:szCs w:val="17"/>
        </w:rPr>
      </w:pPr>
    </w:p>
    <w:p w14:paraId="379F42F3" w14:textId="77777777" w:rsidR="00C82F0D" w:rsidRPr="00107B4D" w:rsidRDefault="00C82F0D" w:rsidP="008E1070">
      <w:pPr>
        <w:ind w:left="1843"/>
        <w:jc w:val="both"/>
        <w:rPr>
          <w:rFonts w:ascii="Verdana" w:hAnsi="Verdana" w:cs="Arial"/>
          <w:sz w:val="17"/>
          <w:szCs w:val="17"/>
        </w:rPr>
      </w:pPr>
      <w:r w:rsidRPr="00107B4D">
        <w:rPr>
          <w:rFonts w:ascii="Verdana" w:hAnsi="Verdana" w:cs="Arial"/>
          <w:sz w:val="17"/>
          <w:szCs w:val="17"/>
        </w:rPr>
        <w:t xml:space="preserve">As perdas de imparidade dos instrumentos de dívida que estão mensurados ao justo valor através de outro rendimento integral são reconhecidas por contrapartida da reserva de justo valor, pelo que o seu reconhecimento não reduz o valor de balanço dos ativos financeiros. </w:t>
      </w:r>
    </w:p>
    <w:p w14:paraId="73D83725" w14:textId="77777777" w:rsidR="00C82F0D" w:rsidRPr="00107B4D" w:rsidRDefault="00C82F0D" w:rsidP="008E1070">
      <w:pPr>
        <w:ind w:left="1843"/>
        <w:jc w:val="both"/>
        <w:rPr>
          <w:rFonts w:ascii="Verdana" w:hAnsi="Verdana" w:cs="Arial"/>
          <w:sz w:val="17"/>
          <w:szCs w:val="17"/>
        </w:rPr>
      </w:pPr>
    </w:p>
    <w:p w14:paraId="48C88299" w14:textId="77777777" w:rsidR="00C82F0D" w:rsidRPr="00107B4D" w:rsidRDefault="00C82F0D" w:rsidP="008E1070">
      <w:pPr>
        <w:ind w:left="1843"/>
        <w:jc w:val="both"/>
        <w:rPr>
          <w:rFonts w:ascii="Verdana" w:hAnsi="Verdana" w:cs="Arial"/>
          <w:sz w:val="17"/>
          <w:szCs w:val="17"/>
        </w:rPr>
      </w:pPr>
      <w:r w:rsidRPr="00107B4D">
        <w:rPr>
          <w:rFonts w:ascii="Verdana" w:hAnsi="Verdana" w:cs="Arial"/>
          <w:sz w:val="17"/>
          <w:szCs w:val="17"/>
        </w:rPr>
        <w:t xml:space="preserve">A Sociedade determina as perdas por imparidade para cada operação em função da deterioração do risco de crédito observada desde o momento do seu reconhecimento inicial. Neste contexto, as operações são classificadas, de acordo com o seu nível de risco de crédito, num dos seguintes </w:t>
      </w:r>
      <w:proofErr w:type="spellStart"/>
      <w:r w:rsidRPr="00107B4D">
        <w:rPr>
          <w:rFonts w:ascii="Verdana" w:hAnsi="Verdana" w:cs="Arial"/>
          <w:i/>
          <w:sz w:val="17"/>
          <w:szCs w:val="17"/>
        </w:rPr>
        <w:t>stages</w:t>
      </w:r>
      <w:proofErr w:type="spellEnd"/>
      <w:r w:rsidRPr="00107B4D">
        <w:rPr>
          <w:rFonts w:ascii="Verdana" w:hAnsi="Verdana" w:cs="Arial"/>
          <w:sz w:val="17"/>
          <w:szCs w:val="17"/>
        </w:rPr>
        <w:t>:</w:t>
      </w:r>
    </w:p>
    <w:p w14:paraId="4F4700AC" w14:textId="77777777" w:rsidR="00C82F0D" w:rsidRPr="00107B4D" w:rsidRDefault="00C82F0D" w:rsidP="008E1070">
      <w:pPr>
        <w:ind w:left="2268"/>
        <w:jc w:val="both"/>
        <w:rPr>
          <w:rFonts w:ascii="Verdana" w:hAnsi="Verdana" w:cs="Arial"/>
          <w:sz w:val="17"/>
          <w:szCs w:val="17"/>
        </w:rPr>
      </w:pPr>
    </w:p>
    <w:p w14:paraId="71F19F32" w14:textId="77777777" w:rsidR="00C82F0D" w:rsidRPr="00107B4D" w:rsidRDefault="00C82F0D" w:rsidP="00D84952">
      <w:pPr>
        <w:pStyle w:val="PargrafodaLista"/>
        <w:numPr>
          <w:ilvl w:val="0"/>
          <w:numId w:val="13"/>
        </w:numPr>
        <w:ind w:left="2268" w:hanging="425"/>
        <w:jc w:val="both"/>
        <w:rPr>
          <w:rFonts w:ascii="Verdana" w:hAnsi="Verdana" w:cs="Arial"/>
          <w:sz w:val="17"/>
          <w:szCs w:val="17"/>
        </w:rPr>
      </w:pPr>
      <w:proofErr w:type="spellStart"/>
      <w:r w:rsidRPr="00107B4D">
        <w:rPr>
          <w:rFonts w:ascii="Verdana" w:hAnsi="Verdana" w:cs="Arial"/>
          <w:sz w:val="17"/>
          <w:szCs w:val="17"/>
        </w:rPr>
        <w:t>Stage</w:t>
      </w:r>
      <w:proofErr w:type="spellEnd"/>
      <w:r w:rsidRPr="00107B4D">
        <w:rPr>
          <w:rFonts w:ascii="Verdana" w:hAnsi="Verdana" w:cs="Arial"/>
          <w:sz w:val="17"/>
          <w:szCs w:val="17"/>
        </w:rPr>
        <w:t xml:space="preserve"> 1: são classificadas neste </w:t>
      </w:r>
      <w:proofErr w:type="spellStart"/>
      <w:r w:rsidRPr="00107B4D">
        <w:rPr>
          <w:rFonts w:ascii="Verdana" w:hAnsi="Verdana" w:cs="Arial"/>
          <w:sz w:val="17"/>
          <w:szCs w:val="17"/>
        </w:rPr>
        <w:t>stage</w:t>
      </w:r>
      <w:proofErr w:type="spellEnd"/>
      <w:r w:rsidRPr="00107B4D">
        <w:rPr>
          <w:rFonts w:ascii="Verdana" w:hAnsi="Verdana" w:cs="Arial"/>
          <w:sz w:val="17"/>
          <w:szCs w:val="17"/>
        </w:rPr>
        <w:t xml:space="preserve"> as operações para as quais não se verifica um aumento significativo do risco de crédito desde o seu reconhecimento inicial. As perdas por imparidade associadas a estas operações correspondem às perdas de crédito esperadas que resultem de eventos de incumprimento que poderão ocorrer no prazo de 12 meses após a data de reporte.</w:t>
      </w:r>
    </w:p>
    <w:p w14:paraId="5D7543C3" w14:textId="77777777" w:rsidR="00C82F0D" w:rsidRPr="00107B4D" w:rsidRDefault="00C82F0D" w:rsidP="008E1070">
      <w:pPr>
        <w:ind w:left="2268"/>
        <w:jc w:val="both"/>
        <w:rPr>
          <w:rFonts w:ascii="Verdana" w:hAnsi="Verdana" w:cs="Arial"/>
          <w:sz w:val="17"/>
          <w:szCs w:val="17"/>
        </w:rPr>
      </w:pPr>
    </w:p>
    <w:p w14:paraId="76B580C1" w14:textId="77777777" w:rsidR="00C82F0D" w:rsidRPr="00107B4D" w:rsidRDefault="00C82F0D" w:rsidP="00D84952">
      <w:pPr>
        <w:pStyle w:val="PargrafodaLista"/>
        <w:numPr>
          <w:ilvl w:val="0"/>
          <w:numId w:val="13"/>
        </w:numPr>
        <w:ind w:left="2268" w:hanging="425"/>
        <w:jc w:val="both"/>
        <w:rPr>
          <w:rFonts w:ascii="Verdana" w:hAnsi="Verdana" w:cs="Arial"/>
          <w:sz w:val="17"/>
          <w:szCs w:val="17"/>
        </w:rPr>
      </w:pPr>
      <w:proofErr w:type="spellStart"/>
      <w:r w:rsidRPr="00107B4D">
        <w:rPr>
          <w:rFonts w:ascii="Verdana" w:hAnsi="Verdana" w:cs="Arial"/>
          <w:sz w:val="17"/>
          <w:szCs w:val="17"/>
        </w:rPr>
        <w:lastRenderedPageBreak/>
        <w:t>Stage</w:t>
      </w:r>
      <w:proofErr w:type="spellEnd"/>
      <w:r w:rsidRPr="00107B4D">
        <w:rPr>
          <w:rFonts w:ascii="Verdana" w:hAnsi="Verdana" w:cs="Arial"/>
          <w:sz w:val="17"/>
          <w:szCs w:val="17"/>
        </w:rPr>
        <w:t xml:space="preserve"> 2: são classificadas neste </w:t>
      </w:r>
      <w:proofErr w:type="spellStart"/>
      <w:r w:rsidRPr="00107B4D">
        <w:rPr>
          <w:rFonts w:ascii="Verdana" w:hAnsi="Verdana" w:cs="Arial"/>
          <w:i/>
          <w:sz w:val="17"/>
          <w:szCs w:val="17"/>
        </w:rPr>
        <w:t>stage</w:t>
      </w:r>
      <w:proofErr w:type="spellEnd"/>
      <w:r w:rsidRPr="00107B4D">
        <w:rPr>
          <w:rFonts w:ascii="Verdana" w:hAnsi="Verdana" w:cs="Arial"/>
          <w:sz w:val="17"/>
          <w:szCs w:val="17"/>
        </w:rPr>
        <w:t xml:space="preserve"> as operações para as quais se verifica um aumento significativo do risco de crédito desde o seu reconhecimento inicial, mas que não se encontram em situação de imparidade. As perdas por imparidade associadas a estas operações correspondem às perdas de crédito esperadas que resultem de eventos de </w:t>
      </w:r>
      <w:proofErr w:type="spellStart"/>
      <w:r w:rsidRPr="00107B4D">
        <w:rPr>
          <w:rFonts w:ascii="Verdana" w:hAnsi="Verdana" w:cs="Arial"/>
          <w:i/>
          <w:sz w:val="17"/>
          <w:szCs w:val="17"/>
        </w:rPr>
        <w:t>default</w:t>
      </w:r>
      <w:proofErr w:type="spellEnd"/>
      <w:r w:rsidRPr="00107B4D">
        <w:rPr>
          <w:rFonts w:ascii="Verdana" w:hAnsi="Verdana" w:cs="Arial"/>
          <w:sz w:val="17"/>
          <w:szCs w:val="17"/>
        </w:rPr>
        <w:t xml:space="preserve"> que poderão ocorrer ao longo do período de vida residual esperado das operações (perdas de crédito esperadas “</w:t>
      </w:r>
      <w:proofErr w:type="spellStart"/>
      <w:r w:rsidRPr="00107B4D">
        <w:rPr>
          <w:rFonts w:ascii="Verdana" w:hAnsi="Verdana" w:cs="Arial"/>
          <w:sz w:val="17"/>
          <w:szCs w:val="17"/>
        </w:rPr>
        <w:t>lifetime</w:t>
      </w:r>
      <w:proofErr w:type="spellEnd"/>
      <w:r w:rsidRPr="00107B4D">
        <w:rPr>
          <w:rFonts w:ascii="Verdana" w:hAnsi="Verdana" w:cs="Arial"/>
          <w:sz w:val="17"/>
          <w:szCs w:val="17"/>
        </w:rPr>
        <w:t>”).</w:t>
      </w:r>
    </w:p>
    <w:p w14:paraId="2C19620D" w14:textId="77777777" w:rsidR="00C82F0D" w:rsidRPr="00107B4D" w:rsidRDefault="00C82F0D" w:rsidP="008E1070">
      <w:pPr>
        <w:ind w:left="2268"/>
        <w:jc w:val="both"/>
        <w:rPr>
          <w:rFonts w:ascii="Verdana" w:hAnsi="Verdana" w:cs="Arial"/>
          <w:sz w:val="17"/>
          <w:szCs w:val="17"/>
        </w:rPr>
      </w:pPr>
    </w:p>
    <w:p w14:paraId="64D362F7" w14:textId="77777777" w:rsidR="00C82F0D" w:rsidRPr="00107B4D" w:rsidRDefault="00C82F0D" w:rsidP="00D84952">
      <w:pPr>
        <w:pStyle w:val="PargrafodaLista"/>
        <w:numPr>
          <w:ilvl w:val="0"/>
          <w:numId w:val="13"/>
        </w:numPr>
        <w:ind w:left="2268" w:hanging="425"/>
        <w:jc w:val="both"/>
        <w:rPr>
          <w:rFonts w:ascii="Verdana" w:hAnsi="Verdana" w:cs="Arial"/>
          <w:sz w:val="17"/>
          <w:szCs w:val="17"/>
        </w:rPr>
      </w:pPr>
      <w:proofErr w:type="spellStart"/>
      <w:r w:rsidRPr="00107B4D">
        <w:rPr>
          <w:rFonts w:ascii="Verdana" w:hAnsi="Verdana" w:cs="Arial"/>
          <w:sz w:val="17"/>
          <w:szCs w:val="17"/>
        </w:rPr>
        <w:t>Stage</w:t>
      </w:r>
      <w:proofErr w:type="spellEnd"/>
      <w:r w:rsidRPr="00107B4D">
        <w:rPr>
          <w:rFonts w:ascii="Verdana" w:hAnsi="Verdana" w:cs="Arial"/>
          <w:sz w:val="17"/>
          <w:szCs w:val="17"/>
        </w:rPr>
        <w:t xml:space="preserve"> 3: são classificadas neste </w:t>
      </w:r>
      <w:proofErr w:type="spellStart"/>
      <w:r w:rsidRPr="00107B4D">
        <w:rPr>
          <w:rFonts w:ascii="Verdana" w:hAnsi="Verdana" w:cs="Arial"/>
          <w:i/>
          <w:sz w:val="17"/>
          <w:szCs w:val="17"/>
        </w:rPr>
        <w:t>stage</w:t>
      </w:r>
      <w:proofErr w:type="spellEnd"/>
      <w:r w:rsidRPr="00107B4D">
        <w:rPr>
          <w:rFonts w:ascii="Verdana" w:hAnsi="Verdana" w:cs="Arial"/>
          <w:sz w:val="17"/>
          <w:szCs w:val="17"/>
        </w:rPr>
        <w:t xml:space="preserve"> todas as operações que se encontrem em situação de imparidade. As perdas por imparidade associadas a estas operações correspondem a perdas de crédito esperadas “</w:t>
      </w:r>
      <w:proofErr w:type="spellStart"/>
      <w:r w:rsidRPr="00107B4D">
        <w:rPr>
          <w:rFonts w:ascii="Verdana" w:hAnsi="Verdana" w:cs="Arial"/>
          <w:sz w:val="17"/>
          <w:szCs w:val="17"/>
        </w:rPr>
        <w:t>lifetime</w:t>
      </w:r>
      <w:proofErr w:type="spellEnd"/>
      <w:r w:rsidRPr="00107B4D">
        <w:rPr>
          <w:rFonts w:ascii="Verdana" w:hAnsi="Verdana" w:cs="Arial"/>
          <w:sz w:val="17"/>
          <w:szCs w:val="17"/>
        </w:rPr>
        <w:t>”.</w:t>
      </w:r>
    </w:p>
    <w:p w14:paraId="1C887A32" w14:textId="77777777" w:rsidR="00C82F0D" w:rsidRPr="00107B4D" w:rsidRDefault="00C82F0D" w:rsidP="008E1070">
      <w:pPr>
        <w:ind w:left="2268"/>
        <w:jc w:val="both"/>
        <w:rPr>
          <w:rFonts w:ascii="Verdana" w:hAnsi="Verdana" w:cs="Arial"/>
          <w:sz w:val="17"/>
          <w:szCs w:val="17"/>
        </w:rPr>
      </w:pPr>
    </w:p>
    <w:p w14:paraId="3AC4892F" w14:textId="77777777" w:rsidR="00C82F0D" w:rsidRPr="00E16ECE" w:rsidRDefault="00C82F0D" w:rsidP="00E16ECE">
      <w:pPr>
        <w:ind w:left="1843"/>
        <w:jc w:val="both"/>
        <w:rPr>
          <w:rFonts w:ascii="Verdana" w:hAnsi="Verdana" w:cs="Arial"/>
          <w:iCs/>
          <w:sz w:val="17"/>
          <w:szCs w:val="17"/>
        </w:rPr>
      </w:pPr>
      <w:r w:rsidRPr="00E16ECE">
        <w:rPr>
          <w:rFonts w:ascii="Verdana" w:hAnsi="Verdana" w:cs="Arial"/>
          <w:iCs/>
          <w:sz w:val="17"/>
          <w:szCs w:val="17"/>
        </w:rPr>
        <w:t>Em conformidade com a IFRS 9 – Instrumentos Financeiros, a entidade procedeu ao apuramento das perdas esperadas por crédito ("</w:t>
      </w:r>
      <w:proofErr w:type="spellStart"/>
      <w:r w:rsidRPr="00E16ECE">
        <w:rPr>
          <w:rFonts w:ascii="Verdana" w:hAnsi="Verdana" w:cs="Arial"/>
          <w:i/>
          <w:sz w:val="17"/>
          <w:szCs w:val="17"/>
        </w:rPr>
        <w:t>Expected</w:t>
      </w:r>
      <w:proofErr w:type="spellEnd"/>
      <w:r w:rsidRPr="00E16ECE">
        <w:rPr>
          <w:rFonts w:ascii="Verdana" w:hAnsi="Verdana" w:cs="Arial"/>
          <w:i/>
          <w:sz w:val="17"/>
          <w:szCs w:val="17"/>
        </w:rPr>
        <w:t xml:space="preserve"> </w:t>
      </w:r>
      <w:proofErr w:type="spellStart"/>
      <w:r w:rsidRPr="00E16ECE">
        <w:rPr>
          <w:rFonts w:ascii="Verdana" w:hAnsi="Verdana" w:cs="Arial"/>
          <w:i/>
          <w:sz w:val="17"/>
          <w:szCs w:val="17"/>
        </w:rPr>
        <w:t>Credit</w:t>
      </w:r>
      <w:proofErr w:type="spellEnd"/>
      <w:r w:rsidRPr="00E16ECE">
        <w:rPr>
          <w:rFonts w:ascii="Verdana" w:hAnsi="Verdana" w:cs="Arial"/>
          <w:i/>
          <w:sz w:val="17"/>
          <w:szCs w:val="17"/>
        </w:rPr>
        <w:t xml:space="preserve"> </w:t>
      </w:r>
      <w:proofErr w:type="spellStart"/>
      <w:r w:rsidRPr="00E16ECE">
        <w:rPr>
          <w:rFonts w:ascii="Verdana" w:hAnsi="Verdana" w:cs="Arial"/>
          <w:i/>
          <w:sz w:val="17"/>
          <w:szCs w:val="17"/>
        </w:rPr>
        <w:t>Losses</w:t>
      </w:r>
      <w:proofErr w:type="spellEnd"/>
      <w:r w:rsidRPr="00E16ECE">
        <w:rPr>
          <w:rFonts w:ascii="Verdana" w:hAnsi="Verdana" w:cs="Arial"/>
          <w:iCs/>
          <w:sz w:val="17"/>
          <w:szCs w:val="17"/>
        </w:rPr>
        <w:t xml:space="preserve">" – ECL) sobre os ativos financeiros incluídos na sua carteira de crédito, com base no modelo de perdas esperadas </w:t>
      </w:r>
      <w:proofErr w:type="gramStart"/>
      <w:r w:rsidRPr="00E16ECE">
        <w:rPr>
          <w:rFonts w:ascii="Verdana" w:hAnsi="Verdana" w:cs="Arial"/>
          <w:iCs/>
          <w:sz w:val="17"/>
          <w:szCs w:val="17"/>
        </w:rPr>
        <w:t>a</w:t>
      </w:r>
      <w:proofErr w:type="gramEnd"/>
      <w:r w:rsidRPr="00E16ECE">
        <w:rPr>
          <w:rFonts w:ascii="Verdana" w:hAnsi="Verdana" w:cs="Arial"/>
          <w:iCs/>
          <w:sz w:val="17"/>
          <w:szCs w:val="17"/>
        </w:rPr>
        <w:t xml:space="preserve"> 12 meses ou ao longo da vida, conforme aplicável.</w:t>
      </w:r>
    </w:p>
    <w:p w14:paraId="20CFB2AF" w14:textId="77777777" w:rsidR="00C82F0D" w:rsidRPr="00E16ECE" w:rsidRDefault="00C82F0D" w:rsidP="00E16ECE">
      <w:pPr>
        <w:ind w:left="1843"/>
        <w:jc w:val="both"/>
        <w:rPr>
          <w:rFonts w:ascii="Verdana" w:hAnsi="Verdana" w:cs="Arial"/>
          <w:iCs/>
          <w:sz w:val="17"/>
          <w:szCs w:val="17"/>
        </w:rPr>
      </w:pPr>
      <w:r w:rsidRPr="00E16ECE">
        <w:rPr>
          <w:rFonts w:ascii="Verdana" w:hAnsi="Verdana" w:cs="Arial"/>
          <w:iCs/>
          <w:sz w:val="17"/>
          <w:szCs w:val="17"/>
        </w:rPr>
        <w:t xml:space="preserve"> </w:t>
      </w:r>
    </w:p>
    <w:p w14:paraId="5B06988C" w14:textId="77777777" w:rsidR="00C82F0D" w:rsidRPr="00E16ECE" w:rsidRDefault="00C82F0D" w:rsidP="00E16ECE">
      <w:pPr>
        <w:ind w:left="1843"/>
        <w:jc w:val="both"/>
        <w:rPr>
          <w:rFonts w:ascii="Verdana" w:hAnsi="Verdana" w:cs="Arial"/>
          <w:iCs/>
          <w:sz w:val="17"/>
          <w:szCs w:val="17"/>
        </w:rPr>
      </w:pPr>
      <w:r w:rsidRPr="00E16ECE">
        <w:rPr>
          <w:rFonts w:ascii="Verdana" w:hAnsi="Verdana" w:cs="Arial"/>
          <w:iCs/>
          <w:sz w:val="17"/>
          <w:szCs w:val="17"/>
        </w:rPr>
        <w:t>A metodologia adotada contempla uma abordagem prospetiva, baseada em:</w:t>
      </w:r>
    </w:p>
    <w:p w14:paraId="27171CCF" w14:textId="77777777" w:rsidR="00C82F0D" w:rsidRPr="00E16ECE" w:rsidRDefault="00C82F0D" w:rsidP="00E16ECE">
      <w:pPr>
        <w:ind w:left="1843"/>
        <w:jc w:val="both"/>
        <w:rPr>
          <w:rFonts w:ascii="Verdana" w:hAnsi="Verdana" w:cs="Arial"/>
          <w:iCs/>
          <w:sz w:val="17"/>
          <w:szCs w:val="17"/>
        </w:rPr>
      </w:pPr>
      <w:r w:rsidRPr="00E16ECE">
        <w:rPr>
          <w:rFonts w:ascii="Verdana" w:hAnsi="Verdana" w:cs="Arial"/>
          <w:iCs/>
          <w:sz w:val="17"/>
          <w:szCs w:val="17"/>
        </w:rPr>
        <w:t xml:space="preserve"> </w:t>
      </w:r>
    </w:p>
    <w:p w14:paraId="3CB904E5" w14:textId="77777777" w:rsidR="00C82F0D" w:rsidRPr="00E16ECE" w:rsidRDefault="00C82F0D" w:rsidP="00E16ECE">
      <w:pPr>
        <w:ind w:left="1843"/>
        <w:jc w:val="both"/>
        <w:rPr>
          <w:rFonts w:ascii="Verdana" w:hAnsi="Verdana" w:cs="Arial"/>
          <w:iCs/>
          <w:sz w:val="17"/>
          <w:szCs w:val="17"/>
        </w:rPr>
      </w:pPr>
      <w:r w:rsidRPr="00E16ECE">
        <w:rPr>
          <w:rFonts w:ascii="Verdana" w:hAnsi="Verdana" w:cs="Arial"/>
          <w:iCs/>
          <w:sz w:val="17"/>
          <w:szCs w:val="17"/>
        </w:rPr>
        <w:t>•</w:t>
      </w:r>
      <w:r w:rsidRPr="00E16ECE">
        <w:rPr>
          <w:rFonts w:ascii="Verdana" w:hAnsi="Verdana" w:cs="Arial"/>
          <w:iCs/>
          <w:sz w:val="17"/>
          <w:szCs w:val="17"/>
        </w:rPr>
        <w:tab/>
        <w:t>Dados históricos de incumprimento;</w:t>
      </w:r>
    </w:p>
    <w:p w14:paraId="20FD9AE9" w14:textId="77777777" w:rsidR="00C82F0D" w:rsidRPr="00E16ECE" w:rsidRDefault="00C82F0D" w:rsidP="00E16ECE">
      <w:pPr>
        <w:ind w:left="1843"/>
        <w:jc w:val="both"/>
        <w:rPr>
          <w:rFonts w:ascii="Verdana" w:hAnsi="Verdana" w:cs="Arial"/>
          <w:iCs/>
          <w:sz w:val="17"/>
          <w:szCs w:val="17"/>
        </w:rPr>
      </w:pPr>
      <w:r w:rsidRPr="00E16ECE">
        <w:rPr>
          <w:rFonts w:ascii="Verdana" w:hAnsi="Verdana" w:cs="Arial"/>
          <w:iCs/>
          <w:sz w:val="17"/>
          <w:szCs w:val="17"/>
        </w:rPr>
        <w:t xml:space="preserve"> </w:t>
      </w:r>
    </w:p>
    <w:p w14:paraId="3C2CAEB1" w14:textId="77777777" w:rsidR="00C82F0D" w:rsidRPr="00E16ECE" w:rsidRDefault="00C82F0D" w:rsidP="00E16ECE">
      <w:pPr>
        <w:ind w:left="1843"/>
        <w:jc w:val="both"/>
        <w:rPr>
          <w:rFonts w:ascii="Verdana" w:hAnsi="Verdana" w:cs="Arial"/>
          <w:iCs/>
          <w:sz w:val="17"/>
          <w:szCs w:val="17"/>
        </w:rPr>
      </w:pPr>
      <w:r w:rsidRPr="00E16ECE">
        <w:rPr>
          <w:rFonts w:ascii="Verdana" w:hAnsi="Verdana" w:cs="Arial"/>
          <w:iCs/>
          <w:sz w:val="17"/>
          <w:szCs w:val="17"/>
        </w:rPr>
        <w:t>•</w:t>
      </w:r>
      <w:r w:rsidRPr="00E16ECE">
        <w:rPr>
          <w:rFonts w:ascii="Verdana" w:hAnsi="Verdana" w:cs="Arial"/>
          <w:iCs/>
          <w:sz w:val="17"/>
          <w:szCs w:val="17"/>
        </w:rPr>
        <w:tab/>
        <w:t>Informação corrente relevante; e</w:t>
      </w:r>
    </w:p>
    <w:p w14:paraId="1936922C" w14:textId="77777777" w:rsidR="00C82F0D" w:rsidRPr="00E16ECE" w:rsidRDefault="00C82F0D" w:rsidP="00E16ECE">
      <w:pPr>
        <w:ind w:left="1843"/>
        <w:jc w:val="both"/>
        <w:rPr>
          <w:rFonts w:ascii="Verdana" w:hAnsi="Verdana" w:cs="Arial"/>
          <w:iCs/>
          <w:sz w:val="17"/>
          <w:szCs w:val="17"/>
        </w:rPr>
      </w:pPr>
      <w:r w:rsidRPr="00E16ECE">
        <w:rPr>
          <w:rFonts w:ascii="Verdana" w:hAnsi="Verdana" w:cs="Arial"/>
          <w:iCs/>
          <w:sz w:val="17"/>
          <w:szCs w:val="17"/>
        </w:rPr>
        <w:t xml:space="preserve"> </w:t>
      </w:r>
    </w:p>
    <w:p w14:paraId="5D925B9A" w14:textId="77777777" w:rsidR="00C82F0D" w:rsidRPr="00E16ECE" w:rsidRDefault="00C82F0D" w:rsidP="00E16ECE">
      <w:pPr>
        <w:ind w:left="1843"/>
        <w:jc w:val="both"/>
        <w:rPr>
          <w:rFonts w:ascii="Verdana" w:hAnsi="Verdana" w:cs="Arial"/>
          <w:iCs/>
          <w:sz w:val="17"/>
          <w:szCs w:val="17"/>
        </w:rPr>
      </w:pPr>
      <w:r w:rsidRPr="00E16ECE">
        <w:rPr>
          <w:rFonts w:ascii="Verdana" w:hAnsi="Verdana" w:cs="Arial"/>
          <w:iCs/>
          <w:sz w:val="17"/>
          <w:szCs w:val="17"/>
        </w:rPr>
        <w:t>•</w:t>
      </w:r>
      <w:r w:rsidRPr="00E16ECE">
        <w:rPr>
          <w:rFonts w:ascii="Verdana" w:hAnsi="Verdana" w:cs="Arial"/>
          <w:iCs/>
          <w:sz w:val="17"/>
          <w:szCs w:val="17"/>
        </w:rPr>
        <w:tab/>
        <w:t>Estimativas razoáveis e sustentáveis de cenários macroeconómicos futuros, ponderados pela respetiva probabilidade de ocorrência.</w:t>
      </w:r>
    </w:p>
    <w:p w14:paraId="52D116EF" w14:textId="77777777" w:rsidR="00C82F0D" w:rsidRPr="00E16ECE" w:rsidRDefault="00C82F0D" w:rsidP="00E16ECE">
      <w:pPr>
        <w:ind w:left="1843"/>
        <w:jc w:val="both"/>
        <w:rPr>
          <w:rFonts w:ascii="Verdana" w:hAnsi="Verdana" w:cs="Arial"/>
          <w:iCs/>
          <w:sz w:val="17"/>
          <w:szCs w:val="17"/>
        </w:rPr>
      </w:pPr>
      <w:r w:rsidRPr="00E16ECE">
        <w:rPr>
          <w:rFonts w:ascii="Verdana" w:hAnsi="Verdana" w:cs="Arial"/>
          <w:iCs/>
          <w:sz w:val="17"/>
          <w:szCs w:val="17"/>
        </w:rPr>
        <w:t xml:space="preserve"> </w:t>
      </w:r>
    </w:p>
    <w:p w14:paraId="3A69AF8F" w14:textId="77777777" w:rsidR="00C82F0D" w:rsidRPr="00E16ECE" w:rsidRDefault="00C82F0D" w:rsidP="00E16ECE">
      <w:pPr>
        <w:ind w:left="1843"/>
        <w:jc w:val="both"/>
        <w:rPr>
          <w:rFonts w:ascii="Verdana" w:hAnsi="Verdana" w:cs="Arial"/>
          <w:iCs/>
          <w:sz w:val="17"/>
          <w:szCs w:val="17"/>
        </w:rPr>
      </w:pPr>
      <w:r w:rsidRPr="00E16ECE">
        <w:rPr>
          <w:rFonts w:ascii="Verdana" w:hAnsi="Verdana" w:cs="Arial"/>
          <w:iCs/>
          <w:sz w:val="17"/>
          <w:szCs w:val="17"/>
        </w:rPr>
        <w:t>A classificação dos ativos financeiros em diferentes estágios de risco (</w:t>
      </w:r>
      <w:proofErr w:type="spellStart"/>
      <w:r w:rsidRPr="00E16ECE">
        <w:rPr>
          <w:rFonts w:ascii="Verdana" w:hAnsi="Verdana" w:cs="Arial"/>
          <w:i/>
          <w:sz w:val="17"/>
          <w:szCs w:val="17"/>
        </w:rPr>
        <w:t>Stage</w:t>
      </w:r>
      <w:proofErr w:type="spellEnd"/>
      <w:r w:rsidRPr="00E16ECE">
        <w:rPr>
          <w:rFonts w:ascii="Verdana" w:hAnsi="Verdana" w:cs="Arial"/>
          <w:iCs/>
          <w:sz w:val="17"/>
          <w:szCs w:val="17"/>
        </w:rPr>
        <w:t xml:space="preserve"> 1, </w:t>
      </w:r>
      <w:proofErr w:type="spellStart"/>
      <w:r w:rsidRPr="00E16ECE">
        <w:rPr>
          <w:rFonts w:ascii="Verdana" w:hAnsi="Verdana" w:cs="Arial"/>
          <w:i/>
          <w:sz w:val="17"/>
          <w:szCs w:val="17"/>
        </w:rPr>
        <w:t>Stage</w:t>
      </w:r>
      <w:proofErr w:type="spellEnd"/>
      <w:r w:rsidRPr="00E16ECE">
        <w:rPr>
          <w:rFonts w:ascii="Verdana" w:hAnsi="Verdana" w:cs="Arial"/>
          <w:iCs/>
          <w:sz w:val="17"/>
          <w:szCs w:val="17"/>
        </w:rPr>
        <w:t xml:space="preserve"> 2 e </w:t>
      </w:r>
      <w:proofErr w:type="spellStart"/>
      <w:r w:rsidRPr="00E16ECE">
        <w:rPr>
          <w:rFonts w:ascii="Verdana" w:hAnsi="Verdana" w:cs="Arial"/>
          <w:i/>
          <w:sz w:val="17"/>
          <w:szCs w:val="17"/>
        </w:rPr>
        <w:t>Stage</w:t>
      </w:r>
      <w:proofErr w:type="spellEnd"/>
      <w:r w:rsidRPr="00E16ECE">
        <w:rPr>
          <w:rFonts w:ascii="Verdana" w:hAnsi="Verdana" w:cs="Arial"/>
          <w:iCs/>
          <w:sz w:val="17"/>
          <w:szCs w:val="17"/>
        </w:rPr>
        <w:t xml:space="preserve"> 3) é efetuada com base na avaliação do aumento significativo do risco de crédito desde o reconhecimento inicial. A avaliação da deterioração de crédito incorpora a análise de atrasos de pagamento, sinalizações qualitativas e expectativas quanto à capacidade de recuperação</w:t>
      </w:r>
      <w:r>
        <w:rPr>
          <w:rFonts w:ascii="Verdana" w:hAnsi="Verdana" w:cs="Arial"/>
          <w:iCs/>
          <w:sz w:val="17"/>
          <w:szCs w:val="17"/>
        </w:rPr>
        <w:t>.</w:t>
      </w:r>
    </w:p>
    <w:p w14:paraId="0380C789" w14:textId="77777777" w:rsidR="00C82F0D" w:rsidRDefault="00C82F0D" w:rsidP="008E1070">
      <w:pPr>
        <w:ind w:left="1843"/>
        <w:jc w:val="both"/>
        <w:rPr>
          <w:rFonts w:ascii="Verdana" w:hAnsi="Verdana" w:cs="Arial"/>
          <w:i/>
          <w:sz w:val="17"/>
          <w:szCs w:val="17"/>
        </w:rPr>
      </w:pPr>
    </w:p>
    <w:p w14:paraId="7E738A4A" w14:textId="77777777" w:rsidR="00C82F0D" w:rsidRDefault="00C82F0D" w:rsidP="008E1070">
      <w:pPr>
        <w:ind w:left="1843"/>
        <w:jc w:val="both"/>
        <w:rPr>
          <w:rFonts w:ascii="Verdana" w:hAnsi="Verdana" w:cs="Arial"/>
          <w:i/>
          <w:sz w:val="17"/>
          <w:szCs w:val="17"/>
        </w:rPr>
      </w:pPr>
    </w:p>
    <w:p w14:paraId="318D2993" w14:textId="77777777" w:rsidR="00C82F0D" w:rsidRPr="00107B4D" w:rsidRDefault="00C82F0D" w:rsidP="008E1070">
      <w:pPr>
        <w:ind w:left="1843"/>
        <w:jc w:val="both"/>
        <w:rPr>
          <w:rFonts w:ascii="Verdana" w:hAnsi="Verdana" w:cs="Arial"/>
          <w:i/>
          <w:sz w:val="17"/>
          <w:szCs w:val="17"/>
        </w:rPr>
      </w:pPr>
      <w:r w:rsidRPr="00107B4D">
        <w:rPr>
          <w:rFonts w:ascii="Verdana" w:hAnsi="Verdana" w:cs="Arial"/>
          <w:i/>
          <w:sz w:val="17"/>
          <w:szCs w:val="17"/>
        </w:rPr>
        <w:t>Aumento significativo do risco de crédito</w:t>
      </w:r>
    </w:p>
    <w:p w14:paraId="0F80CD70" w14:textId="77777777" w:rsidR="00C82F0D" w:rsidRPr="00107B4D" w:rsidRDefault="00C82F0D" w:rsidP="008E1070">
      <w:pPr>
        <w:ind w:left="1843"/>
        <w:jc w:val="both"/>
        <w:rPr>
          <w:rFonts w:ascii="Verdana" w:hAnsi="Verdana" w:cs="Arial"/>
          <w:sz w:val="17"/>
          <w:szCs w:val="17"/>
        </w:rPr>
      </w:pPr>
    </w:p>
    <w:p w14:paraId="5B55FDC7" w14:textId="77777777" w:rsidR="00C82F0D" w:rsidRPr="00107B4D" w:rsidRDefault="00C82F0D" w:rsidP="008E1070">
      <w:pPr>
        <w:ind w:left="1843"/>
        <w:jc w:val="both"/>
        <w:rPr>
          <w:rFonts w:ascii="Verdana" w:hAnsi="Verdana" w:cs="Arial"/>
          <w:sz w:val="17"/>
          <w:szCs w:val="17"/>
        </w:rPr>
      </w:pPr>
      <w:r w:rsidRPr="00107B4D">
        <w:rPr>
          <w:rFonts w:ascii="Verdana" w:hAnsi="Verdana" w:cs="Arial"/>
          <w:sz w:val="17"/>
          <w:szCs w:val="17"/>
        </w:rPr>
        <w:t>A avaliação do aumento significativo do risco de crédito desde o momento do reconhecimento inicial tem por base um conjunto de informação qualitativa e quantitativa (nomeadamente, número de dias de atraso no pagamento e existência de reestruturações) relativamente aos devedores e emitentes dos ativos financeiros.</w:t>
      </w:r>
    </w:p>
    <w:p w14:paraId="0CF5AF10" w14:textId="77777777" w:rsidR="00C82F0D" w:rsidRPr="00107B4D" w:rsidRDefault="00C82F0D">
      <w:pPr>
        <w:rPr>
          <w:rFonts w:ascii="Verdana" w:hAnsi="Verdana" w:cs="Arial"/>
          <w:sz w:val="17"/>
          <w:szCs w:val="17"/>
          <w:u w:val="single"/>
        </w:rPr>
      </w:pPr>
    </w:p>
    <w:p w14:paraId="48499E47" w14:textId="77777777" w:rsidR="00C82F0D" w:rsidRPr="00107B4D" w:rsidRDefault="00C82F0D" w:rsidP="00D84952">
      <w:pPr>
        <w:pStyle w:val="PargrafodaLista"/>
        <w:numPr>
          <w:ilvl w:val="0"/>
          <w:numId w:val="5"/>
        </w:numPr>
        <w:ind w:left="1843" w:hanging="425"/>
        <w:jc w:val="both"/>
        <w:rPr>
          <w:rFonts w:ascii="Verdana" w:hAnsi="Verdana" w:cs="Arial"/>
          <w:sz w:val="17"/>
          <w:szCs w:val="17"/>
          <w:u w:val="single"/>
        </w:rPr>
      </w:pPr>
      <w:r w:rsidRPr="00107B4D">
        <w:rPr>
          <w:rFonts w:ascii="Verdana" w:hAnsi="Verdana" w:cs="Arial"/>
          <w:sz w:val="17"/>
          <w:szCs w:val="17"/>
          <w:u w:val="single"/>
        </w:rPr>
        <w:t>Passivos financeiros</w:t>
      </w:r>
    </w:p>
    <w:p w14:paraId="4B49DCBD" w14:textId="77777777" w:rsidR="00C82F0D" w:rsidRPr="00107B4D" w:rsidRDefault="00C82F0D" w:rsidP="008E1070">
      <w:pPr>
        <w:ind w:left="1843"/>
        <w:jc w:val="both"/>
        <w:rPr>
          <w:rFonts w:ascii="Verdana" w:hAnsi="Verdana" w:cs="Arial"/>
          <w:sz w:val="17"/>
          <w:szCs w:val="17"/>
          <w:u w:val="single"/>
        </w:rPr>
      </w:pPr>
    </w:p>
    <w:p w14:paraId="6BA61B6B" w14:textId="77777777" w:rsidR="00C82F0D" w:rsidRPr="00107B4D" w:rsidRDefault="00C82F0D" w:rsidP="008E1070">
      <w:pPr>
        <w:ind w:left="1843"/>
        <w:jc w:val="both"/>
        <w:rPr>
          <w:rFonts w:ascii="Verdana" w:hAnsi="Verdana" w:cs="Arial"/>
          <w:sz w:val="17"/>
          <w:szCs w:val="17"/>
        </w:rPr>
      </w:pPr>
      <w:r w:rsidRPr="00107B4D">
        <w:rPr>
          <w:rFonts w:ascii="Verdana" w:hAnsi="Verdana" w:cs="Arial"/>
          <w:sz w:val="17"/>
          <w:szCs w:val="17"/>
        </w:rPr>
        <w:t xml:space="preserve">Os passivos financeiros são reconhecidos inicialmente pelo seu justo valor, acrescidos dos custos de transação, e subsequentemente são mensurados ao custo amortizado. Os juros são reconhecidos em resultados com base no método da taxa efetiva. </w:t>
      </w:r>
    </w:p>
    <w:p w14:paraId="5E76D320" w14:textId="77777777" w:rsidR="00C82F0D" w:rsidRPr="00107B4D" w:rsidRDefault="00C82F0D" w:rsidP="008E1070">
      <w:pPr>
        <w:ind w:left="1843"/>
        <w:jc w:val="both"/>
        <w:rPr>
          <w:rFonts w:ascii="Verdana" w:hAnsi="Verdana" w:cs="Arial"/>
          <w:sz w:val="17"/>
          <w:szCs w:val="17"/>
          <w:u w:val="single"/>
        </w:rPr>
      </w:pPr>
    </w:p>
    <w:p w14:paraId="0F8E6B30" w14:textId="77777777" w:rsidR="00C82F0D" w:rsidRPr="00107B4D" w:rsidRDefault="00C82F0D" w:rsidP="008E1070">
      <w:pPr>
        <w:ind w:left="1843"/>
        <w:jc w:val="both"/>
        <w:rPr>
          <w:rFonts w:ascii="Verdana" w:hAnsi="Verdana" w:cs="Arial"/>
          <w:i/>
          <w:sz w:val="17"/>
          <w:szCs w:val="17"/>
        </w:rPr>
      </w:pPr>
      <w:proofErr w:type="spellStart"/>
      <w:r w:rsidRPr="00107B4D">
        <w:rPr>
          <w:rFonts w:ascii="Verdana" w:hAnsi="Verdana" w:cs="Arial"/>
          <w:i/>
          <w:sz w:val="17"/>
          <w:szCs w:val="17"/>
        </w:rPr>
        <w:t>Desreconhecimento</w:t>
      </w:r>
      <w:proofErr w:type="spellEnd"/>
      <w:r w:rsidRPr="00107B4D">
        <w:rPr>
          <w:rFonts w:ascii="Verdana" w:hAnsi="Verdana" w:cs="Arial"/>
          <w:i/>
          <w:sz w:val="17"/>
          <w:szCs w:val="17"/>
        </w:rPr>
        <w:t xml:space="preserve"> e modificação de passivos financeiros</w:t>
      </w:r>
    </w:p>
    <w:p w14:paraId="65B2CDE0" w14:textId="77777777" w:rsidR="00C82F0D" w:rsidRPr="00107B4D" w:rsidRDefault="00C82F0D" w:rsidP="008E1070">
      <w:pPr>
        <w:ind w:left="1843"/>
        <w:jc w:val="both"/>
        <w:rPr>
          <w:rFonts w:ascii="Verdana" w:hAnsi="Verdana" w:cs="Arial"/>
          <w:sz w:val="17"/>
          <w:szCs w:val="17"/>
        </w:rPr>
      </w:pPr>
    </w:p>
    <w:p w14:paraId="1791087B" w14:textId="77777777" w:rsidR="00C82F0D" w:rsidRPr="00107B4D" w:rsidRDefault="00C82F0D" w:rsidP="008E1070">
      <w:pPr>
        <w:ind w:left="1843"/>
        <w:jc w:val="both"/>
        <w:rPr>
          <w:rFonts w:ascii="Verdana" w:hAnsi="Verdana" w:cs="Arial"/>
          <w:sz w:val="17"/>
          <w:szCs w:val="17"/>
        </w:rPr>
      </w:pPr>
      <w:r w:rsidRPr="00107B4D">
        <w:rPr>
          <w:rFonts w:ascii="Verdana" w:hAnsi="Verdana" w:cs="Arial"/>
          <w:sz w:val="17"/>
          <w:szCs w:val="17"/>
        </w:rPr>
        <w:t xml:space="preserve">A Sociedade procede ao </w:t>
      </w:r>
      <w:proofErr w:type="spellStart"/>
      <w:r w:rsidRPr="00107B4D">
        <w:rPr>
          <w:rFonts w:ascii="Verdana" w:hAnsi="Verdana" w:cs="Arial"/>
          <w:sz w:val="17"/>
          <w:szCs w:val="17"/>
        </w:rPr>
        <w:t>desreconhecimento</w:t>
      </w:r>
      <w:proofErr w:type="spellEnd"/>
      <w:r w:rsidRPr="00107B4D">
        <w:rPr>
          <w:rFonts w:ascii="Verdana" w:hAnsi="Verdana" w:cs="Arial"/>
          <w:sz w:val="17"/>
          <w:szCs w:val="17"/>
        </w:rPr>
        <w:t xml:space="preserve"> de passivos financeiros quando estes são cancelados ou extintos.</w:t>
      </w:r>
    </w:p>
    <w:p w14:paraId="31FF250F" w14:textId="77777777" w:rsidR="00C82F0D" w:rsidRPr="00107B4D" w:rsidRDefault="00C82F0D" w:rsidP="008E1070">
      <w:pPr>
        <w:ind w:left="1843"/>
        <w:jc w:val="both"/>
        <w:rPr>
          <w:rFonts w:ascii="Verdana" w:hAnsi="Verdana" w:cs="Arial"/>
          <w:sz w:val="17"/>
          <w:szCs w:val="17"/>
        </w:rPr>
      </w:pPr>
    </w:p>
    <w:p w14:paraId="243D8A24" w14:textId="77777777" w:rsidR="00C82F0D" w:rsidRPr="00107B4D" w:rsidRDefault="00C82F0D" w:rsidP="008E1070">
      <w:pPr>
        <w:ind w:left="1843"/>
        <w:jc w:val="both"/>
        <w:rPr>
          <w:rFonts w:ascii="Verdana" w:hAnsi="Verdana" w:cs="Arial"/>
          <w:sz w:val="17"/>
          <w:szCs w:val="17"/>
        </w:rPr>
      </w:pPr>
      <w:r w:rsidRPr="00107B4D">
        <w:rPr>
          <w:rFonts w:ascii="Verdana" w:hAnsi="Verdana" w:cs="Arial"/>
          <w:sz w:val="17"/>
          <w:szCs w:val="17"/>
        </w:rPr>
        <w:t xml:space="preserve">A Sociedade considera que uma modificação nos termos contratuais do passivo financeiro resulta no seu </w:t>
      </w:r>
      <w:proofErr w:type="spellStart"/>
      <w:r w:rsidRPr="00107B4D">
        <w:rPr>
          <w:rFonts w:ascii="Verdana" w:hAnsi="Verdana" w:cs="Arial"/>
          <w:sz w:val="17"/>
          <w:szCs w:val="17"/>
        </w:rPr>
        <w:t>desreconhecimento</w:t>
      </w:r>
      <w:proofErr w:type="spellEnd"/>
      <w:r w:rsidRPr="00107B4D">
        <w:rPr>
          <w:rFonts w:ascii="Verdana" w:hAnsi="Verdana" w:cs="Arial"/>
          <w:sz w:val="17"/>
          <w:szCs w:val="17"/>
        </w:rPr>
        <w:t xml:space="preserve"> e no subsequente reconhecimento de um novo passivo financeiro quando esta corresponda a uma modificação substancial dos termos do passivo financeiro original. São considerados termos substancialmente diferentes se o valor atual descontado dos fluxos de caixa de acordo com os novos termos, incluindo quaisquer comissões pagas líquidas de quaisquer comissões recebidas e descontadas usando a taxa de juro efetiva original, divergir, em pelo menos 10%, do valor atual descontado dos fluxos de caixa restantes do passivo financeiro original.</w:t>
      </w:r>
    </w:p>
    <w:p w14:paraId="67E94AD0" w14:textId="77777777" w:rsidR="00C82F0D" w:rsidRPr="00107B4D" w:rsidRDefault="00C82F0D" w:rsidP="008E1070">
      <w:pPr>
        <w:ind w:left="1843"/>
        <w:jc w:val="both"/>
        <w:rPr>
          <w:rFonts w:ascii="Verdana" w:hAnsi="Verdana" w:cs="Arial"/>
          <w:sz w:val="17"/>
          <w:szCs w:val="17"/>
        </w:rPr>
      </w:pPr>
    </w:p>
    <w:p w14:paraId="7BE7EF31" w14:textId="77777777" w:rsidR="00C82F0D" w:rsidRPr="00107B4D" w:rsidRDefault="00C82F0D" w:rsidP="008E1070">
      <w:pPr>
        <w:ind w:left="1843"/>
        <w:jc w:val="both"/>
        <w:rPr>
          <w:rFonts w:ascii="Verdana" w:hAnsi="Verdana" w:cs="Arial"/>
          <w:sz w:val="17"/>
          <w:szCs w:val="17"/>
        </w:rPr>
      </w:pPr>
      <w:r w:rsidRPr="00107B4D">
        <w:rPr>
          <w:rFonts w:ascii="Verdana" w:hAnsi="Verdana" w:cs="Arial"/>
          <w:sz w:val="17"/>
          <w:szCs w:val="17"/>
        </w:rPr>
        <w:lastRenderedPageBreak/>
        <w:t xml:space="preserve">Para as modificações nos passivos financeiros, que não resultem no seu </w:t>
      </w:r>
      <w:proofErr w:type="spellStart"/>
      <w:r w:rsidRPr="00107B4D">
        <w:rPr>
          <w:rFonts w:ascii="Verdana" w:hAnsi="Verdana" w:cs="Arial"/>
          <w:sz w:val="17"/>
          <w:szCs w:val="17"/>
        </w:rPr>
        <w:t>desreconhecimento</w:t>
      </w:r>
      <w:proofErr w:type="spellEnd"/>
      <w:r w:rsidRPr="00107B4D">
        <w:rPr>
          <w:rFonts w:ascii="Verdana" w:hAnsi="Verdana" w:cs="Arial"/>
          <w:sz w:val="17"/>
          <w:szCs w:val="17"/>
        </w:rPr>
        <w:t>, a Sociedade procede ao recálculo do custo amortizado do passivo financeiro modificado descontando os fluxos de caixa contratuais modificados à taxa de juro efetiva original do contrato.</w:t>
      </w:r>
    </w:p>
    <w:p w14:paraId="0BD01EA5" w14:textId="77777777" w:rsidR="00C82F0D" w:rsidRPr="00107B4D" w:rsidRDefault="00C82F0D" w:rsidP="008E1070">
      <w:pPr>
        <w:ind w:left="1843"/>
        <w:jc w:val="both"/>
        <w:rPr>
          <w:rFonts w:ascii="Verdana" w:hAnsi="Verdana" w:cs="Arial"/>
          <w:sz w:val="17"/>
          <w:szCs w:val="17"/>
        </w:rPr>
      </w:pPr>
    </w:p>
    <w:p w14:paraId="4A344C86" w14:textId="77777777" w:rsidR="00C82F0D" w:rsidRDefault="00C82F0D" w:rsidP="002B4F29">
      <w:pPr>
        <w:ind w:left="1843"/>
        <w:jc w:val="both"/>
        <w:rPr>
          <w:rFonts w:ascii="Verdana" w:hAnsi="Verdana" w:cs="Arial"/>
          <w:sz w:val="17"/>
          <w:szCs w:val="17"/>
        </w:rPr>
      </w:pPr>
      <w:r w:rsidRPr="00107B4D">
        <w:rPr>
          <w:rFonts w:ascii="Verdana" w:hAnsi="Verdana" w:cs="Arial"/>
          <w:sz w:val="17"/>
          <w:szCs w:val="17"/>
        </w:rPr>
        <w:t>O ajustamento ao custo amortizado do passivo financeiro é reconhecido em resultados como ganho ou perda com referência à data da modificação. Caso se trate de transações com o acionista da Sociedade, na qualidade de proprietário da mesma, o referido ajustamento ao custo amortizado do passivo financeiro é reconhecido diretamente em capital próprio, na rubrica de “Outras reservas”.</w:t>
      </w:r>
    </w:p>
    <w:p w14:paraId="53688D71" w14:textId="77777777" w:rsidR="00C82F0D" w:rsidRPr="00107B4D" w:rsidRDefault="00C82F0D" w:rsidP="008E1070">
      <w:pPr>
        <w:ind w:left="1843"/>
        <w:jc w:val="both"/>
        <w:rPr>
          <w:rFonts w:ascii="Verdana" w:hAnsi="Verdana" w:cs="Arial"/>
          <w:sz w:val="17"/>
          <w:szCs w:val="17"/>
        </w:rPr>
      </w:pPr>
    </w:p>
    <w:p w14:paraId="6D06FCF1" w14:textId="77777777" w:rsidR="00C82F0D" w:rsidRPr="00107B4D" w:rsidRDefault="00C82F0D" w:rsidP="00D84952">
      <w:pPr>
        <w:pStyle w:val="PargrafodaLista"/>
        <w:numPr>
          <w:ilvl w:val="0"/>
          <w:numId w:val="4"/>
        </w:numPr>
        <w:ind w:left="1418" w:hanging="425"/>
        <w:jc w:val="both"/>
        <w:rPr>
          <w:rFonts w:ascii="Verdana" w:hAnsi="Verdana"/>
          <w:sz w:val="17"/>
          <w:szCs w:val="17"/>
        </w:rPr>
      </w:pPr>
      <w:r w:rsidRPr="00107B4D">
        <w:rPr>
          <w:rFonts w:ascii="Verdana" w:hAnsi="Verdana"/>
          <w:sz w:val="17"/>
          <w:szCs w:val="17"/>
        </w:rPr>
        <w:t xml:space="preserve">Valorização de instrumentos financeiros derivados </w:t>
      </w:r>
    </w:p>
    <w:p w14:paraId="4022A209" w14:textId="77777777" w:rsidR="00C82F0D" w:rsidRPr="00107B4D" w:rsidRDefault="00C82F0D" w:rsidP="008E1070">
      <w:pPr>
        <w:ind w:left="1418"/>
        <w:jc w:val="both"/>
        <w:rPr>
          <w:rFonts w:ascii="Verdana" w:hAnsi="Verdana" w:cs="Arial"/>
          <w:snapToGrid w:val="0"/>
          <w:sz w:val="17"/>
          <w:szCs w:val="17"/>
        </w:rPr>
      </w:pPr>
    </w:p>
    <w:p w14:paraId="0BAF101C" w14:textId="77777777" w:rsidR="00C82F0D" w:rsidRPr="00107B4D" w:rsidRDefault="00C82F0D" w:rsidP="008E1070">
      <w:pPr>
        <w:ind w:left="1418"/>
        <w:jc w:val="both"/>
        <w:rPr>
          <w:rFonts w:ascii="Verdana" w:hAnsi="Verdana" w:cs="Arial"/>
          <w:sz w:val="17"/>
          <w:szCs w:val="17"/>
        </w:rPr>
      </w:pPr>
      <w:r w:rsidRPr="00107B4D">
        <w:rPr>
          <w:rFonts w:ascii="Verdana" w:hAnsi="Verdana" w:cs="Arial"/>
          <w:sz w:val="17"/>
          <w:szCs w:val="17"/>
        </w:rPr>
        <w:t>Ao abrigo da Norma IFRS 9, os ativos ou passivos financeiros derivados, exceto se forem designados instrumentos de cobertura, são registados pelo justo valor por contrapartida de resultados nas rubricas “Rendimentos e ganhos financeiros” e “Gastos e perdas financeiras”.</w:t>
      </w:r>
    </w:p>
    <w:p w14:paraId="5609B7AB" w14:textId="77777777" w:rsidR="00C82F0D" w:rsidRPr="00107B4D" w:rsidRDefault="00C82F0D" w:rsidP="008E1070">
      <w:pPr>
        <w:ind w:left="1418"/>
        <w:jc w:val="both"/>
        <w:rPr>
          <w:rFonts w:ascii="Verdana" w:hAnsi="Verdana" w:cs="Arial"/>
          <w:sz w:val="17"/>
          <w:szCs w:val="17"/>
          <w:u w:val="single"/>
        </w:rPr>
      </w:pPr>
    </w:p>
    <w:p w14:paraId="4DD80F7C" w14:textId="77777777" w:rsidR="00C82F0D" w:rsidRPr="00107B4D" w:rsidRDefault="00C82F0D" w:rsidP="00D84952">
      <w:pPr>
        <w:pStyle w:val="PargrafodaLista"/>
        <w:numPr>
          <w:ilvl w:val="0"/>
          <w:numId w:val="4"/>
        </w:numPr>
        <w:ind w:left="1418" w:hanging="425"/>
        <w:jc w:val="both"/>
        <w:rPr>
          <w:rFonts w:ascii="Verdana" w:hAnsi="Verdana"/>
          <w:sz w:val="17"/>
          <w:szCs w:val="17"/>
        </w:rPr>
      </w:pPr>
      <w:r w:rsidRPr="00107B4D">
        <w:rPr>
          <w:rFonts w:ascii="Verdana" w:hAnsi="Verdana"/>
          <w:sz w:val="17"/>
          <w:szCs w:val="17"/>
        </w:rPr>
        <w:t>Ativos não correntes detidos para venda</w:t>
      </w:r>
    </w:p>
    <w:p w14:paraId="74D6E541" w14:textId="77777777" w:rsidR="00C82F0D" w:rsidRPr="00107B4D" w:rsidRDefault="00C82F0D" w:rsidP="008E1070">
      <w:pPr>
        <w:ind w:left="1418"/>
        <w:jc w:val="both"/>
        <w:rPr>
          <w:rFonts w:ascii="Verdana" w:hAnsi="Verdana" w:cs="Arial"/>
          <w:sz w:val="17"/>
          <w:szCs w:val="17"/>
        </w:rPr>
      </w:pPr>
    </w:p>
    <w:p w14:paraId="7325ED50" w14:textId="77777777" w:rsidR="00C82F0D" w:rsidRPr="00107B4D" w:rsidRDefault="00C82F0D" w:rsidP="008E1070">
      <w:pPr>
        <w:ind w:left="1418"/>
        <w:jc w:val="both"/>
        <w:rPr>
          <w:rFonts w:ascii="Verdana" w:hAnsi="Verdana" w:cs="Arial"/>
          <w:sz w:val="17"/>
          <w:szCs w:val="17"/>
        </w:rPr>
      </w:pPr>
      <w:r w:rsidRPr="00107B4D">
        <w:rPr>
          <w:rFonts w:ascii="Verdana" w:hAnsi="Verdana" w:cs="Arial"/>
          <w:sz w:val="17"/>
          <w:szCs w:val="17"/>
        </w:rPr>
        <w:t>Um ativo não corrente deverá ser classificado como detido para venda se o valor de balanço vier a ser recuperado principalmente através de uma transação de venda e não através do seu uso continuado.  Os seguintes critérios deverão ser satisfeitos:</w:t>
      </w:r>
    </w:p>
    <w:p w14:paraId="110E1C43" w14:textId="77777777" w:rsidR="00C82F0D" w:rsidRPr="00107B4D" w:rsidRDefault="00C82F0D" w:rsidP="008E1070">
      <w:pPr>
        <w:ind w:left="1418"/>
        <w:jc w:val="both"/>
        <w:rPr>
          <w:rFonts w:ascii="Verdana" w:hAnsi="Verdana" w:cs="Arial"/>
          <w:sz w:val="17"/>
          <w:szCs w:val="17"/>
        </w:rPr>
      </w:pPr>
    </w:p>
    <w:p w14:paraId="655EF61A" w14:textId="77777777" w:rsidR="00C82F0D" w:rsidRPr="00107B4D" w:rsidRDefault="00C82F0D" w:rsidP="00D84952">
      <w:pPr>
        <w:pStyle w:val="PargrafodaLista"/>
        <w:numPr>
          <w:ilvl w:val="0"/>
          <w:numId w:val="14"/>
        </w:numPr>
        <w:ind w:left="1843"/>
        <w:jc w:val="both"/>
        <w:rPr>
          <w:rFonts w:ascii="Verdana" w:hAnsi="Verdana" w:cs="Arial"/>
          <w:sz w:val="17"/>
          <w:szCs w:val="17"/>
        </w:rPr>
      </w:pPr>
      <w:r w:rsidRPr="00107B4D">
        <w:rPr>
          <w:rFonts w:ascii="Verdana" w:hAnsi="Verdana" w:cs="Arial"/>
          <w:sz w:val="17"/>
          <w:szCs w:val="17"/>
        </w:rPr>
        <w:t>O ativo estar disponível para venda imediata na sua condição atual; e</w:t>
      </w:r>
    </w:p>
    <w:p w14:paraId="07143364" w14:textId="77777777" w:rsidR="00C82F0D" w:rsidRPr="00107B4D" w:rsidRDefault="00C82F0D" w:rsidP="008E1070">
      <w:pPr>
        <w:ind w:left="1843"/>
        <w:jc w:val="both"/>
        <w:rPr>
          <w:rFonts w:ascii="Verdana" w:hAnsi="Verdana" w:cs="Arial"/>
          <w:sz w:val="17"/>
          <w:szCs w:val="17"/>
        </w:rPr>
      </w:pPr>
    </w:p>
    <w:p w14:paraId="2D04450B" w14:textId="77777777" w:rsidR="00C82F0D" w:rsidRPr="00107B4D" w:rsidRDefault="00C82F0D" w:rsidP="00D84952">
      <w:pPr>
        <w:pStyle w:val="PargrafodaLista"/>
        <w:numPr>
          <w:ilvl w:val="0"/>
          <w:numId w:val="14"/>
        </w:numPr>
        <w:ind w:left="1843"/>
        <w:jc w:val="both"/>
        <w:rPr>
          <w:rFonts w:ascii="Verdana" w:hAnsi="Verdana" w:cs="Arial"/>
          <w:sz w:val="17"/>
          <w:szCs w:val="17"/>
        </w:rPr>
      </w:pPr>
      <w:r w:rsidRPr="00107B4D">
        <w:rPr>
          <w:rFonts w:ascii="Verdana" w:hAnsi="Verdana" w:cs="Arial"/>
          <w:sz w:val="17"/>
          <w:szCs w:val="17"/>
        </w:rPr>
        <w:t>Existir uma elevada probabilidade de ocorrência da venda.</w:t>
      </w:r>
    </w:p>
    <w:p w14:paraId="17D975F0" w14:textId="77777777" w:rsidR="00C82F0D" w:rsidRPr="00107B4D" w:rsidRDefault="00C82F0D" w:rsidP="008E1070">
      <w:pPr>
        <w:ind w:left="1418"/>
        <w:jc w:val="both"/>
        <w:rPr>
          <w:rFonts w:ascii="Verdana" w:hAnsi="Verdana" w:cs="Arial"/>
          <w:sz w:val="17"/>
          <w:szCs w:val="17"/>
        </w:rPr>
      </w:pPr>
    </w:p>
    <w:p w14:paraId="0C8E41D8" w14:textId="77777777" w:rsidR="00C82F0D" w:rsidRPr="00107B4D" w:rsidRDefault="00C82F0D" w:rsidP="008E1070">
      <w:pPr>
        <w:ind w:left="1418"/>
        <w:jc w:val="both"/>
        <w:rPr>
          <w:rFonts w:ascii="Verdana" w:hAnsi="Verdana" w:cs="Arial"/>
          <w:sz w:val="17"/>
          <w:szCs w:val="17"/>
        </w:rPr>
      </w:pPr>
      <w:r w:rsidRPr="00107B4D">
        <w:rPr>
          <w:rFonts w:ascii="Verdana" w:hAnsi="Verdana" w:cs="Arial"/>
          <w:sz w:val="17"/>
          <w:szCs w:val="17"/>
        </w:rPr>
        <w:t>A venda deverá ser concretizada:</w:t>
      </w:r>
    </w:p>
    <w:p w14:paraId="4880C426" w14:textId="77777777" w:rsidR="00C82F0D" w:rsidRPr="00107B4D" w:rsidRDefault="00C82F0D" w:rsidP="008E1070">
      <w:pPr>
        <w:ind w:left="1418"/>
        <w:jc w:val="both"/>
        <w:rPr>
          <w:rFonts w:ascii="Verdana" w:hAnsi="Verdana" w:cs="Arial"/>
          <w:sz w:val="17"/>
          <w:szCs w:val="17"/>
        </w:rPr>
      </w:pPr>
    </w:p>
    <w:p w14:paraId="0EF1C6FD" w14:textId="77777777" w:rsidR="00C82F0D" w:rsidRPr="00107B4D" w:rsidRDefault="00C82F0D" w:rsidP="00D84952">
      <w:pPr>
        <w:pStyle w:val="PargrafodaLista"/>
        <w:numPr>
          <w:ilvl w:val="0"/>
          <w:numId w:val="15"/>
        </w:numPr>
        <w:ind w:left="1843"/>
        <w:jc w:val="both"/>
        <w:rPr>
          <w:rFonts w:ascii="Verdana" w:hAnsi="Verdana" w:cs="Arial"/>
          <w:sz w:val="17"/>
          <w:szCs w:val="17"/>
        </w:rPr>
      </w:pPr>
      <w:r w:rsidRPr="00107B4D">
        <w:rPr>
          <w:rFonts w:ascii="Verdana" w:hAnsi="Verdana" w:cs="Arial"/>
          <w:sz w:val="17"/>
          <w:szCs w:val="17"/>
        </w:rPr>
        <w:t>Regra geral, até ao prazo de um ano após a classificação como ativo detido para venda; e</w:t>
      </w:r>
    </w:p>
    <w:p w14:paraId="6C6BA1F0" w14:textId="77777777" w:rsidR="00C82F0D" w:rsidRPr="00107B4D" w:rsidRDefault="00C82F0D" w:rsidP="008E1070">
      <w:pPr>
        <w:ind w:left="1843"/>
        <w:jc w:val="both"/>
        <w:rPr>
          <w:rFonts w:ascii="Verdana" w:hAnsi="Verdana" w:cs="Arial"/>
          <w:sz w:val="17"/>
          <w:szCs w:val="17"/>
        </w:rPr>
      </w:pPr>
    </w:p>
    <w:p w14:paraId="78305FB5" w14:textId="77777777" w:rsidR="00C82F0D" w:rsidRPr="00107B4D" w:rsidRDefault="00C82F0D" w:rsidP="00D84952">
      <w:pPr>
        <w:pStyle w:val="PargrafodaLista"/>
        <w:numPr>
          <w:ilvl w:val="0"/>
          <w:numId w:val="15"/>
        </w:numPr>
        <w:ind w:left="1843"/>
        <w:jc w:val="both"/>
        <w:rPr>
          <w:rFonts w:ascii="Verdana" w:hAnsi="Verdana" w:cs="Arial"/>
          <w:sz w:val="17"/>
          <w:szCs w:val="17"/>
        </w:rPr>
      </w:pPr>
      <w:r w:rsidRPr="00107B4D">
        <w:rPr>
          <w:rFonts w:ascii="Verdana" w:hAnsi="Verdana" w:cs="Arial"/>
          <w:sz w:val="17"/>
          <w:szCs w:val="17"/>
        </w:rPr>
        <w:t>Este prazo pode ser estendido caso ocorram acontecimentos ou circunstâncias fora do controlo da entidade (por exemplo, alterações aprovadas por entidades reguladoras do mercado) e haja compromisso por parte desta relativamente ao plano de realização da venda.</w:t>
      </w:r>
    </w:p>
    <w:p w14:paraId="72D495C4" w14:textId="77777777" w:rsidR="00C82F0D" w:rsidRPr="00107B4D" w:rsidRDefault="00C82F0D" w:rsidP="008E1070">
      <w:pPr>
        <w:ind w:left="1418"/>
        <w:jc w:val="both"/>
        <w:rPr>
          <w:rFonts w:ascii="Verdana" w:hAnsi="Verdana" w:cs="Arial"/>
          <w:sz w:val="17"/>
          <w:szCs w:val="17"/>
        </w:rPr>
      </w:pPr>
    </w:p>
    <w:p w14:paraId="60827983" w14:textId="77777777" w:rsidR="00C82F0D" w:rsidRPr="00107B4D" w:rsidRDefault="00C82F0D" w:rsidP="008E1070">
      <w:pPr>
        <w:ind w:left="1418"/>
        <w:jc w:val="both"/>
        <w:rPr>
          <w:rFonts w:ascii="Verdana" w:hAnsi="Verdana" w:cs="Arial"/>
          <w:sz w:val="17"/>
          <w:szCs w:val="17"/>
          <w:u w:val="single"/>
        </w:rPr>
      </w:pPr>
    </w:p>
    <w:p w14:paraId="087C736E" w14:textId="77777777" w:rsidR="00C82F0D" w:rsidRPr="00107B4D" w:rsidRDefault="00C82F0D" w:rsidP="00D84952">
      <w:pPr>
        <w:pStyle w:val="PargrafodaLista"/>
        <w:numPr>
          <w:ilvl w:val="0"/>
          <w:numId w:val="4"/>
        </w:numPr>
        <w:ind w:left="1418" w:hanging="425"/>
        <w:jc w:val="both"/>
        <w:rPr>
          <w:rFonts w:ascii="Verdana" w:hAnsi="Verdana"/>
          <w:sz w:val="17"/>
          <w:szCs w:val="17"/>
        </w:rPr>
      </w:pPr>
      <w:r w:rsidRPr="00107B4D">
        <w:rPr>
          <w:rFonts w:ascii="Verdana" w:hAnsi="Verdana"/>
          <w:sz w:val="17"/>
          <w:szCs w:val="17"/>
        </w:rPr>
        <w:t>Inventários</w:t>
      </w:r>
    </w:p>
    <w:p w14:paraId="2964F876" w14:textId="77777777" w:rsidR="00C82F0D" w:rsidRPr="00107B4D" w:rsidRDefault="00C82F0D" w:rsidP="008E1070">
      <w:pPr>
        <w:ind w:left="1418"/>
        <w:jc w:val="both"/>
        <w:rPr>
          <w:rFonts w:ascii="Verdana" w:hAnsi="Verdana" w:cs="Arial"/>
          <w:sz w:val="17"/>
          <w:szCs w:val="17"/>
          <w:u w:val="single"/>
        </w:rPr>
      </w:pPr>
    </w:p>
    <w:p w14:paraId="219C94DF" w14:textId="77777777" w:rsidR="00C82F0D" w:rsidRPr="00107B4D" w:rsidRDefault="00C82F0D" w:rsidP="008E1070">
      <w:pPr>
        <w:ind w:left="1418"/>
        <w:jc w:val="both"/>
        <w:rPr>
          <w:rFonts w:ascii="Verdana" w:hAnsi="Verdana" w:cs="Arial"/>
          <w:sz w:val="17"/>
          <w:szCs w:val="17"/>
        </w:rPr>
      </w:pPr>
      <w:r w:rsidRPr="00107B4D">
        <w:rPr>
          <w:rFonts w:ascii="Verdana" w:hAnsi="Verdana" w:cs="Arial"/>
          <w:sz w:val="17"/>
          <w:szCs w:val="17"/>
        </w:rPr>
        <w:t>Os inventários encontram-se valorizados ao menor do custo de aquisição ou valor realizável líquido. O valor realizável líquido corresponde ao valor de venda estimado com base em avaliações elaboradas por peritos externos.</w:t>
      </w:r>
    </w:p>
    <w:p w14:paraId="0F07E5DD" w14:textId="77777777" w:rsidR="00C82F0D" w:rsidRPr="00107B4D" w:rsidRDefault="00C82F0D" w:rsidP="008E1070">
      <w:pPr>
        <w:ind w:left="1418"/>
        <w:jc w:val="both"/>
        <w:rPr>
          <w:rFonts w:ascii="Verdana" w:hAnsi="Verdana" w:cs="Arial"/>
          <w:sz w:val="17"/>
          <w:szCs w:val="17"/>
        </w:rPr>
      </w:pPr>
    </w:p>
    <w:p w14:paraId="3D0A0143" w14:textId="77777777" w:rsidR="00C82F0D" w:rsidRPr="00107B4D" w:rsidRDefault="00C82F0D" w:rsidP="00D84952">
      <w:pPr>
        <w:pStyle w:val="PargrafodaLista"/>
        <w:numPr>
          <w:ilvl w:val="0"/>
          <w:numId w:val="4"/>
        </w:numPr>
        <w:ind w:left="1418" w:hanging="425"/>
        <w:jc w:val="both"/>
        <w:rPr>
          <w:rFonts w:ascii="Verdana" w:hAnsi="Verdana"/>
          <w:sz w:val="17"/>
          <w:szCs w:val="17"/>
        </w:rPr>
      </w:pPr>
      <w:r w:rsidRPr="00107B4D">
        <w:rPr>
          <w:rFonts w:ascii="Verdana" w:hAnsi="Verdana"/>
          <w:sz w:val="17"/>
          <w:szCs w:val="17"/>
        </w:rPr>
        <w:t>Caixa e equivalentes de caixa</w:t>
      </w:r>
    </w:p>
    <w:p w14:paraId="43DF4719" w14:textId="77777777" w:rsidR="00C82F0D" w:rsidRPr="00107B4D" w:rsidRDefault="00C82F0D" w:rsidP="008E1070">
      <w:pPr>
        <w:ind w:left="1418"/>
        <w:jc w:val="both"/>
        <w:rPr>
          <w:rFonts w:ascii="Verdana" w:hAnsi="Verdana" w:cs="Arial"/>
          <w:sz w:val="17"/>
          <w:szCs w:val="17"/>
        </w:rPr>
      </w:pPr>
    </w:p>
    <w:p w14:paraId="67B7692A" w14:textId="77777777" w:rsidR="00C82F0D" w:rsidRPr="00107B4D" w:rsidRDefault="00C82F0D" w:rsidP="008E1070">
      <w:pPr>
        <w:ind w:left="1418"/>
        <w:jc w:val="both"/>
        <w:rPr>
          <w:rFonts w:ascii="Verdana" w:hAnsi="Verdana" w:cs="Arial"/>
          <w:sz w:val="17"/>
          <w:szCs w:val="17"/>
        </w:rPr>
      </w:pPr>
      <w:r w:rsidRPr="00107B4D">
        <w:rPr>
          <w:rFonts w:ascii="Verdana" w:hAnsi="Verdana" w:cs="Arial"/>
          <w:sz w:val="17"/>
          <w:szCs w:val="17"/>
        </w:rPr>
        <w:t xml:space="preserve">Os montantes incluídos na rubrica de “Caixa e equivalentes de caixa” correspondem aos valores de caixa, depósitos bancários e depósitos a prazo e outras aplicações de tesouraria vencíveis </w:t>
      </w:r>
      <w:proofErr w:type="gramStart"/>
      <w:r w:rsidRPr="00107B4D">
        <w:rPr>
          <w:rFonts w:ascii="Verdana" w:hAnsi="Verdana" w:cs="Arial"/>
          <w:sz w:val="17"/>
          <w:szCs w:val="17"/>
        </w:rPr>
        <w:t>a</w:t>
      </w:r>
      <w:proofErr w:type="gramEnd"/>
      <w:r w:rsidRPr="00107B4D">
        <w:rPr>
          <w:rFonts w:ascii="Verdana" w:hAnsi="Verdana" w:cs="Arial"/>
          <w:sz w:val="17"/>
          <w:szCs w:val="17"/>
        </w:rPr>
        <w:t xml:space="preserve"> menos de três meses e para os quais o risco de alteração de valor é insignificante.</w:t>
      </w:r>
    </w:p>
    <w:p w14:paraId="024A5D5C" w14:textId="77777777" w:rsidR="00C82F0D" w:rsidRPr="00107B4D" w:rsidRDefault="00C82F0D" w:rsidP="008E1070">
      <w:pPr>
        <w:ind w:left="1418"/>
        <w:jc w:val="both"/>
        <w:rPr>
          <w:rFonts w:ascii="Verdana" w:hAnsi="Verdana" w:cs="Arial"/>
          <w:sz w:val="17"/>
          <w:szCs w:val="17"/>
        </w:rPr>
      </w:pPr>
    </w:p>
    <w:p w14:paraId="79EC3184" w14:textId="77777777" w:rsidR="00C82F0D" w:rsidRPr="00107B4D" w:rsidRDefault="00C82F0D" w:rsidP="00D84952">
      <w:pPr>
        <w:pStyle w:val="PargrafodaLista"/>
        <w:numPr>
          <w:ilvl w:val="0"/>
          <w:numId w:val="4"/>
        </w:numPr>
        <w:ind w:left="1418" w:hanging="425"/>
        <w:jc w:val="both"/>
        <w:rPr>
          <w:rFonts w:ascii="Verdana" w:hAnsi="Verdana"/>
          <w:sz w:val="17"/>
          <w:szCs w:val="17"/>
        </w:rPr>
      </w:pPr>
      <w:r w:rsidRPr="00107B4D">
        <w:rPr>
          <w:rFonts w:ascii="Verdana" w:hAnsi="Verdana"/>
          <w:sz w:val="17"/>
          <w:szCs w:val="17"/>
        </w:rPr>
        <w:t>Benefícios de empregados</w:t>
      </w:r>
    </w:p>
    <w:p w14:paraId="75347D67" w14:textId="77777777" w:rsidR="00C82F0D" w:rsidRPr="00107B4D" w:rsidRDefault="00C82F0D" w:rsidP="008E1070">
      <w:pPr>
        <w:ind w:left="1418"/>
        <w:jc w:val="both"/>
        <w:rPr>
          <w:rFonts w:ascii="Verdana" w:hAnsi="Verdana" w:cs="Arial"/>
          <w:b/>
          <w:color w:val="000000"/>
          <w:sz w:val="17"/>
          <w:szCs w:val="17"/>
        </w:rPr>
      </w:pPr>
    </w:p>
    <w:p w14:paraId="79BBD146" w14:textId="77777777" w:rsidR="00C82F0D" w:rsidRPr="00107B4D" w:rsidRDefault="00C82F0D" w:rsidP="008E1070">
      <w:pPr>
        <w:ind w:left="1418"/>
        <w:jc w:val="both"/>
        <w:rPr>
          <w:rFonts w:ascii="Verdana" w:hAnsi="Verdana" w:cs="Arial"/>
          <w:sz w:val="17"/>
          <w:szCs w:val="17"/>
        </w:rPr>
      </w:pPr>
      <w:r w:rsidRPr="00107B4D">
        <w:rPr>
          <w:rFonts w:ascii="Verdana" w:hAnsi="Verdana" w:cs="Arial"/>
          <w:sz w:val="17"/>
          <w:szCs w:val="17"/>
        </w:rPr>
        <w:t>As responsabilidades com benefícios dos empregados são reconhecidas de acordo com os princípios estabelecidos pela Norma IAS 19 – Benefícios dos Trabalhadores.</w:t>
      </w:r>
    </w:p>
    <w:p w14:paraId="35586A2F" w14:textId="77777777" w:rsidR="00C82F0D" w:rsidRPr="00107B4D" w:rsidRDefault="00C82F0D" w:rsidP="008E1070">
      <w:pPr>
        <w:ind w:left="1418"/>
        <w:jc w:val="both"/>
        <w:rPr>
          <w:rFonts w:ascii="Verdana" w:hAnsi="Verdana" w:cs="Arial"/>
          <w:sz w:val="17"/>
          <w:szCs w:val="17"/>
        </w:rPr>
      </w:pPr>
    </w:p>
    <w:p w14:paraId="1BEE5B60" w14:textId="77777777" w:rsidR="00C82F0D" w:rsidRPr="00107B4D" w:rsidRDefault="00C82F0D" w:rsidP="008E1070">
      <w:pPr>
        <w:ind w:left="1418"/>
        <w:jc w:val="both"/>
        <w:rPr>
          <w:rFonts w:ascii="Verdana" w:hAnsi="Verdana" w:cs="Arial"/>
          <w:sz w:val="17"/>
          <w:szCs w:val="17"/>
        </w:rPr>
      </w:pPr>
      <w:r w:rsidRPr="00107B4D">
        <w:rPr>
          <w:rFonts w:ascii="Verdana" w:hAnsi="Verdana" w:cs="Arial"/>
          <w:sz w:val="17"/>
          <w:szCs w:val="17"/>
        </w:rPr>
        <w:t>O Decreto-Lei n.º 88/2012, de 11 de abril, determinou a integração no regime geral de segurança social, relativamente às eventualidades de invalidez, morte e doença, dos trabalhadores desta sociedade, bem como a extinção do “Fundo de Pensões do Grupo Ban</w:t>
      </w:r>
      <w:r w:rsidRPr="00107B4D">
        <w:rPr>
          <w:rFonts w:ascii="Verdana" w:hAnsi="Verdana" w:cs="Arial"/>
          <w:sz w:val="17"/>
          <w:szCs w:val="17"/>
        </w:rPr>
        <w:softHyphen/>
        <w:t>co Português de Negócios” através da sua integração na Caixa Geral de Aposentações (CGA).</w:t>
      </w:r>
    </w:p>
    <w:p w14:paraId="22344499" w14:textId="77777777" w:rsidR="00C82F0D" w:rsidRPr="00107B4D" w:rsidRDefault="00C82F0D" w:rsidP="008E1070">
      <w:pPr>
        <w:ind w:left="1418"/>
        <w:jc w:val="both"/>
        <w:rPr>
          <w:rFonts w:ascii="Verdana" w:hAnsi="Verdana" w:cs="Arial"/>
          <w:sz w:val="17"/>
          <w:szCs w:val="17"/>
        </w:rPr>
      </w:pPr>
    </w:p>
    <w:p w14:paraId="4A386970" w14:textId="77777777" w:rsidR="00C82F0D" w:rsidRPr="00107B4D" w:rsidRDefault="00C82F0D" w:rsidP="008E1070">
      <w:pPr>
        <w:ind w:left="1418"/>
        <w:jc w:val="both"/>
        <w:rPr>
          <w:rFonts w:ascii="Verdana" w:hAnsi="Verdana" w:cs="Arial"/>
          <w:sz w:val="17"/>
          <w:szCs w:val="17"/>
        </w:rPr>
      </w:pPr>
      <w:r w:rsidRPr="00107B4D">
        <w:rPr>
          <w:rFonts w:ascii="Verdana" w:hAnsi="Verdana" w:cs="Arial"/>
          <w:sz w:val="17"/>
          <w:szCs w:val="17"/>
        </w:rPr>
        <w:lastRenderedPageBreak/>
        <w:t xml:space="preserve">Assim, os trabalhadores que, tendo sido admitidos até 2 de março de 2009, até então abrangidos pelo ACT do Setor Bancário, passaram a estar protegidos, tal como os restantes, pelo regime geral da segurança social nas eventualidades de doença, invalidez e morte.  E, por outro lado, mantêm, igualmente, a proteção já atualmente garantida pelo regime geral de segurança social nas eventualidades de maternidade, paternidade e adoção, desemprego, doenças profissionais e velhice. </w:t>
      </w:r>
    </w:p>
    <w:p w14:paraId="7131CEF1" w14:textId="77777777" w:rsidR="00C82F0D" w:rsidRPr="00107B4D" w:rsidRDefault="00C82F0D" w:rsidP="008E1070">
      <w:pPr>
        <w:ind w:left="1418"/>
        <w:jc w:val="both"/>
        <w:rPr>
          <w:rFonts w:ascii="Verdana" w:hAnsi="Verdana" w:cs="Arial"/>
          <w:sz w:val="17"/>
          <w:szCs w:val="17"/>
        </w:rPr>
      </w:pPr>
    </w:p>
    <w:p w14:paraId="1EDCEAEA" w14:textId="77777777" w:rsidR="00C82F0D" w:rsidRPr="00107B4D" w:rsidRDefault="00C82F0D" w:rsidP="008E1070">
      <w:pPr>
        <w:ind w:left="1418"/>
        <w:jc w:val="both"/>
        <w:rPr>
          <w:rFonts w:ascii="Verdana" w:hAnsi="Verdana" w:cs="Arial"/>
          <w:sz w:val="17"/>
          <w:szCs w:val="17"/>
        </w:rPr>
      </w:pPr>
      <w:r w:rsidRPr="00107B4D">
        <w:rPr>
          <w:rFonts w:ascii="Verdana" w:hAnsi="Verdana" w:cs="Arial"/>
          <w:sz w:val="17"/>
          <w:szCs w:val="17"/>
        </w:rPr>
        <w:t>Os principais benefícios concedidos pela Sociedade incluem os encargos com saúde e outros benefícios de longo prazo:</w:t>
      </w:r>
    </w:p>
    <w:p w14:paraId="1C2CD41F" w14:textId="77777777" w:rsidR="00C82F0D" w:rsidRPr="00107B4D" w:rsidRDefault="00C82F0D" w:rsidP="008E1070">
      <w:pPr>
        <w:ind w:left="1418"/>
        <w:jc w:val="both"/>
        <w:rPr>
          <w:rFonts w:ascii="Verdana" w:hAnsi="Verdana" w:cs="Arial"/>
          <w:color w:val="000000"/>
          <w:sz w:val="17"/>
          <w:szCs w:val="17"/>
        </w:rPr>
      </w:pPr>
    </w:p>
    <w:p w14:paraId="7ED27D2E" w14:textId="77777777" w:rsidR="00C82F0D" w:rsidRPr="00107B4D" w:rsidRDefault="00C82F0D" w:rsidP="00D84952">
      <w:pPr>
        <w:pStyle w:val="PargrafodaLista"/>
        <w:numPr>
          <w:ilvl w:val="0"/>
          <w:numId w:val="16"/>
        </w:numPr>
        <w:ind w:left="1843"/>
        <w:jc w:val="both"/>
        <w:rPr>
          <w:rFonts w:ascii="Verdana" w:hAnsi="Verdana" w:cs="Arial"/>
          <w:color w:val="000000"/>
          <w:sz w:val="17"/>
          <w:szCs w:val="17"/>
        </w:rPr>
      </w:pPr>
      <w:r w:rsidRPr="00107B4D">
        <w:rPr>
          <w:rFonts w:ascii="Verdana" w:hAnsi="Verdana" w:cs="Arial"/>
          <w:color w:val="000000"/>
          <w:sz w:val="17"/>
          <w:szCs w:val="17"/>
          <w:u w:val="single"/>
        </w:rPr>
        <w:t>Encargos com saúde</w:t>
      </w:r>
    </w:p>
    <w:p w14:paraId="6C193855" w14:textId="77777777" w:rsidR="00C82F0D" w:rsidRPr="00107B4D" w:rsidRDefault="00C82F0D" w:rsidP="008E1070">
      <w:pPr>
        <w:pStyle w:val="PargrafodaLista"/>
        <w:ind w:left="1843"/>
        <w:jc w:val="both"/>
        <w:rPr>
          <w:rFonts w:ascii="Verdana" w:hAnsi="Verdana" w:cs="Arial"/>
          <w:color w:val="000000"/>
          <w:sz w:val="17"/>
          <w:szCs w:val="17"/>
          <w:u w:val="single"/>
        </w:rPr>
      </w:pPr>
    </w:p>
    <w:p w14:paraId="1E930101" w14:textId="77777777" w:rsidR="00C82F0D" w:rsidRPr="00107B4D" w:rsidRDefault="00C82F0D" w:rsidP="008E1070">
      <w:pPr>
        <w:pStyle w:val="PargrafodaLista"/>
        <w:ind w:left="1843"/>
        <w:jc w:val="both"/>
        <w:rPr>
          <w:rFonts w:ascii="Verdana" w:hAnsi="Verdana" w:cs="Arial"/>
          <w:color w:val="000000"/>
          <w:sz w:val="17"/>
          <w:szCs w:val="17"/>
        </w:rPr>
      </w:pPr>
      <w:r w:rsidRPr="00107B4D">
        <w:rPr>
          <w:rFonts w:ascii="Verdana" w:hAnsi="Verdana" w:cs="Arial"/>
          <w:sz w:val="17"/>
          <w:szCs w:val="17"/>
        </w:rPr>
        <w:t>A assistência médica aos empregados no ativo e pensionistas da Sociedade está a cargo do Serviço de Assistência Médico-Social (SAMS) e da segurança social.  As contribuições obrigatórias para o SAMS, a cargo da Sociedade, correspondem a 6,5% do total das retribuições efetivas dos trabalhadores no ativo, incluindo, entre outras, o subsídio de Férias e o subsídio de Natal.</w:t>
      </w:r>
    </w:p>
    <w:p w14:paraId="089A3B0A" w14:textId="77777777" w:rsidR="00C82F0D" w:rsidRPr="00107B4D" w:rsidRDefault="00C82F0D" w:rsidP="008E1070">
      <w:pPr>
        <w:ind w:left="1418"/>
        <w:jc w:val="both"/>
        <w:rPr>
          <w:rFonts w:ascii="Verdana" w:hAnsi="Verdana" w:cs="Arial"/>
          <w:color w:val="000000"/>
          <w:sz w:val="17"/>
          <w:szCs w:val="17"/>
        </w:rPr>
      </w:pPr>
    </w:p>
    <w:p w14:paraId="1FD7A08A" w14:textId="77777777" w:rsidR="00C82F0D" w:rsidRPr="00107B4D" w:rsidRDefault="00C82F0D" w:rsidP="00D84952">
      <w:pPr>
        <w:pStyle w:val="PargrafodaLista"/>
        <w:numPr>
          <w:ilvl w:val="0"/>
          <w:numId w:val="16"/>
        </w:numPr>
        <w:ind w:left="1843"/>
        <w:jc w:val="both"/>
        <w:rPr>
          <w:rFonts w:ascii="Verdana" w:hAnsi="Verdana" w:cs="Arial"/>
          <w:color w:val="000000"/>
          <w:sz w:val="17"/>
          <w:szCs w:val="17"/>
        </w:rPr>
      </w:pPr>
      <w:r w:rsidRPr="00107B4D">
        <w:rPr>
          <w:rFonts w:ascii="Verdana" w:hAnsi="Verdana" w:cs="Arial"/>
          <w:color w:val="000000"/>
          <w:sz w:val="17"/>
          <w:szCs w:val="17"/>
          <w:u w:val="single"/>
        </w:rPr>
        <w:t>Outros benefícios de longo prazo</w:t>
      </w:r>
    </w:p>
    <w:p w14:paraId="2E368090" w14:textId="77777777" w:rsidR="00C82F0D" w:rsidRPr="00107B4D" w:rsidRDefault="00C82F0D" w:rsidP="00D504C2">
      <w:pPr>
        <w:pStyle w:val="PargrafodaLista"/>
        <w:ind w:left="1843"/>
        <w:jc w:val="both"/>
        <w:rPr>
          <w:rFonts w:ascii="Verdana" w:hAnsi="Verdana" w:cs="Arial"/>
          <w:color w:val="000000"/>
          <w:sz w:val="17"/>
          <w:szCs w:val="17"/>
          <w:u w:val="single"/>
        </w:rPr>
      </w:pPr>
    </w:p>
    <w:p w14:paraId="7BEED127" w14:textId="77777777" w:rsidR="00C82F0D" w:rsidRPr="00107B4D" w:rsidRDefault="00C82F0D" w:rsidP="00D504C2">
      <w:pPr>
        <w:pStyle w:val="PargrafodaLista"/>
        <w:ind w:left="1843"/>
        <w:jc w:val="both"/>
        <w:rPr>
          <w:rFonts w:ascii="Verdana" w:hAnsi="Verdana" w:cs="Arial"/>
          <w:sz w:val="17"/>
          <w:szCs w:val="17"/>
        </w:rPr>
      </w:pPr>
      <w:r w:rsidRPr="00107B4D">
        <w:rPr>
          <w:rFonts w:ascii="Verdana" w:hAnsi="Verdana" w:cs="Arial"/>
          <w:sz w:val="17"/>
          <w:szCs w:val="17"/>
        </w:rPr>
        <w:t>A Sociedade tem ainda outras responsabilidades por benefícios de longo prazo concedidos a trabalhadores, incluindo responsabilidades com prémios de antiguidade e subsídio por morte antes da idade normal de reforma.</w:t>
      </w:r>
    </w:p>
    <w:p w14:paraId="13DAB1E4" w14:textId="77777777" w:rsidR="00C82F0D" w:rsidRPr="00107B4D" w:rsidRDefault="00C82F0D" w:rsidP="00D504C2">
      <w:pPr>
        <w:pStyle w:val="PargrafodaLista"/>
        <w:ind w:left="1843"/>
        <w:jc w:val="both"/>
        <w:rPr>
          <w:rFonts w:ascii="Verdana" w:hAnsi="Verdana" w:cs="Arial"/>
          <w:sz w:val="17"/>
          <w:szCs w:val="17"/>
        </w:rPr>
      </w:pPr>
    </w:p>
    <w:p w14:paraId="47E740E2" w14:textId="77777777" w:rsidR="00C82F0D" w:rsidRPr="00107B4D" w:rsidRDefault="00C82F0D" w:rsidP="00D504C2">
      <w:pPr>
        <w:pStyle w:val="PargrafodaLista"/>
        <w:ind w:left="1843"/>
        <w:jc w:val="both"/>
        <w:rPr>
          <w:rFonts w:ascii="Verdana" w:hAnsi="Verdana" w:cs="Arial"/>
          <w:color w:val="000000"/>
          <w:sz w:val="17"/>
          <w:szCs w:val="17"/>
        </w:rPr>
      </w:pPr>
      <w:r w:rsidRPr="00107B4D">
        <w:rPr>
          <w:rFonts w:ascii="Verdana" w:hAnsi="Verdana" w:cs="Arial"/>
          <w:sz w:val="17"/>
          <w:szCs w:val="17"/>
        </w:rPr>
        <w:t>As responsabilidades com estes benefícios são determinadas com base em avaliações atuariais.</w:t>
      </w:r>
    </w:p>
    <w:p w14:paraId="0DB0FBC4" w14:textId="77777777" w:rsidR="00C82F0D" w:rsidRPr="00107B4D" w:rsidRDefault="00C82F0D" w:rsidP="008E1070">
      <w:pPr>
        <w:ind w:left="1418"/>
        <w:jc w:val="both"/>
        <w:rPr>
          <w:rFonts w:ascii="Verdana" w:hAnsi="Verdana" w:cs="Arial"/>
          <w:sz w:val="17"/>
          <w:szCs w:val="17"/>
        </w:rPr>
      </w:pPr>
    </w:p>
    <w:p w14:paraId="59B743A0" w14:textId="77777777" w:rsidR="00C82F0D" w:rsidRPr="00107B4D" w:rsidRDefault="00C82F0D" w:rsidP="00D84952">
      <w:pPr>
        <w:pStyle w:val="PargrafodaLista"/>
        <w:numPr>
          <w:ilvl w:val="0"/>
          <w:numId w:val="4"/>
        </w:numPr>
        <w:ind w:left="1418" w:hanging="425"/>
        <w:jc w:val="both"/>
        <w:rPr>
          <w:rFonts w:ascii="Verdana" w:hAnsi="Verdana"/>
          <w:sz w:val="17"/>
          <w:szCs w:val="17"/>
        </w:rPr>
      </w:pPr>
      <w:r w:rsidRPr="00107B4D">
        <w:rPr>
          <w:rFonts w:ascii="Verdana" w:hAnsi="Verdana"/>
          <w:sz w:val="17"/>
          <w:szCs w:val="17"/>
        </w:rPr>
        <w:t>Provisões e passivos contingentes</w:t>
      </w:r>
    </w:p>
    <w:p w14:paraId="66AA3E85" w14:textId="77777777" w:rsidR="00C82F0D" w:rsidRPr="00107B4D" w:rsidRDefault="00C82F0D" w:rsidP="00D504C2">
      <w:pPr>
        <w:pStyle w:val="PargrafodaLista"/>
        <w:ind w:left="1418"/>
        <w:jc w:val="both"/>
        <w:rPr>
          <w:rFonts w:ascii="Verdana" w:hAnsi="Verdana" w:cs="Arial"/>
          <w:sz w:val="17"/>
          <w:szCs w:val="17"/>
        </w:rPr>
      </w:pPr>
    </w:p>
    <w:p w14:paraId="2C2D55A6" w14:textId="77777777" w:rsidR="00C82F0D" w:rsidRPr="00107B4D" w:rsidRDefault="00C82F0D" w:rsidP="00D504C2">
      <w:pPr>
        <w:pStyle w:val="PargrafodaLista"/>
        <w:ind w:left="1418"/>
        <w:jc w:val="both"/>
        <w:rPr>
          <w:rFonts w:ascii="Verdana" w:hAnsi="Verdana" w:cs="Arial"/>
          <w:sz w:val="17"/>
          <w:szCs w:val="17"/>
        </w:rPr>
      </w:pPr>
      <w:r w:rsidRPr="00107B4D">
        <w:rPr>
          <w:rFonts w:ascii="Verdana" w:hAnsi="Verdana" w:cs="Arial"/>
          <w:sz w:val="17"/>
          <w:szCs w:val="17"/>
        </w:rPr>
        <w:t xml:space="preserve">Uma provisão é constituída quando existe uma obrigação presente (legal ou construtiva) resultante de eventos passados relativamente à qual seja provável o futuro dispêndio de recursos, e este possa ser determinado com fiabilidade.  O montante da provisão corresponde à melhor estimativa do valor a desembolsar para liquidar a responsabilidade na data do balanço. </w:t>
      </w:r>
    </w:p>
    <w:p w14:paraId="623B9945" w14:textId="77777777" w:rsidR="00C82F0D" w:rsidRPr="00107B4D" w:rsidRDefault="00C82F0D" w:rsidP="00D504C2">
      <w:pPr>
        <w:pStyle w:val="PargrafodaLista"/>
        <w:ind w:left="1418"/>
        <w:jc w:val="both"/>
        <w:rPr>
          <w:rFonts w:ascii="Verdana" w:hAnsi="Verdana" w:cs="Arial"/>
          <w:sz w:val="17"/>
          <w:szCs w:val="17"/>
        </w:rPr>
      </w:pPr>
    </w:p>
    <w:p w14:paraId="2373CF59" w14:textId="77777777" w:rsidR="00C82F0D" w:rsidRPr="00107B4D" w:rsidRDefault="00C82F0D" w:rsidP="00D504C2">
      <w:pPr>
        <w:pStyle w:val="PargrafodaLista"/>
        <w:ind w:left="1418"/>
        <w:jc w:val="both"/>
        <w:rPr>
          <w:rFonts w:ascii="Verdana" w:hAnsi="Verdana"/>
          <w:sz w:val="17"/>
          <w:szCs w:val="17"/>
        </w:rPr>
      </w:pPr>
      <w:r w:rsidRPr="00107B4D">
        <w:rPr>
          <w:rFonts w:ascii="Verdana" w:hAnsi="Verdana" w:cs="Arial"/>
          <w:sz w:val="17"/>
          <w:szCs w:val="17"/>
        </w:rPr>
        <w:t>Caso não seja provável o futuro dispêndio de recursos, trata-se de um passivo contingente.  Os passivos contingentes são apenas objeto de divulgação, a menos que a possibilidade da sua concretização seja remota.</w:t>
      </w:r>
    </w:p>
    <w:p w14:paraId="2CE656A9" w14:textId="77777777" w:rsidR="00C82F0D" w:rsidRPr="00107B4D" w:rsidRDefault="00C82F0D" w:rsidP="00633A3B">
      <w:pPr>
        <w:ind w:left="993"/>
        <w:jc w:val="both"/>
        <w:rPr>
          <w:rFonts w:ascii="Verdana" w:hAnsi="Verdana" w:cs="Arial"/>
          <w:sz w:val="17"/>
          <w:szCs w:val="17"/>
          <w:u w:val="single"/>
        </w:rPr>
      </w:pPr>
    </w:p>
    <w:p w14:paraId="1B975642" w14:textId="77777777" w:rsidR="00C82F0D" w:rsidRPr="00107B4D" w:rsidRDefault="00C82F0D" w:rsidP="00D84952">
      <w:pPr>
        <w:pStyle w:val="PargrafodaLista"/>
        <w:numPr>
          <w:ilvl w:val="0"/>
          <w:numId w:val="4"/>
        </w:numPr>
        <w:ind w:left="1418" w:hanging="425"/>
        <w:jc w:val="both"/>
        <w:rPr>
          <w:rFonts w:ascii="Verdana" w:hAnsi="Verdana"/>
          <w:sz w:val="17"/>
          <w:szCs w:val="17"/>
        </w:rPr>
      </w:pPr>
      <w:r w:rsidRPr="00107B4D">
        <w:rPr>
          <w:rFonts w:ascii="Verdana" w:hAnsi="Verdana"/>
          <w:sz w:val="17"/>
          <w:szCs w:val="17"/>
        </w:rPr>
        <w:t xml:space="preserve">Reconhecimento de juros </w:t>
      </w:r>
    </w:p>
    <w:p w14:paraId="17D4D2AF" w14:textId="77777777" w:rsidR="00C82F0D" w:rsidRPr="00107B4D" w:rsidRDefault="00C82F0D" w:rsidP="00D504C2">
      <w:pPr>
        <w:ind w:left="1418"/>
        <w:jc w:val="both"/>
        <w:rPr>
          <w:rFonts w:ascii="Verdana" w:hAnsi="Verdana" w:cs="Arial"/>
          <w:sz w:val="17"/>
          <w:szCs w:val="17"/>
        </w:rPr>
      </w:pPr>
    </w:p>
    <w:p w14:paraId="5AA33999" w14:textId="77777777" w:rsidR="00C82F0D" w:rsidRPr="00107B4D" w:rsidRDefault="00C82F0D" w:rsidP="00856A64">
      <w:pPr>
        <w:ind w:left="1418"/>
        <w:jc w:val="both"/>
        <w:rPr>
          <w:rFonts w:ascii="Verdana" w:hAnsi="Verdana" w:cs="Arial"/>
          <w:sz w:val="17"/>
          <w:szCs w:val="17"/>
          <w:u w:val="single"/>
        </w:rPr>
      </w:pPr>
      <w:r w:rsidRPr="00107B4D">
        <w:rPr>
          <w:rFonts w:ascii="Verdana" w:hAnsi="Verdana" w:cs="Arial"/>
          <w:sz w:val="17"/>
          <w:szCs w:val="17"/>
        </w:rPr>
        <w:t xml:space="preserve">Os juros são em geral reconhecidos linearmente ao longo do período das operações. Contudo, dadas as caraterísticas da carteira de “Outras contas a receber”, a Sociedade não reconhece em regra os respetivos juros face à inexistência de expetativa real quanto ao seu recebimento, pelo que são reconhecidos numa base de caixa.  Desta forma, os juros registados na rubrica “Rendimentos e ganhos financeiros – juros de operações de crédito” respeitam a juros efetivamente recebidos. </w:t>
      </w:r>
    </w:p>
    <w:p w14:paraId="42E57AFF" w14:textId="77777777" w:rsidR="00C82F0D" w:rsidRPr="00107B4D" w:rsidRDefault="00C82F0D" w:rsidP="00D504C2">
      <w:pPr>
        <w:ind w:left="1418"/>
        <w:jc w:val="both"/>
        <w:rPr>
          <w:rFonts w:ascii="Verdana" w:hAnsi="Verdana" w:cs="Arial"/>
          <w:sz w:val="17"/>
          <w:szCs w:val="17"/>
          <w:u w:val="single"/>
        </w:rPr>
      </w:pPr>
    </w:p>
    <w:p w14:paraId="78AC6F5C" w14:textId="77777777" w:rsidR="00C82F0D" w:rsidRPr="00107B4D" w:rsidRDefault="00C82F0D" w:rsidP="00D84952">
      <w:pPr>
        <w:pStyle w:val="PargrafodaLista"/>
        <w:numPr>
          <w:ilvl w:val="0"/>
          <w:numId w:val="4"/>
        </w:numPr>
        <w:ind w:left="1418" w:hanging="425"/>
        <w:jc w:val="both"/>
        <w:rPr>
          <w:rFonts w:ascii="Verdana" w:hAnsi="Verdana"/>
          <w:sz w:val="17"/>
          <w:szCs w:val="17"/>
        </w:rPr>
      </w:pPr>
      <w:r w:rsidRPr="00107B4D">
        <w:rPr>
          <w:rFonts w:ascii="Verdana" w:hAnsi="Verdana"/>
          <w:sz w:val="17"/>
          <w:szCs w:val="17"/>
        </w:rPr>
        <w:t>Conversão de saldos e transações em moeda estrangeira</w:t>
      </w:r>
    </w:p>
    <w:p w14:paraId="0A391DC0" w14:textId="77777777" w:rsidR="00C82F0D" w:rsidRPr="00107B4D" w:rsidRDefault="00C82F0D" w:rsidP="00D504C2">
      <w:pPr>
        <w:ind w:left="1418"/>
        <w:jc w:val="both"/>
        <w:rPr>
          <w:rFonts w:ascii="Verdana" w:hAnsi="Verdana" w:cs="Arial"/>
          <w:sz w:val="17"/>
          <w:szCs w:val="17"/>
        </w:rPr>
      </w:pPr>
    </w:p>
    <w:p w14:paraId="4C371602" w14:textId="77777777" w:rsidR="00C82F0D" w:rsidRPr="00107B4D" w:rsidRDefault="00C82F0D" w:rsidP="00D504C2">
      <w:pPr>
        <w:ind w:left="1418"/>
        <w:jc w:val="both"/>
        <w:rPr>
          <w:rFonts w:ascii="Verdana" w:hAnsi="Verdana" w:cs="Arial"/>
          <w:sz w:val="17"/>
          <w:szCs w:val="17"/>
        </w:rPr>
      </w:pPr>
      <w:r w:rsidRPr="00107B4D">
        <w:rPr>
          <w:rFonts w:ascii="Verdana" w:hAnsi="Verdana" w:cs="Arial"/>
          <w:sz w:val="17"/>
          <w:szCs w:val="17"/>
        </w:rPr>
        <w:t>As demonstrações financeiras da Sociedade são preparadas de acordo com a divisa utilizada no ambiente económico em que opera (denominada “moeda funcional”), nomeadamente o Euro.  As transações em moeda estrangeira são registadas com base nas taxas de câmbio indicativas na data em que foram realizadas.  Em cada data de balanço, os ativos e passivos monetários denominados em moeda estrangeira são convertidos para a moeda funcional com base na taxa de câmbio em vigor.  Os ativos não monetários que sejam valorizados ao justo valor são convertidos com base na taxa de câmbio em vigor na data da última valorização.  Os ativos não monetários registados ao custo histórico, incluindo ativos tangíveis e intangíveis, permanecem registados à taxa de câmbio original.</w:t>
      </w:r>
    </w:p>
    <w:p w14:paraId="78541A99" w14:textId="77777777" w:rsidR="00C82F0D" w:rsidRDefault="00C82F0D" w:rsidP="00D504C2">
      <w:pPr>
        <w:ind w:left="1418"/>
        <w:jc w:val="both"/>
        <w:rPr>
          <w:rFonts w:ascii="Verdana" w:hAnsi="Verdana" w:cs="Arial"/>
          <w:sz w:val="17"/>
          <w:szCs w:val="17"/>
          <w:u w:val="single"/>
        </w:rPr>
      </w:pPr>
    </w:p>
    <w:p w14:paraId="4D8D518C" w14:textId="77777777" w:rsidR="00C82F0D" w:rsidRDefault="00C82F0D" w:rsidP="00D504C2">
      <w:pPr>
        <w:ind w:left="1418"/>
        <w:jc w:val="both"/>
        <w:rPr>
          <w:rFonts w:ascii="Verdana" w:hAnsi="Verdana" w:cs="Arial"/>
          <w:sz w:val="17"/>
          <w:szCs w:val="17"/>
          <w:u w:val="single"/>
        </w:rPr>
      </w:pPr>
    </w:p>
    <w:p w14:paraId="417E4C57" w14:textId="77777777" w:rsidR="00C82F0D" w:rsidRDefault="00C82F0D" w:rsidP="00D504C2">
      <w:pPr>
        <w:ind w:left="1418"/>
        <w:jc w:val="both"/>
        <w:rPr>
          <w:rFonts w:ascii="Verdana" w:hAnsi="Verdana" w:cs="Arial"/>
          <w:sz w:val="17"/>
          <w:szCs w:val="17"/>
          <w:u w:val="single"/>
        </w:rPr>
      </w:pPr>
    </w:p>
    <w:p w14:paraId="25436F56" w14:textId="77777777" w:rsidR="00C82F0D" w:rsidRPr="00107B4D" w:rsidRDefault="00C82F0D" w:rsidP="00D504C2">
      <w:pPr>
        <w:ind w:left="1418"/>
        <w:jc w:val="both"/>
        <w:rPr>
          <w:rFonts w:ascii="Verdana" w:hAnsi="Verdana" w:cs="Arial"/>
          <w:sz w:val="17"/>
          <w:szCs w:val="17"/>
          <w:u w:val="single"/>
        </w:rPr>
      </w:pPr>
    </w:p>
    <w:p w14:paraId="271305E5" w14:textId="77777777" w:rsidR="00C82F0D" w:rsidRPr="00107B4D" w:rsidRDefault="00C82F0D" w:rsidP="00D84952">
      <w:pPr>
        <w:pStyle w:val="PargrafodaLista"/>
        <w:numPr>
          <w:ilvl w:val="0"/>
          <w:numId w:val="4"/>
        </w:numPr>
        <w:ind w:left="1418" w:hanging="425"/>
        <w:jc w:val="both"/>
        <w:rPr>
          <w:rFonts w:ascii="Verdana" w:hAnsi="Verdana" w:cs="Calibri Light"/>
          <w:iCs/>
          <w:spacing w:val="-2"/>
          <w:sz w:val="17"/>
          <w:szCs w:val="17"/>
        </w:rPr>
      </w:pPr>
      <w:r w:rsidRPr="00107B4D">
        <w:rPr>
          <w:rFonts w:ascii="Verdana" w:hAnsi="Verdana" w:cs="Calibri Light"/>
          <w:iCs/>
          <w:spacing w:val="-2"/>
          <w:sz w:val="17"/>
          <w:szCs w:val="17"/>
        </w:rPr>
        <w:lastRenderedPageBreak/>
        <w:t>Locações</w:t>
      </w:r>
    </w:p>
    <w:p w14:paraId="1FD5D8E4" w14:textId="77777777" w:rsidR="00C82F0D" w:rsidRPr="00107B4D" w:rsidRDefault="00C82F0D" w:rsidP="00D504C2">
      <w:pPr>
        <w:ind w:left="1418"/>
        <w:jc w:val="both"/>
        <w:rPr>
          <w:rFonts w:ascii="Verdana" w:hAnsi="Verdana" w:cs="Arial"/>
          <w:sz w:val="17"/>
          <w:szCs w:val="17"/>
        </w:rPr>
      </w:pPr>
    </w:p>
    <w:p w14:paraId="69EE6D3B" w14:textId="77777777" w:rsidR="00C82F0D" w:rsidRPr="00107B4D" w:rsidRDefault="00C82F0D" w:rsidP="00D504C2">
      <w:pPr>
        <w:ind w:left="1418"/>
        <w:jc w:val="both"/>
        <w:rPr>
          <w:rFonts w:ascii="Verdana" w:hAnsi="Verdana" w:cs="Arial"/>
          <w:sz w:val="17"/>
          <w:szCs w:val="17"/>
        </w:rPr>
      </w:pPr>
      <w:r w:rsidRPr="00107B4D">
        <w:rPr>
          <w:rFonts w:ascii="Verdana" w:hAnsi="Verdana" w:cs="Arial"/>
          <w:sz w:val="17"/>
          <w:szCs w:val="17"/>
        </w:rPr>
        <w:t>A Sociedade reconhece para todas as locações, com exceção das locações com um período inferior a 12 meses ou locações que incidam sobre ativos de valor unitário reduzido (inferior a 5.000 euros):</w:t>
      </w:r>
    </w:p>
    <w:p w14:paraId="7AE1586E" w14:textId="77777777" w:rsidR="00C82F0D" w:rsidRPr="00107B4D" w:rsidRDefault="00C82F0D" w:rsidP="00D504C2">
      <w:pPr>
        <w:ind w:left="1418"/>
        <w:jc w:val="both"/>
        <w:rPr>
          <w:rFonts w:ascii="Verdana" w:hAnsi="Verdana" w:cs="Arial"/>
          <w:sz w:val="18"/>
          <w:szCs w:val="18"/>
        </w:rPr>
      </w:pPr>
      <w:r w:rsidRPr="00107B4D">
        <w:rPr>
          <w:rFonts w:ascii="Verdana" w:hAnsi="Verdana" w:cs="Arial"/>
          <w:sz w:val="18"/>
          <w:szCs w:val="18"/>
        </w:rPr>
        <w:t xml:space="preserve"> </w:t>
      </w:r>
    </w:p>
    <w:p w14:paraId="320A78A9" w14:textId="77777777" w:rsidR="00C82F0D" w:rsidRPr="00227AAF" w:rsidRDefault="00C82F0D" w:rsidP="00C82F0D">
      <w:pPr>
        <w:pStyle w:val="PargrafodaLista"/>
        <w:numPr>
          <w:ilvl w:val="0"/>
          <w:numId w:val="25"/>
        </w:numPr>
        <w:jc w:val="both"/>
        <w:rPr>
          <w:rFonts w:ascii="Verdana" w:hAnsi="Verdana" w:cs="Arial"/>
          <w:sz w:val="17"/>
          <w:szCs w:val="17"/>
        </w:rPr>
      </w:pPr>
      <w:r w:rsidRPr="00227AAF">
        <w:rPr>
          <w:rFonts w:ascii="Verdana" w:hAnsi="Verdana" w:cs="Arial"/>
          <w:sz w:val="17"/>
          <w:szCs w:val="17"/>
        </w:rPr>
        <w:t xml:space="preserve">um ativo sob direito de uso, inicialmente mensurado ao custo, tendo em conta o </w:t>
      </w:r>
      <w:r w:rsidRPr="00227AAF">
        <w:rPr>
          <w:rFonts w:ascii="Verdana" w:hAnsi="Verdana" w:cs="Arial"/>
          <w:i/>
          <w:iCs/>
          <w:sz w:val="17"/>
          <w:szCs w:val="17"/>
        </w:rPr>
        <w:t xml:space="preserve">Net </w:t>
      </w:r>
      <w:proofErr w:type="spellStart"/>
      <w:r w:rsidRPr="00227AAF">
        <w:rPr>
          <w:rFonts w:ascii="Verdana" w:hAnsi="Verdana" w:cs="Arial"/>
          <w:i/>
          <w:iCs/>
          <w:sz w:val="17"/>
          <w:szCs w:val="17"/>
        </w:rPr>
        <w:t>Present</w:t>
      </w:r>
      <w:proofErr w:type="spellEnd"/>
      <w:r w:rsidRPr="00227AAF">
        <w:rPr>
          <w:rFonts w:ascii="Verdana" w:hAnsi="Verdana" w:cs="Arial"/>
          <w:i/>
          <w:iCs/>
          <w:sz w:val="17"/>
          <w:szCs w:val="17"/>
        </w:rPr>
        <w:t xml:space="preserve"> </w:t>
      </w:r>
      <w:proofErr w:type="spellStart"/>
      <w:r w:rsidRPr="00227AAF">
        <w:rPr>
          <w:rFonts w:ascii="Verdana" w:hAnsi="Verdana" w:cs="Arial"/>
          <w:i/>
          <w:iCs/>
          <w:sz w:val="17"/>
          <w:szCs w:val="17"/>
        </w:rPr>
        <w:t>Value</w:t>
      </w:r>
      <w:proofErr w:type="spellEnd"/>
      <w:r w:rsidRPr="00227AAF">
        <w:rPr>
          <w:rFonts w:ascii="Verdana" w:hAnsi="Verdana" w:cs="Arial"/>
          <w:sz w:val="17"/>
          <w:szCs w:val="17"/>
        </w:rPr>
        <w:t xml:space="preserve"> (NPV) do passivo da locação, acrescido de pagamentos efetuados (fixos e/ou variáveis) deduzidos de incentivos à locação recebidos, penalidades por término (se razoavelmente certas), bem como eventuais estimativas de custo a serem suportadas pelo locatário com o desmantelamento e remoção do ativo subjacente e/ou com a restauração do local onde este está localizado. Subsequentemente é mensurado de acordo com o modelo do custo (sujeito a depreciações/amortizações de acordo com o prazo de locação de cada contrato e a testes de imparidade); </w:t>
      </w:r>
    </w:p>
    <w:p w14:paraId="56C3B93E" w14:textId="77777777" w:rsidR="00C82F0D" w:rsidRPr="00107B4D" w:rsidRDefault="00C82F0D" w:rsidP="00D504C2">
      <w:pPr>
        <w:ind w:left="1418"/>
        <w:jc w:val="both"/>
        <w:rPr>
          <w:rFonts w:ascii="Verdana" w:hAnsi="Verdana" w:cs="Arial"/>
          <w:sz w:val="17"/>
          <w:szCs w:val="17"/>
        </w:rPr>
      </w:pPr>
    </w:p>
    <w:p w14:paraId="2DA6752A" w14:textId="77777777" w:rsidR="00C82F0D" w:rsidRPr="00227AAF" w:rsidRDefault="00C82F0D" w:rsidP="00C82F0D">
      <w:pPr>
        <w:pStyle w:val="PargrafodaLista"/>
        <w:numPr>
          <w:ilvl w:val="0"/>
          <w:numId w:val="25"/>
        </w:numPr>
        <w:jc w:val="both"/>
        <w:rPr>
          <w:rFonts w:ascii="Verdana" w:hAnsi="Verdana" w:cs="Arial"/>
          <w:sz w:val="17"/>
          <w:szCs w:val="17"/>
        </w:rPr>
      </w:pPr>
      <w:r w:rsidRPr="00227AAF">
        <w:rPr>
          <w:rFonts w:ascii="Verdana" w:hAnsi="Verdana" w:cs="Arial"/>
          <w:sz w:val="17"/>
          <w:szCs w:val="17"/>
        </w:rPr>
        <w:t xml:space="preserve">um passivo da locação, registado inicialmente pelo valor presente dos fluxos de caixa futuros da locação (NPV), o que inclui: </w:t>
      </w:r>
    </w:p>
    <w:p w14:paraId="65E9867A" w14:textId="77777777" w:rsidR="00C82F0D" w:rsidRPr="00227AAF" w:rsidRDefault="00C82F0D" w:rsidP="00C82F0D">
      <w:pPr>
        <w:pStyle w:val="PargrafodaLista"/>
        <w:numPr>
          <w:ilvl w:val="1"/>
          <w:numId w:val="25"/>
        </w:numPr>
        <w:jc w:val="both"/>
        <w:rPr>
          <w:rFonts w:ascii="Verdana" w:hAnsi="Verdana" w:cs="Arial"/>
          <w:sz w:val="17"/>
          <w:szCs w:val="17"/>
        </w:rPr>
      </w:pPr>
      <w:r w:rsidRPr="00227AAF">
        <w:rPr>
          <w:rFonts w:ascii="Verdana" w:hAnsi="Verdana" w:cs="Arial"/>
          <w:sz w:val="17"/>
          <w:szCs w:val="17"/>
        </w:rPr>
        <w:t xml:space="preserve">pagamentos fixos, deduzidos os incentivos à locação a receber; </w:t>
      </w:r>
    </w:p>
    <w:p w14:paraId="4AD8D554" w14:textId="77777777" w:rsidR="00C82F0D" w:rsidRPr="00227AAF" w:rsidRDefault="00C82F0D" w:rsidP="00C82F0D">
      <w:pPr>
        <w:pStyle w:val="PargrafodaLista"/>
        <w:numPr>
          <w:ilvl w:val="1"/>
          <w:numId w:val="25"/>
        </w:numPr>
        <w:jc w:val="both"/>
        <w:rPr>
          <w:rFonts w:ascii="Verdana" w:hAnsi="Verdana" w:cs="Arial"/>
          <w:sz w:val="17"/>
          <w:szCs w:val="17"/>
        </w:rPr>
      </w:pPr>
      <w:r w:rsidRPr="00227AAF">
        <w:rPr>
          <w:rFonts w:ascii="Verdana" w:hAnsi="Verdana" w:cs="Arial"/>
          <w:sz w:val="17"/>
          <w:szCs w:val="17"/>
        </w:rPr>
        <w:t xml:space="preserve">pagamentos de locação variáveis que dependam de um índice ou taxa, mensurados inicialmente utilizando o índice ou a taxa à data de início do contrato; </w:t>
      </w:r>
    </w:p>
    <w:p w14:paraId="7B7CDDA4" w14:textId="77777777" w:rsidR="00C82F0D" w:rsidRPr="00227AAF" w:rsidRDefault="00C82F0D" w:rsidP="00C82F0D">
      <w:pPr>
        <w:pStyle w:val="PargrafodaLista"/>
        <w:numPr>
          <w:ilvl w:val="1"/>
          <w:numId w:val="25"/>
        </w:numPr>
        <w:jc w:val="both"/>
        <w:rPr>
          <w:rFonts w:ascii="Verdana" w:hAnsi="Verdana" w:cs="Arial"/>
          <w:sz w:val="17"/>
          <w:szCs w:val="17"/>
        </w:rPr>
      </w:pPr>
      <w:r w:rsidRPr="00227AAF">
        <w:rPr>
          <w:rFonts w:ascii="Verdana" w:hAnsi="Verdana" w:cs="Arial"/>
          <w:sz w:val="17"/>
          <w:szCs w:val="17"/>
        </w:rPr>
        <w:t xml:space="preserve">as quantias que deverão ser pagas pelo locatário a título de garantias de valor residual; </w:t>
      </w:r>
    </w:p>
    <w:p w14:paraId="004FCC86" w14:textId="77777777" w:rsidR="00C82F0D" w:rsidRPr="00227AAF" w:rsidRDefault="00C82F0D" w:rsidP="00C82F0D">
      <w:pPr>
        <w:pStyle w:val="PargrafodaLista"/>
        <w:numPr>
          <w:ilvl w:val="1"/>
          <w:numId w:val="25"/>
        </w:numPr>
        <w:jc w:val="both"/>
        <w:rPr>
          <w:rFonts w:ascii="Verdana" w:hAnsi="Verdana" w:cs="Arial"/>
          <w:sz w:val="17"/>
          <w:szCs w:val="17"/>
        </w:rPr>
      </w:pPr>
      <w:r w:rsidRPr="00227AAF">
        <w:rPr>
          <w:rFonts w:ascii="Verdana" w:hAnsi="Verdana" w:cs="Arial"/>
          <w:sz w:val="17"/>
          <w:szCs w:val="17"/>
        </w:rPr>
        <w:t xml:space="preserve">o preço do exercício de uma opção de compra, se o locatário estiver razoavelmente certo de exercer essa opção; </w:t>
      </w:r>
    </w:p>
    <w:p w14:paraId="1065F28B" w14:textId="77777777" w:rsidR="00C82F0D" w:rsidRPr="00227AAF" w:rsidRDefault="00C82F0D" w:rsidP="00C82F0D">
      <w:pPr>
        <w:pStyle w:val="PargrafodaLista"/>
        <w:numPr>
          <w:ilvl w:val="1"/>
          <w:numId w:val="25"/>
        </w:numPr>
        <w:jc w:val="both"/>
        <w:rPr>
          <w:rFonts w:ascii="Verdana" w:hAnsi="Verdana" w:cs="Arial"/>
          <w:sz w:val="17"/>
          <w:szCs w:val="17"/>
        </w:rPr>
      </w:pPr>
      <w:r w:rsidRPr="00227AAF">
        <w:rPr>
          <w:rFonts w:ascii="Verdana" w:hAnsi="Verdana" w:cs="Arial"/>
          <w:sz w:val="17"/>
          <w:szCs w:val="17"/>
        </w:rPr>
        <w:t>pagamentos de sanções por rescisão da locação, se o prazo da locação refletir o exercício de uma opção de rescisão da locação pelo locatário.</w:t>
      </w:r>
    </w:p>
    <w:p w14:paraId="32168B60" w14:textId="77777777" w:rsidR="00C82F0D" w:rsidRPr="00107B4D" w:rsidRDefault="00C82F0D" w:rsidP="00D504C2">
      <w:pPr>
        <w:ind w:left="1418"/>
        <w:jc w:val="both"/>
        <w:rPr>
          <w:rFonts w:ascii="Verdana" w:hAnsi="Verdana" w:cs="Arial"/>
          <w:sz w:val="17"/>
          <w:szCs w:val="17"/>
        </w:rPr>
      </w:pPr>
    </w:p>
    <w:p w14:paraId="25EDB1A8" w14:textId="77777777" w:rsidR="00C82F0D" w:rsidRDefault="00C82F0D" w:rsidP="00D504C2">
      <w:pPr>
        <w:ind w:left="1418"/>
        <w:jc w:val="both"/>
        <w:rPr>
          <w:rFonts w:ascii="Verdana" w:hAnsi="Verdana" w:cs="Arial"/>
          <w:sz w:val="18"/>
          <w:szCs w:val="18"/>
        </w:rPr>
      </w:pPr>
      <w:r w:rsidRPr="00107B4D">
        <w:rPr>
          <w:rFonts w:ascii="Verdana" w:hAnsi="Verdana" w:cs="Arial"/>
          <w:sz w:val="17"/>
          <w:szCs w:val="17"/>
        </w:rPr>
        <w:t xml:space="preserve">Dado que não é possível determinar com fiabilidade a taxa de juro implícita na locação (parágrafo 26 da IFRS 16), os pagamentos da locação são descontados segundo a taxa de juro que seria aplicável, caso a Sociedade se financiasse junto da </w:t>
      </w:r>
      <w:r>
        <w:rPr>
          <w:rFonts w:ascii="Verdana" w:hAnsi="Verdana" w:cs="Arial"/>
          <w:sz w:val="17"/>
          <w:szCs w:val="17"/>
        </w:rPr>
        <w:t xml:space="preserve">Entidade do Tesouro e Finanças </w:t>
      </w:r>
      <w:r w:rsidRPr="00107B4D">
        <w:rPr>
          <w:rFonts w:ascii="Verdana" w:hAnsi="Verdana" w:cs="Arial"/>
          <w:sz w:val="17"/>
          <w:szCs w:val="17"/>
        </w:rPr>
        <w:t>(</w:t>
      </w:r>
      <w:r>
        <w:rPr>
          <w:rFonts w:ascii="Verdana" w:hAnsi="Verdana" w:cs="Arial"/>
          <w:sz w:val="17"/>
          <w:szCs w:val="17"/>
        </w:rPr>
        <w:t>E</w:t>
      </w:r>
      <w:r w:rsidRPr="00107B4D">
        <w:rPr>
          <w:rFonts w:ascii="Verdana" w:hAnsi="Verdana" w:cs="Arial"/>
          <w:sz w:val="17"/>
          <w:szCs w:val="17"/>
        </w:rPr>
        <w:t>TF) em 31 de dezembro de 202</w:t>
      </w:r>
      <w:r>
        <w:rPr>
          <w:rFonts w:ascii="Verdana" w:hAnsi="Verdana" w:cs="Arial"/>
          <w:sz w:val="17"/>
          <w:szCs w:val="17"/>
        </w:rPr>
        <w:t>5</w:t>
      </w:r>
      <w:r w:rsidRPr="00107B4D">
        <w:rPr>
          <w:rFonts w:ascii="Verdana" w:hAnsi="Verdana" w:cs="Arial"/>
          <w:sz w:val="17"/>
          <w:szCs w:val="17"/>
        </w:rPr>
        <w:t xml:space="preserve"> (Nota 1</w:t>
      </w:r>
      <w:r>
        <w:rPr>
          <w:rFonts w:ascii="Verdana" w:hAnsi="Verdana" w:cs="Arial"/>
          <w:sz w:val="17"/>
          <w:szCs w:val="17"/>
        </w:rPr>
        <w:t>5</w:t>
      </w:r>
      <w:r w:rsidRPr="00107B4D">
        <w:rPr>
          <w:rFonts w:ascii="Verdana" w:hAnsi="Verdana" w:cs="Arial"/>
          <w:sz w:val="17"/>
          <w:szCs w:val="17"/>
        </w:rPr>
        <w:t>).</w:t>
      </w:r>
      <w:r w:rsidRPr="00107B4D">
        <w:rPr>
          <w:rFonts w:ascii="Verdana" w:hAnsi="Verdana" w:cs="Arial"/>
          <w:sz w:val="18"/>
          <w:szCs w:val="18"/>
        </w:rPr>
        <w:t xml:space="preserve"> </w:t>
      </w:r>
      <w:r w:rsidRPr="00107B4D">
        <w:rPr>
          <w:rFonts w:ascii="Verdana" w:hAnsi="Verdana" w:cs="Arial"/>
          <w:sz w:val="18"/>
          <w:szCs w:val="18"/>
        </w:rPr>
        <w:tab/>
      </w:r>
    </w:p>
    <w:p w14:paraId="2AC54689" w14:textId="77777777" w:rsidR="00C82F0D" w:rsidRPr="00107B4D" w:rsidRDefault="00C82F0D" w:rsidP="00D504C2">
      <w:pPr>
        <w:ind w:left="1418"/>
        <w:jc w:val="both"/>
        <w:rPr>
          <w:rFonts w:ascii="Verdana" w:hAnsi="Verdana" w:cs="Arial"/>
          <w:sz w:val="18"/>
          <w:szCs w:val="18"/>
        </w:rPr>
      </w:pPr>
      <w:r w:rsidRPr="00107B4D">
        <w:rPr>
          <w:rFonts w:ascii="Verdana" w:hAnsi="Verdana" w:cs="Arial"/>
          <w:sz w:val="18"/>
          <w:szCs w:val="18"/>
        </w:rPr>
        <w:tab/>
      </w:r>
      <w:r w:rsidRPr="00107B4D">
        <w:rPr>
          <w:rFonts w:ascii="Verdana" w:hAnsi="Verdana" w:cs="Arial"/>
          <w:sz w:val="18"/>
          <w:szCs w:val="18"/>
        </w:rPr>
        <w:tab/>
      </w:r>
    </w:p>
    <w:p w14:paraId="6D2FBAB3" w14:textId="77777777" w:rsidR="00C82F0D" w:rsidRPr="00107B4D" w:rsidRDefault="00C82F0D" w:rsidP="00D504C2">
      <w:pPr>
        <w:ind w:left="1418"/>
        <w:jc w:val="both"/>
        <w:rPr>
          <w:rFonts w:ascii="Verdana" w:hAnsi="Verdana" w:cs="Arial"/>
          <w:sz w:val="17"/>
          <w:szCs w:val="17"/>
        </w:rPr>
      </w:pPr>
      <w:r w:rsidRPr="00107B4D">
        <w:rPr>
          <w:rFonts w:ascii="Verdana" w:hAnsi="Verdana" w:cs="Arial"/>
          <w:sz w:val="17"/>
          <w:szCs w:val="17"/>
        </w:rPr>
        <w:t xml:space="preserve">Esta norma implica as seguintes contabilizações no exercício na demonstração dos resultados da Sociedade: </w:t>
      </w:r>
    </w:p>
    <w:p w14:paraId="5B1A696D" w14:textId="77777777" w:rsidR="00C82F0D" w:rsidRPr="00107B4D" w:rsidRDefault="00C82F0D" w:rsidP="00D504C2">
      <w:pPr>
        <w:ind w:left="1418"/>
        <w:jc w:val="both"/>
        <w:rPr>
          <w:rFonts w:ascii="Verdana" w:hAnsi="Verdana" w:cs="Arial"/>
          <w:sz w:val="17"/>
          <w:szCs w:val="17"/>
        </w:rPr>
      </w:pPr>
    </w:p>
    <w:p w14:paraId="1F4B52F1" w14:textId="77777777" w:rsidR="00C82F0D" w:rsidRPr="00107B4D" w:rsidRDefault="00C82F0D" w:rsidP="00D84952">
      <w:pPr>
        <w:pStyle w:val="PargrafodaLista"/>
        <w:numPr>
          <w:ilvl w:val="0"/>
          <w:numId w:val="19"/>
        </w:numPr>
        <w:jc w:val="both"/>
        <w:rPr>
          <w:rFonts w:ascii="Verdana" w:hAnsi="Verdana" w:cs="Arial"/>
          <w:sz w:val="17"/>
          <w:szCs w:val="17"/>
        </w:rPr>
      </w:pPr>
      <w:r w:rsidRPr="00107B4D">
        <w:rPr>
          <w:rFonts w:ascii="Verdana" w:hAnsi="Verdana" w:cs="Arial"/>
          <w:sz w:val="17"/>
          <w:szCs w:val="17"/>
        </w:rPr>
        <w:t xml:space="preserve">registo em juros e gastos similares suportados do gasto de juros relativo aos passivos de locação; </w:t>
      </w:r>
    </w:p>
    <w:p w14:paraId="27B9A0F3" w14:textId="77777777" w:rsidR="00C82F0D" w:rsidRPr="00107B4D" w:rsidRDefault="00C82F0D" w:rsidP="00AD01ED">
      <w:pPr>
        <w:pStyle w:val="PargrafodaLista"/>
        <w:ind w:left="2138"/>
        <w:jc w:val="both"/>
        <w:rPr>
          <w:rFonts w:ascii="Verdana" w:hAnsi="Verdana" w:cs="Arial"/>
          <w:sz w:val="17"/>
          <w:szCs w:val="17"/>
        </w:rPr>
      </w:pPr>
    </w:p>
    <w:p w14:paraId="17604300" w14:textId="77777777" w:rsidR="00C82F0D" w:rsidRPr="00107B4D" w:rsidRDefault="00C82F0D" w:rsidP="00D84952">
      <w:pPr>
        <w:pStyle w:val="PargrafodaLista"/>
        <w:numPr>
          <w:ilvl w:val="0"/>
          <w:numId w:val="19"/>
        </w:numPr>
        <w:jc w:val="both"/>
        <w:rPr>
          <w:rFonts w:ascii="Verdana" w:hAnsi="Verdana" w:cs="Arial"/>
          <w:sz w:val="17"/>
          <w:szCs w:val="17"/>
        </w:rPr>
      </w:pPr>
      <w:r w:rsidRPr="00107B4D">
        <w:rPr>
          <w:rFonts w:ascii="Verdana" w:hAnsi="Verdana" w:cs="Arial"/>
          <w:sz w:val="17"/>
          <w:szCs w:val="17"/>
        </w:rPr>
        <w:t>registo em amortizações do custo de depreciação dos ativos sob direito de uso.</w:t>
      </w:r>
    </w:p>
    <w:p w14:paraId="62F71DBB" w14:textId="77777777" w:rsidR="00C82F0D" w:rsidRPr="00107B4D" w:rsidRDefault="00C82F0D" w:rsidP="00AD01ED">
      <w:pPr>
        <w:pStyle w:val="PargrafodaLista"/>
        <w:ind w:left="2138"/>
        <w:jc w:val="both"/>
        <w:rPr>
          <w:rFonts w:ascii="Verdana" w:hAnsi="Verdana" w:cs="Arial"/>
          <w:sz w:val="17"/>
          <w:szCs w:val="17"/>
        </w:rPr>
      </w:pPr>
      <w:r w:rsidRPr="00107B4D">
        <w:rPr>
          <w:rFonts w:ascii="Verdana" w:hAnsi="Verdana" w:cs="Arial"/>
          <w:sz w:val="17"/>
          <w:szCs w:val="17"/>
        </w:rPr>
        <w:t xml:space="preserve"> </w:t>
      </w:r>
    </w:p>
    <w:p w14:paraId="3D3C7AC2" w14:textId="77777777" w:rsidR="00C82F0D" w:rsidRPr="00107B4D" w:rsidRDefault="00C82F0D" w:rsidP="00D84952">
      <w:pPr>
        <w:pStyle w:val="PargrafodaLista"/>
        <w:numPr>
          <w:ilvl w:val="0"/>
          <w:numId w:val="19"/>
        </w:numPr>
        <w:jc w:val="both"/>
        <w:rPr>
          <w:rFonts w:ascii="Verdana" w:hAnsi="Verdana" w:cs="Arial"/>
          <w:sz w:val="17"/>
          <w:szCs w:val="17"/>
        </w:rPr>
      </w:pPr>
      <w:r w:rsidRPr="00107B4D">
        <w:rPr>
          <w:rFonts w:ascii="Verdana" w:hAnsi="Verdana" w:cs="Arial"/>
          <w:sz w:val="17"/>
          <w:szCs w:val="17"/>
        </w:rPr>
        <w:t>registo em fornecimentos e serviços externos dos montantes relativos a contratos de locação de curto prazo e contratos de locação de ativos de baixo valor; e</w:t>
      </w:r>
    </w:p>
    <w:p w14:paraId="543E2690" w14:textId="77777777" w:rsidR="00C82F0D" w:rsidRPr="00107B4D" w:rsidRDefault="00C82F0D" w:rsidP="00AD01ED">
      <w:pPr>
        <w:pStyle w:val="PargrafodaLista"/>
        <w:ind w:left="2138"/>
        <w:jc w:val="both"/>
        <w:rPr>
          <w:rFonts w:ascii="Verdana" w:hAnsi="Verdana" w:cs="Arial"/>
          <w:sz w:val="17"/>
          <w:szCs w:val="17"/>
        </w:rPr>
      </w:pPr>
    </w:p>
    <w:p w14:paraId="6F5A4417" w14:textId="77777777" w:rsidR="00C82F0D" w:rsidRPr="00107B4D" w:rsidRDefault="00C82F0D" w:rsidP="00D84952">
      <w:pPr>
        <w:pStyle w:val="PargrafodaLista"/>
        <w:numPr>
          <w:ilvl w:val="0"/>
          <w:numId w:val="19"/>
        </w:numPr>
        <w:jc w:val="both"/>
        <w:rPr>
          <w:rFonts w:ascii="Verdana" w:hAnsi="Verdana" w:cs="Arial"/>
          <w:sz w:val="17"/>
          <w:szCs w:val="17"/>
        </w:rPr>
      </w:pPr>
      <w:r w:rsidRPr="00107B4D">
        <w:rPr>
          <w:rFonts w:ascii="Verdana" w:hAnsi="Verdana" w:cs="Arial"/>
          <w:sz w:val="17"/>
          <w:szCs w:val="17"/>
        </w:rPr>
        <w:t xml:space="preserve">e ainda as seguintes contabilizações no balanço da Sociedade: </w:t>
      </w:r>
    </w:p>
    <w:p w14:paraId="74F32821" w14:textId="77777777" w:rsidR="00C82F0D" w:rsidRPr="00107B4D" w:rsidRDefault="00C82F0D" w:rsidP="00AD01ED">
      <w:pPr>
        <w:jc w:val="both"/>
        <w:rPr>
          <w:rFonts w:ascii="Verdana" w:hAnsi="Verdana" w:cs="Arial"/>
          <w:sz w:val="17"/>
          <w:szCs w:val="17"/>
        </w:rPr>
      </w:pPr>
    </w:p>
    <w:p w14:paraId="2F576AE8" w14:textId="77777777" w:rsidR="00C82F0D" w:rsidRPr="00107B4D" w:rsidRDefault="00C82F0D" w:rsidP="00D84952">
      <w:pPr>
        <w:pStyle w:val="PargrafodaLista"/>
        <w:numPr>
          <w:ilvl w:val="0"/>
          <w:numId w:val="19"/>
        </w:numPr>
        <w:jc w:val="both"/>
        <w:rPr>
          <w:rFonts w:ascii="Verdana" w:hAnsi="Verdana" w:cs="Arial"/>
          <w:sz w:val="17"/>
          <w:szCs w:val="17"/>
        </w:rPr>
      </w:pPr>
      <w:r w:rsidRPr="00107B4D">
        <w:rPr>
          <w:rFonts w:ascii="Verdana" w:hAnsi="Verdana" w:cs="Arial"/>
          <w:sz w:val="17"/>
          <w:szCs w:val="17"/>
        </w:rPr>
        <w:t>registo em Ativos fixos tangíveis, pelo reconhecimento dos ativos sob direito de uso; e</w:t>
      </w:r>
    </w:p>
    <w:p w14:paraId="47AD15EE" w14:textId="77777777" w:rsidR="00C82F0D" w:rsidRPr="00107B4D" w:rsidRDefault="00C82F0D" w:rsidP="00AD01ED">
      <w:pPr>
        <w:pStyle w:val="PargrafodaLista"/>
        <w:ind w:left="2138"/>
        <w:jc w:val="both"/>
        <w:rPr>
          <w:rFonts w:ascii="Verdana" w:hAnsi="Verdana" w:cs="Arial"/>
          <w:sz w:val="17"/>
          <w:szCs w:val="17"/>
        </w:rPr>
      </w:pPr>
    </w:p>
    <w:p w14:paraId="562F2885" w14:textId="77777777" w:rsidR="00C82F0D" w:rsidRPr="00107B4D" w:rsidRDefault="00C82F0D" w:rsidP="00D84952">
      <w:pPr>
        <w:pStyle w:val="PargrafodaLista"/>
        <w:numPr>
          <w:ilvl w:val="0"/>
          <w:numId w:val="19"/>
        </w:numPr>
        <w:jc w:val="both"/>
        <w:rPr>
          <w:rFonts w:ascii="Verdana" w:hAnsi="Verdana" w:cs="Arial"/>
          <w:sz w:val="17"/>
          <w:szCs w:val="17"/>
        </w:rPr>
      </w:pPr>
      <w:r w:rsidRPr="00107B4D">
        <w:rPr>
          <w:rFonts w:ascii="Verdana" w:hAnsi="Verdana" w:cs="Arial"/>
          <w:sz w:val="17"/>
          <w:szCs w:val="17"/>
        </w:rPr>
        <w:t>registo em outros passivos – rendas a pagar pelo valor dos passivos de locação reconhecidos.</w:t>
      </w:r>
    </w:p>
    <w:p w14:paraId="6A326715" w14:textId="77777777" w:rsidR="00C82F0D" w:rsidRPr="00107B4D" w:rsidRDefault="00C82F0D" w:rsidP="00D504C2">
      <w:pPr>
        <w:ind w:left="1418"/>
        <w:jc w:val="both"/>
        <w:rPr>
          <w:rFonts w:ascii="Verdana" w:hAnsi="Verdana" w:cs="Arial"/>
          <w:sz w:val="17"/>
          <w:szCs w:val="17"/>
        </w:rPr>
      </w:pPr>
    </w:p>
    <w:p w14:paraId="2AA978A2" w14:textId="77777777" w:rsidR="00C82F0D" w:rsidRPr="00107B4D" w:rsidRDefault="00C82F0D" w:rsidP="00D504C2">
      <w:pPr>
        <w:ind w:left="1418"/>
        <w:jc w:val="both"/>
        <w:rPr>
          <w:rFonts w:ascii="Verdana" w:hAnsi="Verdana" w:cs="Arial"/>
          <w:sz w:val="17"/>
          <w:szCs w:val="17"/>
        </w:rPr>
      </w:pPr>
      <w:r w:rsidRPr="00107B4D">
        <w:rPr>
          <w:rFonts w:ascii="Verdana" w:hAnsi="Verdana" w:cs="Arial"/>
          <w:sz w:val="17"/>
          <w:szCs w:val="17"/>
        </w:rPr>
        <w:t>Os ativos sob direito de uso são depreciados/amortizados desde a data de entrada em vigor do contrato da locação até ao fim da vida útil do ativo subjacente, ou até ao final do prazo da locação, caso este seja anterior. Se a locação transferir a propriedade do ativo subjacente, ou se o custo do ativo sob direito de uso refletir o facto de a Sociedade ir exercer uma opção de compra, o ativo sob direito de uso dever ser depreciado/amortizado desde a data de entrada em vigor do contrato da locação até ao fim da vida útil do ativo subjacente. A depreciação/amortização começa na data de entrada em vigor da locação.</w:t>
      </w:r>
    </w:p>
    <w:p w14:paraId="428596D3" w14:textId="77777777" w:rsidR="00C82F0D" w:rsidRPr="00107B4D" w:rsidRDefault="00C82F0D" w:rsidP="00D504C2">
      <w:pPr>
        <w:ind w:left="1418"/>
        <w:jc w:val="both"/>
        <w:rPr>
          <w:rFonts w:ascii="Verdana" w:hAnsi="Verdana" w:cs="Arial"/>
          <w:sz w:val="17"/>
          <w:szCs w:val="17"/>
        </w:rPr>
      </w:pPr>
    </w:p>
    <w:p w14:paraId="19F7EA6E" w14:textId="77777777" w:rsidR="00C82F0D" w:rsidRPr="00BF2015" w:rsidRDefault="00C82F0D" w:rsidP="00C377ED">
      <w:pPr>
        <w:ind w:left="1418"/>
        <w:jc w:val="both"/>
        <w:rPr>
          <w:rFonts w:ascii="Verdana" w:hAnsi="Verdana" w:cs="Arial"/>
          <w:sz w:val="17"/>
          <w:szCs w:val="17"/>
        </w:rPr>
      </w:pPr>
      <w:r w:rsidRPr="00BF2015">
        <w:rPr>
          <w:rFonts w:ascii="Verdana" w:hAnsi="Verdana" w:cs="Arial"/>
          <w:sz w:val="17"/>
          <w:szCs w:val="17"/>
        </w:rPr>
        <w:lastRenderedPageBreak/>
        <w:t xml:space="preserve">Assim, a Sociedade reconhece como ativos sob direito de uso o contrato de arrendamento do imóvel </w:t>
      </w:r>
      <w:proofErr w:type="spellStart"/>
      <w:r w:rsidRPr="00BF2015">
        <w:rPr>
          <w:rFonts w:ascii="Verdana" w:hAnsi="Verdana" w:cs="Arial"/>
          <w:sz w:val="17"/>
          <w:szCs w:val="17"/>
        </w:rPr>
        <w:t>Arquiparque</w:t>
      </w:r>
      <w:proofErr w:type="spellEnd"/>
      <w:r w:rsidRPr="00BF2015">
        <w:rPr>
          <w:rFonts w:ascii="Verdana" w:hAnsi="Verdana" w:cs="Arial"/>
          <w:sz w:val="17"/>
          <w:szCs w:val="17"/>
        </w:rPr>
        <w:t xml:space="preserve"> VII (Piso 6), do Imóvel Torre das Antas, de alguns lugares de estacionamento e de oito viaturas. Todos os contratos relativos aos imóveis e estacionamentos foram assinados durante o ano de 2019, tendo os seus términos ocorrido em 2024, no entanto, considerando a liquidação da sociedade BPN Serviços ACE (inquilina dos contratos) foi efetuado também em 2024 um acordo de cessão de posição contratual para os estacionamentos bem como um novo contrato de arrendamento para fins não habitacionais com prazo certo para o imóvel </w:t>
      </w:r>
      <w:proofErr w:type="spellStart"/>
      <w:r w:rsidRPr="00BF2015">
        <w:rPr>
          <w:rFonts w:ascii="Verdana" w:hAnsi="Verdana" w:cs="Arial"/>
          <w:sz w:val="17"/>
          <w:szCs w:val="17"/>
        </w:rPr>
        <w:t>Arquiparque</w:t>
      </w:r>
      <w:proofErr w:type="spellEnd"/>
      <w:r w:rsidRPr="00BF2015">
        <w:rPr>
          <w:rFonts w:ascii="Verdana" w:hAnsi="Verdana" w:cs="Arial"/>
          <w:sz w:val="17"/>
          <w:szCs w:val="17"/>
        </w:rPr>
        <w:t xml:space="preserve"> VII (Piso 6). Relativamente ao contrato do imóvel Torre das Antas foi prorrogado durante o ano de 2025, tal como o contrato relativo aos estacionamentos.</w:t>
      </w:r>
    </w:p>
    <w:p w14:paraId="56E94644" w14:textId="77777777" w:rsidR="00C82F0D" w:rsidRPr="00BF2015" w:rsidRDefault="00C82F0D" w:rsidP="00D504C2">
      <w:pPr>
        <w:ind w:left="1418"/>
        <w:jc w:val="both"/>
        <w:rPr>
          <w:rFonts w:ascii="Verdana" w:hAnsi="Verdana" w:cs="Arial"/>
          <w:sz w:val="17"/>
          <w:szCs w:val="17"/>
        </w:rPr>
      </w:pPr>
    </w:p>
    <w:p w14:paraId="4E398368" w14:textId="77777777" w:rsidR="00C82F0D" w:rsidRPr="009259D7" w:rsidRDefault="00C82F0D" w:rsidP="009259D7">
      <w:pPr>
        <w:ind w:left="1418"/>
        <w:jc w:val="both"/>
        <w:rPr>
          <w:rFonts w:ascii="Verdana" w:hAnsi="Verdana" w:cs="Arial"/>
          <w:sz w:val="17"/>
          <w:szCs w:val="17"/>
        </w:rPr>
      </w:pPr>
      <w:r w:rsidRPr="00BF2015">
        <w:rPr>
          <w:rFonts w:ascii="Verdana" w:hAnsi="Verdana" w:cs="Arial"/>
          <w:sz w:val="17"/>
          <w:szCs w:val="17"/>
        </w:rPr>
        <w:t>Relativamente aos contratos das viaturas, um deles teve o seu início em 2023, seis iniciaram o respetivo contrato de locação em 2024, com uma duração de quatro anos e, em 2025 foi celebrado um novo contrato referente a uma nova viatura, igualmente com um prazo de quatro anos. As viaturas são amortizadas de acordo com o período de locação estabelecido nos contratos, conforme descrito na Nota 2.4 m).</w:t>
      </w:r>
    </w:p>
    <w:p w14:paraId="0F730B6B" w14:textId="77777777" w:rsidR="00C82F0D" w:rsidRPr="00107B4D" w:rsidRDefault="00C82F0D" w:rsidP="00D504C2">
      <w:pPr>
        <w:ind w:left="1418"/>
        <w:jc w:val="both"/>
        <w:rPr>
          <w:rFonts w:ascii="Verdana" w:hAnsi="Verdana"/>
          <w:lang w:eastAsia="en-US"/>
        </w:rPr>
      </w:pPr>
    </w:p>
    <w:p w14:paraId="4B89CB28" w14:textId="77777777" w:rsidR="00C82F0D" w:rsidRPr="00107B4D" w:rsidRDefault="00C82F0D" w:rsidP="00D84952">
      <w:pPr>
        <w:pStyle w:val="PargrafodaLista"/>
        <w:numPr>
          <w:ilvl w:val="0"/>
          <w:numId w:val="4"/>
        </w:numPr>
        <w:ind w:left="1418" w:hanging="425"/>
        <w:jc w:val="both"/>
        <w:rPr>
          <w:rFonts w:ascii="Verdana" w:hAnsi="Verdana"/>
          <w:sz w:val="17"/>
          <w:szCs w:val="17"/>
        </w:rPr>
      </w:pPr>
      <w:r w:rsidRPr="00107B4D">
        <w:rPr>
          <w:rFonts w:ascii="Verdana" w:hAnsi="Verdana"/>
          <w:sz w:val="17"/>
          <w:szCs w:val="17"/>
        </w:rPr>
        <w:t>Impostos sobre lucros</w:t>
      </w:r>
    </w:p>
    <w:p w14:paraId="00439BB8" w14:textId="77777777" w:rsidR="00C82F0D" w:rsidRPr="00107B4D" w:rsidRDefault="00C82F0D" w:rsidP="00D504C2">
      <w:pPr>
        <w:ind w:left="1418"/>
        <w:jc w:val="both"/>
        <w:rPr>
          <w:rFonts w:ascii="Verdana" w:hAnsi="Verdana" w:cs="Arial"/>
          <w:sz w:val="17"/>
          <w:szCs w:val="17"/>
        </w:rPr>
      </w:pPr>
    </w:p>
    <w:p w14:paraId="3CB9A1AF" w14:textId="77777777" w:rsidR="00C82F0D" w:rsidRPr="00107B4D" w:rsidRDefault="00C82F0D" w:rsidP="00D504C2">
      <w:pPr>
        <w:ind w:left="1418"/>
        <w:jc w:val="both"/>
        <w:rPr>
          <w:rFonts w:ascii="Verdana" w:hAnsi="Verdana" w:cs="Arial"/>
          <w:sz w:val="17"/>
          <w:szCs w:val="17"/>
        </w:rPr>
      </w:pPr>
      <w:r w:rsidRPr="00107B4D">
        <w:rPr>
          <w:rFonts w:ascii="Verdana" w:hAnsi="Verdana" w:cs="Arial"/>
          <w:sz w:val="17"/>
          <w:szCs w:val="17"/>
        </w:rPr>
        <w:t xml:space="preserve">O total dos impostos sobre lucros registados em resultados engloba os impostos correntes e os impostos diferidos (quando aplicável). </w:t>
      </w:r>
    </w:p>
    <w:p w14:paraId="387C8720" w14:textId="77777777" w:rsidR="00C82F0D" w:rsidRPr="00107B4D" w:rsidRDefault="00C82F0D" w:rsidP="00D504C2">
      <w:pPr>
        <w:ind w:left="1418"/>
        <w:jc w:val="both"/>
        <w:rPr>
          <w:rFonts w:ascii="Verdana" w:hAnsi="Verdana" w:cs="Arial"/>
          <w:sz w:val="17"/>
          <w:szCs w:val="17"/>
        </w:rPr>
      </w:pPr>
    </w:p>
    <w:p w14:paraId="1C58A29B" w14:textId="77777777" w:rsidR="00C82F0D" w:rsidRPr="00107B4D" w:rsidRDefault="00C82F0D" w:rsidP="00D504C2">
      <w:pPr>
        <w:ind w:left="1418"/>
        <w:jc w:val="both"/>
        <w:rPr>
          <w:rFonts w:ascii="Verdana" w:hAnsi="Verdana" w:cs="Arial"/>
          <w:sz w:val="17"/>
          <w:szCs w:val="17"/>
        </w:rPr>
      </w:pPr>
      <w:r w:rsidRPr="00107B4D">
        <w:rPr>
          <w:rFonts w:ascii="Verdana" w:hAnsi="Verdana" w:cs="Arial"/>
          <w:sz w:val="17"/>
          <w:szCs w:val="17"/>
        </w:rPr>
        <w:t>O imposto corrente é calculado com base no resultado fiscal do exercício, o qual difere do resultado contabilístico devido a ajustamentos ao lucro tributável resultantes de gastos ou rendimentos não relevantes para efeitos fiscais, ou que apenas serão considerados noutros períodos.</w:t>
      </w:r>
    </w:p>
    <w:p w14:paraId="0F62CED5" w14:textId="77777777" w:rsidR="00C82F0D" w:rsidRPr="00107B4D" w:rsidRDefault="00C82F0D" w:rsidP="00D504C2">
      <w:pPr>
        <w:ind w:left="1418"/>
        <w:jc w:val="both"/>
        <w:rPr>
          <w:rFonts w:ascii="Verdana" w:hAnsi="Verdana" w:cs="Arial"/>
          <w:sz w:val="17"/>
          <w:szCs w:val="17"/>
        </w:rPr>
      </w:pPr>
    </w:p>
    <w:p w14:paraId="5CA56F89" w14:textId="77777777" w:rsidR="00C82F0D" w:rsidRPr="00107B4D" w:rsidRDefault="00C82F0D" w:rsidP="00D504C2">
      <w:pPr>
        <w:ind w:left="1418"/>
        <w:jc w:val="both"/>
        <w:rPr>
          <w:rFonts w:ascii="Verdana" w:hAnsi="Verdana" w:cs="Arial"/>
          <w:sz w:val="17"/>
          <w:szCs w:val="17"/>
          <w:u w:val="single"/>
        </w:rPr>
      </w:pPr>
      <w:r w:rsidRPr="00107B4D">
        <w:rPr>
          <w:rFonts w:ascii="Verdana" w:hAnsi="Verdana" w:cs="Arial"/>
          <w:sz w:val="17"/>
          <w:szCs w:val="17"/>
          <w:u w:val="single"/>
        </w:rPr>
        <w:t>Impostos diferidos</w:t>
      </w:r>
    </w:p>
    <w:p w14:paraId="51B4B069" w14:textId="77777777" w:rsidR="00C82F0D" w:rsidRPr="00107B4D" w:rsidRDefault="00C82F0D" w:rsidP="00D504C2">
      <w:pPr>
        <w:ind w:left="1418"/>
        <w:jc w:val="both"/>
        <w:rPr>
          <w:rFonts w:ascii="Verdana" w:hAnsi="Verdana" w:cs="Arial"/>
          <w:sz w:val="17"/>
          <w:szCs w:val="17"/>
          <w:u w:val="single"/>
        </w:rPr>
      </w:pPr>
    </w:p>
    <w:p w14:paraId="1BE09D97" w14:textId="77777777" w:rsidR="00C82F0D" w:rsidRPr="00107B4D" w:rsidRDefault="00C82F0D" w:rsidP="00D504C2">
      <w:pPr>
        <w:ind w:left="1418"/>
        <w:jc w:val="both"/>
        <w:rPr>
          <w:rFonts w:ascii="Verdana" w:hAnsi="Verdana" w:cs="Arial"/>
          <w:sz w:val="17"/>
          <w:szCs w:val="17"/>
        </w:rPr>
      </w:pPr>
      <w:r w:rsidRPr="00107B4D">
        <w:rPr>
          <w:rFonts w:ascii="Verdana" w:hAnsi="Verdana" w:cs="Arial"/>
          <w:sz w:val="17"/>
          <w:szCs w:val="17"/>
        </w:rPr>
        <w:t>Os impostos diferidos correspondem ao impacto no imposto a recuperar / pagar em períodos futuros resultantes de diferenças temporárias dedutíveis ou tributáveis entre o valor de balanço dos ativos e passivos e a sua base fiscal, utilizada na determinação do lucro tributável.</w:t>
      </w:r>
    </w:p>
    <w:p w14:paraId="130A5D7C" w14:textId="77777777" w:rsidR="00C82F0D" w:rsidRPr="00107B4D" w:rsidRDefault="00C82F0D" w:rsidP="00D504C2">
      <w:pPr>
        <w:ind w:left="1418"/>
        <w:jc w:val="both"/>
        <w:rPr>
          <w:rFonts w:ascii="Verdana" w:hAnsi="Verdana" w:cs="Arial"/>
          <w:sz w:val="17"/>
          <w:szCs w:val="17"/>
        </w:rPr>
      </w:pPr>
    </w:p>
    <w:p w14:paraId="0FB1174C" w14:textId="77777777" w:rsidR="00C82F0D" w:rsidRPr="00107B4D" w:rsidRDefault="00C82F0D" w:rsidP="00D504C2">
      <w:pPr>
        <w:ind w:left="1418"/>
        <w:jc w:val="both"/>
        <w:rPr>
          <w:rFonts w:ascii="Verdana" w:hAnsi="Verdana" w:cs="Arial"/>
          <w:sz w:val="17"/>
          <w:szCs w:val="17"/>
        </w:rPr>
      </w:pPr>
      <w:r w:rsidRPr="00107B4D">
        <w:rPr>
          <w:rFonts w:ascii="Verdana" w:hAnsi="Verdana" w:cs="Arial"/>
          <w:sz w:val="17"/>
          <w:szCs w:val="17"/>
        </w:rPr>
        <w:t>Os passivos por impostos diferidos são registados para todas as diferenças temporárias tributáveis, enquanto os impostos diferidos ativos só são reconhecidos até ao montante em que seja provável a existência de lucros tributáveis futuros que permitam a utilização das correspondentes diferenças tributárias dedutíveis ou de reporte de prejuízos fiscais.</w:t>
      </w:r>
    </w:p>
    <w:p w14:paraId="17D76965" w14:textId="77777777" w:rsidR="00C82F0D" w:rsidRPr="00107B4D" w:rsidRDefault="00C82F0D" w:rsidP="00D504C2">
      <w:pPr>
        <w:ind w:left="1418"/>
        <w:jc w:val="both"/>
        <w:rPr>
          <w:rFonts w:ascii="Verdana" w:hAnsi="Verdana" w:cs="Arial"/>
          <w:sz w:val="17"/>
          <w:szCs w:val="17"/>
        </w:rPr>
      </w:pPr>
    </w:p>
    <w:p w14:paraId="3DF316AB" w14:textId="77777777" w:rsidR="00C82F0D" w:rsidRPr="00107B4D" w:rsidRDefault="00C82F0D" w:rsidP="00D504C2">
      <w:pPr>
        <w:ind w:left="1418"/>
        <w:jc w:val="both"/>
        <w:rPr>
          <w:rFonts w:ascii="Verdana" w:hAnsi="Verdana" w:cs="Arial"/>
          <w:sz w:val="17"/>
          <w:szCs w:val="17"/>
        </w:rPr>
      </w:pPr>
      <w:r w:rsidRPr="00107B4D">
        <w:rPr>
          <w:rFonts w:ascii="Verdana" w:hAnsi="Verdana" w:cs="Arial"/>
          <w:sz w:val="17"/>
          <w:szCs w:val="17"/>
        </w:rPr>
        <w:t>Os impostos diferidos são calculados com base nas taxas de imposto que se antecipa estarem em vigor à data da reversão das diferenças temporárias, as quais correspondem às taxas aprovadas ou substancialmente aprovadas na data de balanço.</w:t>
      </w:r>
    </w:p>
    <w:p w14:paraId="31B962D5" w14:textId="77777777" w:rsidR="00C82F0D" w:rsidRPr="00107B4D" w:rsidRDefault="00C82F0D" w:rsidP="00D504C2">
      <w:pPr>
        <w:ind w:left="1418"/>
        <w:jc w:val="both"/>
        <w:rPr>
          <w:rFonts w:ascii="Verdana" w:hAnsi="Verdana" w:cs="Arial"/>
          <w:sz w:val="17"/>
          <w:szCs w:val="17"/>
        </w:rPr>
      </w:pPr>
    </w:p>
    <w:p w14:paraId="30114E83" w14:textId="77777777" w:rsidR="00C82F0D" w:rsidRPr="00107B4D" w:rsidRDefault="00C82F0D" w:rsidP="00D504C2">
      <w:pPr>
        <w:ind w:left="1418"/>
        <w:jc w:val="both"/>
        <w:rPr>
          <w:rFonts w:ascii="Verdana" w:hAnsi="Verdana" w:cs="Arial"/>
          <w:sz w:val="17"/>
          <w:szCs w:val="17"/>
        </w:rPr>
      </w:pPr>
      <w:r w:rsidRPr="00107B4D">
        <w:rPr>
          <w:rFonts w:ascii="Verdana" w:hAnsi="Verdana" w:cs="Arial"/>
          <w:sz w:val="17"/>
          <w:szCs w:val="17"/>
        </w:rPr>
        <w:t>Os impostos sobre o rendimento (correntes ou diferidos) são refletidos nos resultados do exercício, exceto nos casos em que as transações que os originaram tenham sido refletidas noutras rubricas de capital próprio (por exemplo, no caso da reavaliação de ativos financeiros disponíveis para venda).  Nestas situações, o correspondente imposto é igualmente refletido por contrapartida de capital próprio, não afetando o resultado do exercício.</w:t>
      </w:r>
    </w:p>
    <w:p w14:paraId="22FDB5DB" w14:textId="77777777" w:rsidR="00C82F0D" w:rsidRPr="00107B4D" w:rsidRDefault="00C82F0D" w:rsidP="00D504C2">
      <w:pPr>
        <w:ind w:left="1418"/>
        <w:jc w:val="both"/>
        <w:rPr>
          <w:rFonts w:ascii="Verdana" w:hAnsi="Verdana" w:cs="Arial"/>
          <w:sz w:val="17"/>
          <w:szCs w:val="17"/>
        </w:rPr>
      </w:pPr>
    </w:p>
    <w:p w14:paraId="7A366A39" w14:textId="77777777" w:rsidR="00C82F0D" w:rsidRPr="00107B4D" w:rsidRDefault="00C82F0D" w:rsidP="00D504C2">
      <w:pPr>
        <w:ind w:left="1418"/>
        <w:jc w:val="both"/>
        <w:rPr>
          <w:rFonts w:ascii="Verdana" w:hAnsi="Verdana" w:cs="Arial"/>
          <w:sz w:val="17"/>
          <w:szCs w:val="17"/>
        </w:rPr>
      </w:pPr>
      <w:r w:rsidRPr="00107B4D">
        <w:rPr>
          <w:rFonts w:ascii="Verdana" w:hAnsi="Verdana" w:cs="Arial"/>
          <w:sz w:val="17"/>
          <w:szCs w:val="17"/>
        </w:rPr>
        <w:t>A Sociedade não reconheceu impostos diferidos ativos nas demonstrações financeiras, nomeadamente os referentes a prejuízos fiscais reportáveis, na medida em que não dispõe de estudos que demonstrem a probabilidade de obtenção de lucros fiscais futuros suficientes que possibilitem a recuperação dessas diferenças.</w:t>
      </w:r>
    </w:p>
    <w:p w14:paraId="1495FA7B" w14:textId="77777777" w:rsidR="00C82F0D" w:rsidRPr="00107B4D" w:rsidRDefault="00C82F0D" w:rsidP="00D504C2">
      <w:pPr>
        <w:ind w:left="1418"/>
        <w:jc w:val="both"/>
        <w:rPr>
          <w:rFonts w:ascii="Verdana" w:hAnsi="Verdana" w:cs="Arial"/>
          <w:sz w:val="17"/>
          <w:szCs w:val="17"/>
        </w:rPr>
      </w:pPr>
    </w:p>
    <w:p w14:paraId="58B6F834" w14:textId="77777777" w:rsidR="00C82F0D" w:rsidRPr="00107B4D" w:rsidRDefault="00C82F0D" w:rsidP="00D504C2">
      <w:pPr>
        <w:ind w:left="1418"/>
        <w:jc w:val="both"/>
        <w:rPr>
          <w:rFonts w:ascii="Verdana" w:hAnsi="Verdana" w:cs="Arial"/>
          <w:sz w:val="17"/>
          <w:szCs w:val="17"/>
        </w:rPr>
      </w:pPr>
    </w:p>
    <w:p w14:paraId="7E5CD394" w14:textId="77777777" w:rsidR="00C82F0D" w:rsidRPr="00107B4D" w:rsidRDefault="00C82F0D" w:rsidP="00D84952">
      <w:pPr>
        <w:pStyle w:val="Ttulo2"/>
        <w:keepNext w:val="0"/>
        <w:numPr>
          <w:ilvl w:val="1"/>
          <w:numId w:val="3"/>
        </w:numPr>
        <w:tabs>
          <w:tab w:val="clear" w:pos="567"/>
          <w:tab w:val="clear" w:pos="3969"/>
          <w:tab w:val="clear" w:pos="4962"/>
          <w:tab w:val="clear" w:pos="6096"/>
          <w:tab w:val="clear" w:pos="7230"/>
          <w:tab w:val="clear" w:pos="8222"/>
          <w:tab w:val="left" w:pos="993"/>
        </w:tabs>
        <w:autoSpaceDE w:val="0"/>
        <w:autoSpaceDN w:val="0"/>
        <w:adjustRightInd w:val="0"/>
        <w:ind w:left="993" w:right="-22" w:hanging="574"/>
        <w:rPr>
          <w:rFonts w:ascii="Verdana" w:hAnsi="Verdana" w:cs="Arial"/>
          <w:b w:val="0"/>
          <w:color w:val="000000"/>
          <w:sz w:val="17"/>
          <w:szCs w:val="17"/>
          <w:u w:val="single"/>
        </w:rPr>
      </w:pPr>
      <w:r w:rsidRPr="00107B4D">
        <w:rPr>
          <w:rFonts w:ascii="Verdana" w:hAnsi="Verdana" w:cs="Arial"/>
          <w:b w:val="0"/>
          <w:color w:val="000000"/>
          <w:sz w:val="17"/>
          <w:szCs w:val="17"/>
          <w:u w:val="single"/>
        </w:rPr>
        <w:t xml:space="preserve">Estimativas contabilísticas críticas e aspetos </w:t>
      </w:r>
      <w:proofErr w:type="spellStart"/>
      <w:r w:rsidRPr="00107B4D">
        <w:rPr>
          <w:rFonts w:ascii="Verdana" w:hAnsi="Verdana" w:cs="Arial"/>
          <w:b w:val="0"/>
          <w:color w:val="000000"/>
          <w:sz w:val="17"/>
          <w:szCs w:val="17"/>
          <w:u w:val="single"/>
        </w:rPr>
        <w:t>julgamentais</w:t>
      </w:r>
      <w:proofErr w:type="spellEnd"/>
      <w:r w:rsidRPr="00107B4D">
        <w:rPr>
          <w:rFonts w:ascii="Verdana" w:hAnsi="Verdana" w:cs="Arial"/>
          <w:b w:val="0"/>
          <w:color w:val="000000"/>
          <w:sz w:val="17"/>
          <w:szCs w:val="17"/>
          <w:u w:val="single"/>
        </w:rPr>
        <w:t xml:space="preserve"> mais relevantes na aplicação das políticas contabilísticas</w:t>
      </w:r>
    </w:p>
    <w:p w14:paraId="4A2DDC29" w14:textId="77777777" w:rsidR="00C82F0D" w:rsidRPr="00107B4D" w:rsidRDefault="00C82F0D" w:rsidP="00633A3B">
      <w:pPr>
        <w:tabs>
          <w:tab w:val="left" w:pos="426"/>
          <w:tab w:val="left" w:pos="851"/>
          <w:tab w:val="left" w:pos="1170"/>
          <w:tab w:val="left" w:pos="1276"/>
        </w:tabs>
        <w:ind w:right="-22"/>
        <w:jc w:val="both"/>
        <w:rPr>
          <w:rFonts w:ascii="Verdana" w:hAnsi="Verdana" w:cs="Arial"/>
          <w:sz w:val="17"/>
          <w:szCs w:val="17"/>
        </w:rPr>
      </w:pPr>
    </w:p>
    <w:p w14:paraId="5C63F36C" w14:textId="77777777" w:rsidR="00C82F0D" w:rsidRPr="00107B4D" w:rsidRDefault="00C82F0D" w:rsidP="00633A3B">
      <w:pPr>
        <w:tabs>
          <w:tab w:val="left" w:pos="426"/>
          <w:tab w:val="left" w:pos="993"/>
        </w:tabs>
        <w:ind w:right="-22"/>
        <w:jc w:val="both"/>
        <w:rPr>
          <w:rFonts w:ascii="Verdana" w:hAnsi="Verdana" w:cs="Arial"/>
          <w:i/>
          <w:sz w:val="17"/>
          <w:szCs w:val="17"/>
          <w:u w:val="single"/>
        </w:rPr>
      </w:pPr>
      <w:r w:rsidRPr="00107B4D">
        <w:rPr>
          <w:rFonts w:ascii="Verdana" w:hAnsi="Verdana" w:cs="Arial"/>
          <w:sz w:val="17"/>
          <w:szCs w:val="17"/>
        </w:rPr>
        <w:tab/>
      </w:r>
      <w:r w:rsidRPr="00107B4D">
        <w:rPr>
          <w:rFonts w:ascii="Verdana" w:hAnsi="Verdana" w:cs="Arial"/>
          <w:sz w:val="17"/>
          <w:szCs w:val="17"/>
        </w:rPr>
        <w:tab/>
      </w:r>
      <w:r w:rsidRPr="00107B4D">
        <w:rPr>
          <w:rFonts w:ascii="Verdana" w:hAnsi="Verdana" w:cs="Arial"/>
          <w:i/>
          <w:sz w:val="17"/>
          <w:szCs w:val="17"/>
          <w:u w:val="single"/>
        </w:rPr>
        <w:t>Continuidade das operações</w:t>
      </w:r>
    </w:p>
    <w:p w14:paraId="017E70F9" w14:textId="77777777" w:rsidR="00C82F0D" w:rsidRPr="00107B4D" w:rsidRDefault="00C82F0D" w:rsidP="00633A3B">
      <w:pPr>
        <w:tabs>
          <w:tab w:val="left" w:pos="426"/>
          <w:tab w:val="left" w:pos="709"/>
          <w:tab w:val="left" w:pos="851"/>
          <w:tab w:val="left" w:pos="1134"/>
          <w:tab w:val="left" w:pos="1276"/>
          <w:tab w:val="right" w:pos="5580"/>
          <w:tab w:val="right" w:pos="6660"/>
          <w:tab w:val="right" w:pos="7740"/>
          <w:tab w:val="right" w:pos="8820"/>
        </w:tabs>
        <w:ind w:left="851" w:right="-22" w:hanging="851"/>
        <w:jc w:val="both"/>
        <w:rPr>
          <w:rFonts w:ascii="Verdana" w:hAnsi="Verdana" w:cs="Arial"/>
          <w:sz w:val="17"/>
          <w:szCs w:val="17"/>
        </w:rPr>
      </w:pPr>
    </w:p>
    <w:p w14:paraId="6AC0A1CC" w14:textId="77777777" w:rsidR="00C82F0D" w:rsidRPr="00BF2015" w:rsidRDefault="00C82F0D" w:rsidP="00BF2015">
      <w:pPr>
        <w:tabs>
          <w:tab w:val="left" w:pos="426"/>
          <w:tab w:val="left" w:pos="1276"/>
        </w:tabs>
        <w:ind w:left="993" w:right="-22" w:hanging="993"/>
        <w:jc w:val="both"/>
        <w:rPr>
          <w:rFonts w:ascii="Verdana" w:hAnsi="Verdana" w:cs="Arial"/>
          <w:sz w:val="17"/>
          <w:szCs w:val="17"/>
        </w:rPr>
      </w:pPr>
      <w:r w:rsidRPr="00107B4D">
        <w:rPr>
          <w:rFonts w:ascii="Verdana" w:hAnsi="Verdana" w:cs="Arial"/>
          <w:sz w:val="17"/>
          <w:szCs w:val="17"/>
        </w:rPr>
        <w:lastRenderedPageBreak/>
        <w:tab/>
      </w:r>
      <w:r w:rsidRPr="00107B4D">
        <w:rPr>
          <w:rFonts w:ascii="Verdana" w:hAnsi="Verdana" w:cs="Arial"/>
          <w:sz w:val="17"/>
          <w:szCs w:val="17"/>
        </w:rPr>
        <w:tab/>
      </w:r>
      <w:r w:rsidRPr="00017DA4">
        <w:rPr>
          <w:rFonts w:ascii="Verdana" w:hAnsi="Verdana" w:cs="Arial"/>
          <w:sz w:val="17"/>
          <w:szCs w:val="17"/>
        </w:rPr>
        <w:t xml:space="preserve">As demonstrações financeiras da Sociedade em 31 de dezembro de 2025 </w:t>
      </w:r>
      <w:r>
        <w:rPr>
          <w:rFonts w:ascii="Verdana" w:hAnsi="Verdana" w:cs="Arial"/>
          <w:sz w:val="17"/>
          <w:szCs w:val="17"/>
        </w:rPr>
        <w:t xml:space="preserve">não </w:t>
      </w:r>
      <w:r w:rsidRPr="00017DA4">
        <w:rPr>
          <w:rFonts w:ascii="Verdana" w:hAnsi="Verdana" w:cs="Arial"/>
          <w:sz w:val="17"/>
          <w:szCs w:val="17"/>
        </w:rPr>
        <w:t>foram preparadas no pressuposto da continuidade das operações</w:t>
      </w:r>
      <w:r>
        <w:rPr>
          <w:rFonts w:ascii="Verdana" w:hAnsi="Verdana" w:cs="Arial"/>
          <w:sz w:val="17"/>
          <w:szCs w:val="17"/>
        </w:rPr>
        <w:t>, dado a situação de liquidação me</w:t>
      </w:r>
      <w:r w:rsidRPr="001679E2">
        <w:rPr>
          <w:rFonts w:ascii="Verdana" w:hAnsi="Verdana" w:cs="Arial"/>
          <w:sz w:val="17"/>
          <w:szCs w:val="17"/>
        </w:rPr>
        <w:t>ncionada da Nota 1, apresentando capital próprio negativo no montante de 4.86</w:t>
      </w:r>
      <w:r>
        <w:rPr>
          <w:rFonts w:ascii="Verdana" w:hAnsi="Verdana" w:cs="Arial"/>
          <w:sz w:val="17"/>
          <w:szCs w:val="17"/>
        </w:rPr>
        <w:t>6</w:t>
      </w:r>
      <w:r w:rsidRPr="001679E2">
        <w:rPr>
          <w:rFonts w:ascii="Verdana" w:hAnsi="Verdana" w:cs="Arial"/>
          <w:sz w:val="17"/>
          <w:szCs w:val="17"/>
        </w:rPr>
        <w:t>.</w:t>
      </w:r>
      <w:r>
        <w:rPr>
          <w:rFonts w:ascii="Verdana" w:hAnsi="Verdana" w:cs="Arial"/>
          <w:sz w:val="17"/>
          <w:szCs w:val="17"/>
        </w:rPr>
        <w:t>377</w:t>
      </w:r>
      <w:r w:rsidRPr="00017DA4">
        <w:rPr>
          <w:rFonts w:ascii="Verdana" w:hAnsi="Verdana" w:cs="Arial"/>
          <w:sz w:val="17"/>
          <w:szCs w:val="17"/>
        </w:rPr>
        <w:t xml:space="preserve"> </w:t>
      </w:r>
      <w:proofErr w:type="spellStart"/>
      <w:proofErr w:type="gramStart"/>
      <w:r w:rsidRPr="00017DA4">
        <w:rPr>
          <w:rFonts w:ascii="Verdana" w:hAnsi="Verdana" w:cs="Arial"/>
          <w:sz w:val="17"/>
          <w:szCs w:val="17"/>
        </w:rPr>
        <w:t>m.euros</w:t>
      </w:r>
      <w:proofErr w:type="spellEnd"/>
      <w:proofErr w:type="gramEnd"/>
      <w:r w:rsidRPr="00017DA4">
        <w:rPr>
          <w:rFonts w:ascii="Verdana" w:hAnsi="Verdana" w:cs="Arial"/>
          <w:sz w:val="17"/>
          <w:szCs w:val="17"/>
        </w:rPr>
        <w:t xml:space="preserve">, o que põe em causa a continuidade das operações e determina a aplicação das normas constantes do Artigo 35º do Código das Sociedades Comerciais.  Adicionalmente, em 31 de dezembro de 2025 a Sociedade apresenta passivos correntes, incluindo financiamentos contraídos </w:t>
      </w:r>
      <w:r w:rsidRPr="00C2364C">
        <w:rPr>
          <w:rFonts w:ascii="Verdana" w:hAnsi="Verdana" w:cs="Arial"/>
          <w:sz w:val="17"/>
          <w:szCs w:val="17"/>
        </w:rPr>
        <w:t>junto da Entidade do Tesouro e Finanças (ETF) com vencimento em 2026 no montante de 5.</w:t>
      </w:r>
      <w:r>
        <w:rPr>
          <w:rFonts w:ascii="Verdana" w:hAnsi="Verdana" w:cs="Arial"/>
          <w:sz w:val="17"/>
          <w:szCs w:val="17"/>
        </w:rPr>
        <w:t>288</w:t>
      </w:r>
      <w:r w:rsidRPr="00C2364C">
        <w:rPr>
          <w:rFonts w:ascii="Verdana" w:hAnsi="Verdana" w:cs="Arial"/>
          <w:sz w:val="17"/>
          <w:szCs w:val="17"/>
        </w:rPr>
        <w:t>.</w:t>
      </w:r>
      <w:r>
        <w:rPr>
          <w:rFonts w:ascii="Verdana" w:hAnsi="Verdana" w:cs="Arial"/>
          <w:sz w:val="17"/>
          <w:szCs w:val="17"/>
        </w:rPr>
        <w:t>110</w:t>
      </w:r>
      <w:r w:rsidRPr="00C2364C">
        <w:rPr>
          <w:rFonts w:ascii="Verdana" w:hAnsi="Verdana" w:cs="Arial"/>
          <w:sz w:val="17"/>
          <w:szCs w:val="17"/>
        </w:rPr>
        <w:t xml:space="preserve"> </w:t>
      </w:r>
      <w:proofErr w:type="spellStart"/>
      <w:proofErr w:type="gramStart"/>
      <w:r w:rsidRPr="00C2364C">
        <w:rPr>
          <w:rFonts w:ascii="Verdana" w:hAnsi="Verdana" w:cs="Arial"/>
          <w:sz w:val="17"/>
          <w:szCs w:val="17"/>
        </w:rPr>
        <w:t>m.</w:t>
      </w:r>
      <w:r w:rsidRPr="00DD145E">
        <w:rPr>
          <w:rFonts w:ascii="Verdana" w:hAnsi="Verdana" w:cs="Arial"/>
          <w:sz w:val="17"/>
          <w:szCs w:val="17"/>
        </w:rPr>
        <w:t>euros</w:t>
      </w:r>
      <w:proofErr w:type="spellEnd"/>
      <w:proofErr w:type="gramEnd"/>
      <w:r w:rsidRPr="00DD145E">
        <w:rPr>
          <w:rFonts w:ascii="Verdana" w:hAnsi="Verdana" w:cs="Arial"/>
          <w:sz w:val="17"/>
          <w:szCs w:val="17"/>
        </w:rPr>
        <w:t xml:space="preserve"> (Nota 1</w:t>
      </w:r>
      <w:r>
        <w:rPr>
          <w:rFonts w:ascii="Verdana" w:hAnsi="Verdana" w:cs="Arial"/>
          <w:sz w:val="17"/>
          <w:szCs w:val="17"/>
        </w:rPr>
        <w:t>5</w:t>
      </w:r>
      <w:r w:rsidRPr="00DD145E">
        <w:rPr>
          <w:rFonts w:ascii="Verdana" w:hAnsi="Verdana" w:cs="Arial"/>
          <w:sz w:val="17"/>
          <w:szCs w:val="17"/>
        </w:rPr>
        <w:t>), os quais excedem significativamente os ativos correntes. No exercício de 2011, no âmbito do processo de reprivatização do Banco Português de Negócios, S.A. (BPN), acionista da Sociedade, foi aprovada pelo Despacho n.º 825/11 – SETF de 3 de junho de 2011, a aquisição pelo Estado Português, através da Entidade do Tesouro e Finanças (ETF), da totalidade das ações representativas do capital social da Parvalorem, S.A., operação que se concretizou em fevereiro de 2012. Com a concretização deste despacho, a Sociedade passou durante o exercício de 2011 a integrar o Setor Institucional das Administrações Públicas, nos termos do código do Sistema Europeu de Contas Nacionais e Regionais, tendo o Estado Português assumido diretamente todos os direitos e obrigações relacionados com a Sociedade. Desta forma, a capacidade da Sociedade se manter em continuidade está dependente da manutenção do apoio financeiro do Estado Português, sendo convicção do Conselho de Administração da Sociedade que este apoio será mantido.</w:t>
      </w:r>
    </w:p>
    <w:p w14:paraId="7B0C08CA" w14:textId="77777777" w:rsidR="00C82F0D" w:rsidRDefault="00C82F0D" w:rsidP="00633A3B">
      <w:pPr>
        <w:tabs>
          <w:tab w:val="left" w:pos="426"/>
          <w:tab w:val="left" w:pos="993"/>
        </w:tabs>
        <w:ind w:right="-22"/>
        <w:jc w:val="both"/>
        <w:rPr>
          <w:rFonts w:ascii="Verdana" w:hAnsi="Verdana" w:cs="Arial"/>
          <w:i/>
          <w:sz w:val="17"/>
          <w:szCs w:val="17"/>
        </w:rPr>
      </w:pPr>
      <w:r w:rsidRPr="00107B4D">
        <w:rPr>
          <w:rFonts w:ascii="Verdana" w:hAnsi="Verdana" w:cs="Arial"/>
          <w:i/>
          <w:sz w:val="17"/>
          <w:szCs w:val="17"/>
        </w:rPr>
        <w:tab/>
      </w:r>
      <w:r w:rsidRPr="00107B4D">
        <w:rPr>
          <w:rFonts w:ascii="Verdana" w:hAnsi="Verdana" w:cs="Arial"/>
          <w:i/>
          <w:sz w:val="17"/>
          <w:szCs w:val="17"/>
        </w:rPr>
        <w:tab/>
      </w:r>
    </w:p>
    <w:p w14:paraId="17BA3874" w14:textId="77777777" w:rsidR="00C82F0D" w:rsidRDefault="00C82F0D" w:rsidP="00633A3B">
      <w:pPr>
        <w:tabs>
          <w:tab w:val="left" w:pos="426"/>
          <w:tab w:val="left" w:pos="993"/>
        </w:tabs>
        <w:ind w:right="-22"/>
        <w:jc w:val="both"/>
        <w:rPr>
          <w:rFonts w:ascii="Verdana" w:hAnsi="Verdana" w:cs="Arial"/>
          <w:i/>
          <w:sz w:val="17"/>
          <w:szCs w:val="17"/>
          <w:u w:val="single"/>
        </w:rPr>
      </w:pPr>
    </w:p>
    <w:p w14:paraId="5E147269" w14:textId="77777777" w:rsidR="00C82F0D" w:rsidRPr="00107B4D" w:rsidRDefault="00C82F0D" w:rsidP="00406EDB">
      <w:pPr>
        <w:tabs>
          <w:tab w:val="left" w:pos="426"/>
          <w:tab w:val="left" w:pos="993"/>
        </w:tabs>
        <w:ind w:left="993" w:right="-22"/>
        <w:jc w:val="both"/>
        <w:rPr>
          <w:rFonts w:ascii="Verdana" w:hAnsi="Verdana" w:cs="Arial"/>
          <w:i/>
          <w:sz w:val="17"/>
          <w:szCs w:val="17"/>
          <w:u w:val="single"/>
        </w:rPr>
      </w:pPr>
      <w:r w:rsidRPr="00107B4D">
        <w:rPr>
          <w:rFonts w:ascii="Verdana" w:hAnsi="Verdana" w:cs="Arial"/>
          <w:i/>
          <w:sz w:val="17"/>
          <w:szCs w:val="17"/>
          <w:u w:val="single"/>
        </w:rPr>
        <w:t>Imparidade de outras contas a receber</w:t>
      </w:r>
    </w:p>
    <w:p w14:paraId="51760FCB" w14:textId="77777777" w:rsidR="00C82F0D" w:rsidRPr="00107B4D" w:rsidRDefault="00C82F0D" w:rsidP="00633A3B">
      <w:pPr>
        <w:tabs>
          <w:tab w:val="left" w:pos="426"/>
          <w:tab w:val="left" w:pos="851"/>
          <w:tab w:val="left" w:pos="1276"/>
        </w:tabs>
        <w:ind w:left="851" w:right="-22" w:hanging="851"/>
        <w:jc w:val="both"/>
        <w:rPr>
          <w:rFonts w:ascii="Verdana" w:hAnsi="Verdana" w:cs="Arial"/>
          <w:sz w:val="17"/>
          <w:szCs w:val="17"/>
        </w:rPr>
      </w:pPr>
    </w:p>
    <w:p w14:paraId="3948BCEF" w14:textId="77777777" w:rsidR="00C82F0D" w:rsidRPr="00107B4D" w:rsidRDefault="00C82F0D" w:rsidP="005155A9">
      <w:pPr>
        <w:tabs>
          <w:tab w:val="left" w:pos="426"/>
          <w:tab w:val="left" w:pos="1276"/>
        </w:tabs>
        <w:ind w:left="993" w:right="-22"/>
        <w:jc w:val="both"/>
        <w:rPr>
          <w:rFonts w:ascii="Verdana" w:hAnsi="Verdana" w:cs="Arial"/>
          <w:sz w:val="17"/>
          <w:szCs w:val="17"/>
        </w:rPr>
      </w:pPr>
      <w:r w:rsidRPr="00107B4D">
        <w:rPr>
          <w:rFonts w:ascii="Verdana" w:hAnsi="Verdana" w:cs="Arial"/>
          <w:sz w:val="17"/>
          <w:szCs w:val="17"/>
        </w:rPr>
        <w:t xml:space="preserve">A determinação das imparidades para as contas a receber resulta, nomeadamente, de dois grandes grupos de clientes: </w:t>
      </w:r>
    </w:p>
    <w:p w14:paraId="3684DCAA" w14:textId="77777777" w:rsidR="00C82F0D" w:rsidRPr="00107B4D" w:rsidRDefault="00C82F0D" w:rsidP="005155A9">
      <w:pPr>
        <w:tabs>
          <w:tab w:val="left" w:pos="426"/>
          <w:tab w:val="left" w:pos="1276"/>
        </w:tabs>
        <w:ind w:left="993" w:right="-22"/>
        <w:jc w:val="both"/>
        <w:rPr>
          <w:rFonts w:ascii="Verdana" w:hAnsi="Verdana" w:cs="Arial"/>
          <w:sz w:val="17"/>
          <w:szCs w:val="17"/>
        </w:rPr>
      </w:pPr>
    </w:p>
    <w:p w14:paraId="2212364F" w14:textId="77777777" w:rsidR="00C82F0D" w:rsidRDefault="00C82F0D" w:rsidP="00274CC7">
      <w:pPr>
        <w:pStyle w:val="PargrafodaLista"/>
        <w:numPr>
          <w:ilvl w:val="0"/>
          <w:numId w:val="21"/>
        </w:numPr>
        <w:tabs>
          <w:tab w:val="left" w:pos="426"/>
          <w:tab w:val="left" w:pos="1276"/>
        </w:tabs>
        <w:ind w:left="1701" w:right="-22" w:hanging="425"/>
        <w:jc w:val="both"/>
        <w:rPr>
          <w:rFonts w:ascii="Verdana" w:hAnsi="Verdana" w:cs="Arial"/>
          <w:sz w:val="17"/>
          <w:szCs w:val="17"/>
        </w:rPr>
      </w:pPr>
      <w:r w:rsidRPr="006E214F">
        <w:rPr>
          <w:rFonts w:ascii="Verdana" w:hAnsi="Verdana" w:cs="Arial"/>
          <w:sz w:val="17"/>
          <w:szCs w:val="17"/>
        </w:rPr>
        <w:t>An</w:t>
      </w:r>
      <w:r>
        <w:rPr>
          <w:rFonts w:ascii="Verdana" w:hAnsi="Verdana" w:cs="Arial"/>
          <w:sz w:val="17"/>
          <w:szCs w:val="17"/>
        </w:rPr>
        <w:t>á</w:t>
      </w:r>
      <w:r w:rsidRPr="006E214F">
        <w:rPr>
          <w:rFonts w:ascii="Verdana" w:hAnsi="Verdana" w:cs="Arial"/>
          <w:sz w:val="17"/>
          <w:szCs w:val="17"/>
        </w:rPr>
        <w:t xml:space="preserve">lise individual, cuja imparidade resulta de uma análise especifica efetuada pela Empresa com base no conhecimento da realidade dos clientes e nas garantias associadas às operações em questão; </w:t>
      </w:r>
    </w:p>
    <w:p w14:paraId="2FBA324B" w14:textId="77777777" w:rsidR="00C82F0D" w:rsidRDefault="00C82F0D" w:rsidP="006E214F">
      <w:pPr>
        <w:pStyle w:val="PargrafodaLista"/>
        <w:tabs>
          <w:tab w:val="left" w:pos="426"/>
          <w:tab w:val="left" w:pos="1276"/>
        </w:tabs>
        <w:ind w:left="1701" w:right="-22"/>
        <w:jc w:val="both"/>
        <w:rPr>
          <w:rFonts w:ascii="Verdana" w:hAnsi="Verdana" w:cs="Arial"/>
          <w:sz w:val="17"/>
          <w:szCs w:val="17"/>
        </w:rPr>
      </w:pPr>
    </w:p>
    <w:p w14:paraId="15282690" w14:textId="77777777" w:rsidR="00C82F0D" w:rsidRDefault="00C82F0D" w:rsidP="00274CC7">
      <w:pPr>
        <w:pStyle w:val="PargrafodaLista"/>
        <w:numPr>
          <w:ilvl w:val="0"/>
          <w:numId w:val="21"/>
        </w:numPr>
        <w:tabs>
          <w:tab w:val="left" w:pos="426"/>
          <w:tab w:val="left" w:pos="1276"/>
        </w:tabs>
        <w:ind w:left="1701" w:right="-22" w:hanging="425"/>
        <w:jc w:val="both"/>
        <w:rPr>
          <w:rFonts w:ascii="Verdana" w:hAnsi="Verdana" w:cs="Arial"/>
          <w:sz w:val="17"/>
          <w:szCs w:val="17"/>
        </w:rPr>
      </w:pPr>
      <w:r w:rsidRPr="006E214F">
        <w:rPr>
          <w:rFonts w:ascii="Verdana" w:hAnsi="Verdana" w:cs="Arial"/>
          <w:sz w:val="17"/>
          <w:szCs w:val="17"/>
        </w:rPr>
        <w:t>Análise coletiva, cuja imparidade resulta da análise ao histórico destes clientes, à probabilidade ponderada de recuperabilidade, ao valor temporal do dinheiro, aos planos de pagamento em vigor e à existência de garantias reais associadas.</w:t>
      </w:r>
    </w:p>
    <w:p w14:paraId="405C2872" w14:textId="77777777" w:rsidR="00C82F0D" w:rsidRPr="00406EDB" w:rsidRDefault="00C82F0D" w:rsidP="00406EDB">
      <w:pPr>
        <w:pStyle w:val="PargrafodaLista"/>
        <w:rPr>
          <w:rFonts w:ascii="Verdana" w:hAnsi="Verdana" w:cs="Arial"/>
          <w:sz w:val="17"/>
          <w:szCs w:val="17"/>
        </w:rPr>
      </w:pPr>
    </w:p>
    <w:p w14:paraId="2A8877DB" w14:textId="77777777" w:rsidR="00C82F0D" w:rsidRPr="00406EDB" w:rsidRDefault="00C82F0D" w:rsidP="00406EDB">
      <w:pPr>
        <w:tabs>
          <w:tab w:val="left" w:pos="426"/>
          <w:tab w:val="left" w:pos="1276"/>
        </w:tabs>
        <w:ind w:left="993" w:right="-22"/>
        <w:jc w:val="both"/>
        <w:rPr>
          <w:rFonts w:ascii="Verdana" w:hAnsi="Verdana" w:cs="Arial"/>
          <w:sz w:val="17"/>
          <w:szCs w:val="17"/>
        </w:rPr>
      </w:pPr>
      <w:r w:rsidRPr="00406EDB">
        <w:rPr>
          <w:rFonts w:ascii="Verdana" w:hAnsi="Verdana" w:cs="Arial"/>
          <w:sz w:val="17"/>
          <w:szCs w:val="17"/>
        </w:rPr>
        <w:t>Adicionalmente e para estes dois grandes grupos de clientes, em conformidade com o disposto na IFRS 9 – Instrumentos Financeiros, procedeu-se ao apuramento das perdas esperadas por crédito ("</w:t>
      </w:r>
      <w:proofErr w:type="spellStart"/>
      <w:r w:rsidRPr="00406EDB">
        <w:rPr>
          <w:rFonts w:ascii="Verdana" w:hAnsi="Verdana" w:cs="Arial"/>
          <w:sz w:val="17"/>
          <w:szCs w:val="17"/>
        </w:rPr>
        <w:t>Expected</w:t>
      </w:r>
      <w:proofErr w:type="spellEnd"/>
      <w:r w:rsidRPr="00406EDB">
        <w:rPr>
          <w:rFonts w:ascii="Verdana" w:hAnsi="Verdana" w:cs="Arial"/>
          <w:sz w:val="17"/>
          <w:szCs w:val="17"/>
        </w:rPr>
        <w:t xml:space="preserve"> </w:t>
      </w:r>
      <w:proofErr w:type="spellStart"/>
      <w:r w:rsidRPr="00406EDB">
        <w:rPr>
          <w:rFonts w:ascii="Verdana" w:hAnsi="Verdana" w:cs="Arial"/>
          <w:sz w:val="17"/>
          <w:szCs w:val="17"/>
        </w:rPr>
        <w:t>Credit</w:t>
      </w:r>
      <w:proofErr w:type="spellEnd"/>
      <w:r w:rsidRPr="00406EDB">
        <w:rPr>
          <w:rFonts w:ascii="Verdana" w:hAnsi="Verdana" w:cs="Arial"/>
          <w:sz w:val="17"/>
          <w:szCs w:val="17"/>
        </w:rPr>
        <w:t xml:space="preserve"> </w:t>
      </w:r>
      <w:proofErr w:type="spellStart"/>
      <w:r w:rsidRPr="00406EDB">
        <w:rPr>
          <w:rFonts w:ascii="Verdana" w:hAnsi="Verdana" w:cs="Arial"/>
          <w:sz w:val="17"/>
          <w:szCs w:val="17"/>
        </w:rPr>
        <w:t>Losses</w:t>
      </w:r>
      <w:proofErr w:type="spellEnd"/>
      <w:r w:rsidRPr="00406EDB">
        <w:rPr>
          <w:rFonts w:ascii="Verdana" w:hAnsi="Verdana" w:cs="Arial"/>
          <w:sz w:val="17"/>
          <w:szCs w:val="17"/>
        </w:rPr>
        <w:t xml:space="preserve">" – ECL) sobre os ativos financeiros incluídos na sua carteira de crédito, com base no modelo de perdas esperadas </w:t>
      </w:r>
      <w:proofErr w:type="gramStart"/>
      <w:r w:rsidRPr="00406EDB">
        <w:rPr>
          <w:rFonts w:ascii="Verdana" w:hAnsi="Verdana" w:cs="Arial"/>
          <w:sz w:val="17"/>
          <w:szCs w:val="17"/>
        </w:rPr>
        <w:t>a</w:t>
      </w:r>
      <w:proofErr w:type="gramEnd"/>
      <w:r w:rsidRPr="00406EDB">
        <w:rPr>
          <w:rFonts w:ascii="Verdana" w:hAnsi="Verdana" w:cs="Arial"/>
          <w:sz w:val="17"/>
          <w:szCs w:val="17"/>
        </w:rPr>
        <w:t xml:space="preserve"> 12 meses ou ao longo da vida, conforme aplicável (nota 2.4 </w:t>
      </w:r>
      <w:proofErr w:type="spellStart"/>
      <w:r w:rsidRPr="00406EDB">
        <w:rPr>
          <w:rFonts w:ascii="Verdana" w:hAnsi="Verdana" w:cs="Arial"/>
          <w:sz w:val="17"/>
          <w:szCs w:val="17"/>
        </w:rPr>
        <w:t>ii</w:t>
      </w:r>
      <w:proofErr w:type="spellEnd"/>
      <w:r w:rsidRPr="00406EDB">
        <w:rPr>
          <w:rFonts w:ascii="Verdana" w:hAnsi="Verdana" w:cs="Arial"/>
          <w:sz w:val="17"/>
          <w:szCs w:val="17"/>
        </w:rPr>
        <w:t>)).</w:t>
      </w:r>
    </w:p>
    <w:p w14:paraId="506AC940" w14:textId="77777777" w:rsidR="00C82F0D" w:rsidRDefault="00C82F0D" w:rsidP="00633A3B">
      <w:pPr>
        <w:tabs>
          <w:tab w:val="left" w:pos="426"/>
          <w:tab w:val="left" w:pos="851"/>
          <w:tab w:val="left" w:pos="1276"/>
        </w:tabs>
        <w:ind w:left="851" w:right="-22" w:hanging="851"/>
        <w:jc w:val="both"/>
        <w:rPr>
          <w:rFonts w:ascii="Verdana" w:hAnsi="Verdana" w:cs="Arial"/>
          <w:i/>
          <w:sz w:val="17"/>
          <w:szCs w:val="17"/>
        </w:rPr>
      </w:pPr>
    </w:p>
    <w:p w14:paraId="2BB77B09" w14:textId="77777777" w:rsidR="00C82F0D" w:rsidRPr="00107B4D" w:rsidRDefault="00C82F0D" w:rsidP="00633A3B">
      <w:pPr>
        <w:tabs>
          <w:tab w:val="left" w:pos="426"/>
          <w:tab w:val="left" w:pos="851"/>
          <w:tab w:val="left" w:pos="1276"/>
        </w:tabs>
        <w:ind w:left="851" w:right="-22" w:hanging="851"/>
        <w:jc w:val="both"/>
        <w:rPr>
          <w:rFonts w:ascii="Verdana" w:hAnsi="Verdana" w:cs="Arial"/>
          <w:i/>
          <w:sz w:val="17"/>
          <w:szCs w:val="17"/>
        </w:rPr>
      </w:pPr>
    </w:p>
    <w:p w14:paraId="38F7D97E" w14:textId="77777777" w:rsidR="00C82F0D" w:rsidRPr="00107B4D" w:rsidRDefault="00C82F0D" w:rsidP="00633A3B">
      <w:pPr>
        <w:tabs>
          <w:tab w:val="left" w:pos="426"/>
          <w:tab w:val="left" w:pos="993"/>
        </w:tabs>
        <w:ind w:right="-22"/>
        <w:jc w:val="both"/>
        <w:rPr>
          <w:rFonts w:ascii="Verdana" w:hAnsi="Verdana" w:cs="Arial"/>
          <w:i/>
          <w:sz w:val="17"/>
          <w:szCs w:val="17"/>
          <w:u w:val="single"/>
        </w:rPr>
      </w:pPr>
      <w:r w:rsidRPr="00107B4D">
        <w:rPr>
          <w:rFonts w:ascii="Verdana" w:hAnsi="Verdana" w:cs="Arial"/>
          <w:i/>
          <w:sz w:val="17"/>
          <w:szCs w:val="17"/>
        </w:rPr>
        <w:tab/>
      </w:r>
      <w:r w:rsidRPr="00107B4D">
        <w:rPr>
          <w:rFonts w:ascii="Verdana" w:hAnsi="Verdana" w:cs="Arial"/>
          <w:i/>
          <w:sz w:val="17"/>
          <w:szCs w:val="17"/>
        </w:rPr>
        <w:tab/>
      </w:r>
      <w:r w:rsidRPr="00107B4D">
        <w:rPr>
          <w:rFonts w:ascii="Verdana" w:hAnsi="Verdana" w:cs="Arial"/>
          <w:i/>
          <w:sz w:val="17"/>
          <w:szCs w:val="17"/>
          <w:u w:val="single"/>
        </w:rPr>
        <w:t>Imparidade de adiantamentos a fornecedores</w:t>
      </w:r>
    </w:p>
    <w:p w14:paraId="175F8CB8" w14:textId="77777777" w:rsidR="00C82F0D" w:rsidRPr="00107B4D" w:rsidRDefault="00C82F0D" w:rsidP="00633A3B">
      <w:pPr>
        <w:tabs>
          <w:tab w:val="left" w:pos="426"/>
          <w:tab w:val="left" w:pos="851"/>
          <w:tab w:val="left" w:pos="1276"/>
        </w:tabs>
        <w:ind w:left="851" w:right="-22" w:hanging="851"/>
        <w:jc w:val="both"/>
        <w:rPr>
          <w:rFonts w:ascii="Verdana" w:hAnsi="Verdana" w:cs="Arial"/>
          <w:sz w:val="17"/>
          <w:szCs w:val="17"/>
        </w:rPr>
      </w:pPr>
    </w:p>
    <w:p w14:paraId="47A62F6F" w14:textId="1C4C217A" w:rsidR="00C82F0D" w:rsidRPr="00107B4D" w:rsidRDefault="00C82F0D" w:rsidP="00633A3B">
      <w:pPr>
        <w:tabs>
          <w:tab w:val="left" w:pos="426"/>
          <w:tab w:val="left" w:pos="1276"/>
        </w:tabs>
        <w:ind w:left="993" w:right="-22" w:hanging="993"/>
        <w:jc w:val="both"/>
        <w:rPr>
          <w:rFonts w:ascii="Verdana" w:hAnsi="Verdana" w:cs="Arial"/>
          <w:sz w:val="17"/>
          <w:szCs w:val="17"/>
        </w:rPr>
      </w:pPr>
      <w:r w:rsidRPr="00107B4D">
        <w:rPr>
          <w:rFonts w:ascii="Verdana" w:hAnsi="Verdana" w:cs="Arial"/>
          <w:sz w:val="17"/>
          <w:szCs w:val="17"/>
        </w:rPr>
        <w:tab/>
      </w:r>
      <w:r w:rsidRPr="00107B4D">
        <w:rPr>
          <w:rFonts w:ascii="Verdana" w:hAnsi="Verdana" w:cs="Arial"/>
          <w:sz w:val="17"/>
          <w:szCs w:val="17"/>
        </w:rPr>
        <w:tab/>
        <w:t xml:space="preserve">A determinação da imparidade para adiantamentos a fornecedores resulta de uma avaliação específica efetuada pela Sociedade com base no conhecimento da realidade dos clientes e nas garantias associadas às operações superiores a 250 </w:t>
      </w:r>
      <w:proofErr w:type="spellStart"/>
      <w:proofErr w:type="gramStart"/>
      <w:r w:rsidRPr="00107B4D">
        <w:rPr>
          <w:rFonts w:ascii="Verdana" w:hAnsi="Verdana" w:cs="Arial"/>
          <w:sz w:val="17"/>
          <w:szCs w:val="17"/>
        </w:rPr>
        <w:t>m.euros</w:t>
      </w:r>
      <w:proofErr w:type="spellEnd"/>
      <w:proofErr w:type="gramEnd"/>
      <w:r w:rsidRPr="00107B4D">
        <w:rPr>
          <w:rFonts w:ascii="Verdana" w:hAnsi="Verdana" w:cs="Arial"/>
          <w:sz w:val="17"/>
          <w:szCs w:val="17"/>
        </w:rPr>
        <w:t xml:space="preserve">. Para as restantes operações, atendendo às limitações de informação sobre o cumprimento do seu plano de reembolso, foi efetuada uma estimativa de imparidade de acordo com a natureza das operações, assumindo-se que a maior parte corresponde a créditos à habitação de colaboradores da Sociedade ou do </w:t>
      </w:r>
      <w:r w:rsidR="00F04ECD">
        <w:rPr>
          <w:rFonts w:ascii="Verdana" w:hAnsi="Verdana" w:cs="Arial"/>
          <w:sz w:val="17"/>
          <w:szCs w:val="17"/>
        </w:rPr>
        <w:t>Abanca Portugal</w:t>
      </w:r>
      <w:r w:rsidRPr="00107B4D">
        <w:rPr>
          <w:rFonts w:ascii="Verdana" w:hAnsi="Verdana" w:cs="Arial"/>
          <w:sz w:val="17"/>
          <w:szCs w:val="17"/>
        </w:rPr>
        <w:t xml:space="preserve">, S.A. que se presume estarem em situação regular (Nota </w:t>
      </w:r>
      <w:r>
        <w:rPr>
          <w:rFonts w:ascii="Verdana" w:hAnsi="Verdana" w:cs="Arial"/>
          <w:sz w:val="17"/>
          <w:szCs w:val="17"/>
        </w:rPr>
        <w:t>9</w:t>
      </w:r>
      <w:r w:rsidRPr="00107B4D">
        <w:rPr>
          <w:rFonts w:ascii="Verdana" w:hAnsi="Verdana" w:cs="Arial"/>
          <w:sz w:val="17"/>
          <w:szCs w:val="17"/>
        </w:rPr>
        <w:t xml:space="preserve">). A Sociedade considera que a imparidade de adiantamentos a fornecedores determinada com base nesta metodologia reflete adequadamente as perdas associadas a estas operações. </w:t>
      </w:r>
    </w:p>
    <w:p w14:paraId="4D767ED4" w14:textId="77777777" w:rsidR="00C82F0D" w:rsidRDefault="00C82F0D" w:rsidP="00633A3B">
      <w:pPr>
        <w:tabs>
          <w:tab w:val="left" w:pos="426"/>
          <w:tab w:val="left" w:pos="993"/>
        </w:tabs>
        <w:ind w:right="-22"/>
        <w:jc w:val="both"/>
        <w:rPr>
          <w:rFonts w:ascii="Verdana" w:hAnsi="Verdana" w:cs="Arial"/>
          <w:i/>
          <w:sz w:val="17"/>
          <w:szCs w:val="17"/>
        </w:rPr>
      </w:pPr>
    </w:p>
    <w:p w14:paraId="55EC6C1F" w14:textId="77777777" w:rsidR="00C82F0D" w:rsidRDefault="00C82F0D" w:rsidP="00633A3B">
      <w:pPr>
        <w:tabs>
          <w:tab w:val="left" w:pos="426"/>
          <w:tab w:val="left" w:pos="993"/>
        </w:tabs>
        <w:ind w:right="-22"/>
        <w:jc w:val="both"/>
        <w:rPr>
          <w:rFonts w:ascii="Verdana" w:hAnsi="Verdana" w:cs="Arial"/>
          <w:i/>
          <w:sz w:val="17"/>
          <w:szCs w:val="17"/>
        </w:rPr>
      </w:pPr>
    </w:p>
    <w:p w14:paraId="69FCCAAF" w14:textId="77777777" w:rsidR="00C82F0D" w:rsidRPr="00107B4D" w:rsidRDefault="00C82F0D" w:rsidP="00633A3B">
      <w:pPr>
        <w:tabs>
          <w:tab w:val="left" w:pos="426"/>
          <w:tab w:val="left" w:pos="993"/>
        </w:tabs>
        <w:ind w:right="-22"/>
        <w:jc w:val="both"/>
        <w:rPr>
          <w:rFonts w:ascii="Verdana" w:hAnsi="Verdana" w:cs="Arial"/>
          <w:i/>
          <w:sz w:val="17"/>
          <w:szCs w:val="17"/>
          <w:u w:val="single"/>
        </w:rPr>
      </w:pPr>
      <w:r w:rsidRPr="00107B4D">
        <w:rPr>
          <w:rFonts w:ascii="Verdana" w:hAnsi="Verdana" w:cs="Arial"/>
          <w:i/>
          <w:sz w:val="17"/>
          <w:szCs w:val="17"/>
        </w:rPr>
        <w:tab/>
      </w:r>
      <w:r w:rsidRPr="00107B4D">
        <w:rPr>
          <w:rFonts w:ascii="Verdana" w:hAnsi="Verdana" w:cs="Arial"/>
          <w:i/>
          <w:sz w:val="17"/>
          <w:szCs w:val="17"/>
        </w:rPr>
        <w:tab/>
      </w:r>
      <w:r w:rsidRPr="00107B4D">
        <w:rPr>
          <w:rFonts w:ascii="Verdana" w:hAnsi="Verdana" w:cs="Arial"/>
          <w:i/>
          <w:sz w:val="17"/>
          <w:szCs w:val="17"/>
          <w:u w:val="single"/>
        </w:rPr>
        <w:t>Valorização dos imóveis registados na rubrica “Inventários”</w:t>
      </w:r>
    </w:p>
    <w:p w14:paraId="21F88B38" w14:textId="77777777" w:rsidR="00C82F0D" w:rsidRDefault="00C82F0D" w:rsidP="00FD3003">
      <w:pPr>
        <w:tabs>
          <w:tab w:val="left" w:pos="426"/>
          <w:tab w:val="left" w:pos="1276"/>
        </w:tabs>
        <w:ind w:left="993" w:right="-22" w:hanging="993"/>
        <w:jc w:val="both"/>
        <w:rPr>
          <w:rFonts w:ascii="Verdana" w:hAnsi="Verdana" w:cs="Arial"/>
          <w:sz w:val="17"/>
          <w:szCs w:val="17"/>
        </w:rPr>
      </w:pPr>
      <w:r w:rsidRPr="00107B4D">
        <w:rPr>
          <w:rFonts w:ascii="Verdana" w:hAnsi="Verdana" w:cs="Arial"/>
          <w:sz w:val="17"/>
          <w:szCs w:val="17"/>
        </w:rPr>
        <w:tab/>
      </w:r>
      <w:r w:rsidRPr="00107B4D">
        <w:rPr>
          <w:rFonts w:ascii="Verdana" w:hAnsi="Verdana" w:cs="Arial"/>
          <w:sz w:val="17"/>
          <w:szCs w:val="17"/>
        </w:rPr>
        <w:tab/>
        <w:t xml:space="preserve">Os imóveis recebidos pela Sociedade são registados na rubrica “Inventários”, sendo sujeitos a avaliações imobiliárias periódicas efetuadas por peritos independentes, de acordo com as particularidades e circunstâncias em que cada imóvel se encontra. Os imóveis encontram-se valorizados ao menor entre o custo de aquisição e o valor realizável líquido, o qual corresponde ao valor de </w:t>
      </w:r>
      <w:r>
        <w:rPr>
          <w:rFonts w:ascii="Verdana" w:hAnsi="Verdana" w:cs="Arial"/>
          <w:sz w:val="17"/>
          <w:szCs w:val="17"/>
        </w:rPr>
        <w:t xml:space="preserve">mercado </w:t>
      </w:r>
      <w:r w:rsidRPr="00107B4D">
        <w:rPr>
          <w:rFonts w:ascii="Verdana" w:hAnsi="Verdana" w:cs="Arial"/>
          <w:sz w:val="17"/>
          <w:szCs w:val="17"/>
        </w:rPr>
        <w:t xml:space="preserve">estimado com base em avaliações elaboradas por peritos externos. Para os imóveis com avaliações com antiguidade superior a dois anos, a Sociedade aplica um </w:t>
      </w:r>
      <w:proofErr w:type="spellStart"/>
      <w:r w:rsidRPr="00107B4D">
        <w:rPr>
          <w:rFonts w:ascii="Verdana" w:hAnsi="Verdana" w:cs="Arial"/>
          <w:i/>
          <w:sz w:val="17"/>
          <w:szCs w:val="17"/>
        </w:rPr>
        <w:t>haircut</w:t>
      </w:r>
      <w:proofErr w:type="spellEnd"/>
      <w:r w:rsidRPr="00107B4D">
        <w:rPr>
          <w:rFonts w:ascii="Verdana" w:hAnsi="Verdana" w:cs="Arial"/>
          <w:sz w:val="17"/>
          <w:szCs w:val="17"/>
        </w:rPr>
        <w:t xml:space="preserve"> ao valor constante das avaliações. Por outro lado, para os imóveis com contrato de promessa compra e venda </w:t>
      </w:r>
      <w:r w:rsidRPr="00107B4D">
        <w:rPr>
          <w:rFonts w:ascii="Verdana" w:hAnsi="Verdana" w:cs="Arial"/>
          <w:sz w:val="17"/>
          <w:szCs w:val="17"/>
        </w:rPr>
        <w:lastRenderedPageBreak/>
        <w:t>já formalizado, o valor líquido de balanço é ajustado para o respetivo valor formalizado, no caso em que este último seja inferior ao valor de avaliação. As referidas avaliações incorporam um conjunto de pressupostos que requerem validação por parte do órgão de gestão, entendendo a Sociedade que a imparidade para imóveis determinada com base nesta metodologia reflete adequadamente as perdas associadas a estes ativos.</w:t>
      </w:r>
    </w:p>
    <w:p w14:paraId="5701AF8B" w14:textId="77777777" w:rsidR="00C82F0D" w:rsidRDefault="00C82F0D" w:rsidP="00633A3B">
      <w:pPr>
        <w:jc w:val="both"/>
        <w:rPr>
          <w:rFonts w:ascii="Verdana" w:hAnsi="Verdana" w:cs="Arial"/>
          <w:sz w:val="17"/>
          <w:szCs w:val="17"/>
        </w:rPr>
      </w:pPr>
    </w:p>
    <w:p w14:paraId="76B85D48" w14:textId="77777777" w:rsidR="00C82F0D" w:rsidRPr="00107B4D" w:rsidRDefault="00C82F0D" w:rsidP="00633A3B">
      <w:pPr>
        <w:jc w:val="both"/>
        <w:rPr>
          <w:rFonts w:ascii="Verdana" w:hAnsi="Verdana" w:cs="Arial"/>
          <w:sz w:val="17"/>
          <w:szCs w:val="17"/>
        </w:rPr>
      </w:pPr>
    </w:p>
    <w:p w14:paraId="19DF81AE" w14:textId="77777777" w:rsidR="00C82F0D" w:rsidRPr="00107B4D" w:rsidRDefault="00C82F0D" w:rsidP="00D84952">
      <w:pPr>
        <w:pStyle w:val="Ttulo1"/>
        <w:keepNext w:val="0"/>
        <w:keepLines w:val="0"/>
        <w:numPr>
          <w:ilvl w:val="0"/>
          <w:numId w:val="3"/>
        </w:numPr>
        <w:tabs>
          <w:tab w:val="left" w:pos="426"/>
        </w:tabs>
        <w:spacing w:before="0"/>
        <w:ind w:right="-22"/>
        <w:jc w:val="both"/>
        <w:rPr>
          <w:rFonts w:ascii="Verdana" w:eastAsia="Times New Roman" w:hAnsi="Verdana" w:cs="Arial"/>
          <w:b w:val="0"/>
          <w:bCs w:val="0"/>
          <w:color w:val="auto"/>
          <w:sz w:val="17"/>
          <w:szCs w:val="17"/>
          <w:u w:val="single"/>
          <w:lang w:eastAsia="en-US"/>
        </w:rPr>
      </w:pPr>
      <w:r w:rsidRPr="00107B4D">
        <w:rPr>
          <w:rFonts w:ascii="Verdana" w:eastAsia="Times New Roman" w:hAnsi="Verdana" w:cs="Arial"/>
          <w:b w:val="0"/>
          <w:bCs w:val="0"/>
          <w:color w:val="auto"/>
          <w:sz w:val="17"/>
          <w:szCs w:val="17"/>
          <w:u w:val="single"/>
          <w:lang w:eastAsia="en-US"/>
        </w:rPr>
        <w:t>ATIVOS FIXOS TANGÍVEIS E ATIVOS INTANGÍVEIS</w:t>
      </w:r>
    </w:p>
    <w:p w14:paraId="2E7EA0B1" w14:textId="77777777" w:rsidR="00C82F0D" w:rsidRPr="00107B4D" w:rsidRDefault="00C82F0D" w:rsidP="00633A3B">
      <w:pPr>
        <w:tabs>
          <w:tab w:val="left" w:pos="426"/>
          <w:tab w:val="left" w:pos="851"/>
          <w:tab w:val="left" w:pos="1276"/>
        </w:tabs>
        <w:ind w:right="-22"/>
        <w:jc w:val="both"/>
        <w:rPr>
          <w:rFonts w:ascii="Verdana" w:hAnsi="Verdana" w:cs="Arial"/>
          <w:sz w:val="17"/>
          <w:szCs w:val="17"/>
        </w:rPr>
      </w:pPr>
    </w:p>
    <w:p w14:paraId="4AE76DC8" w14:textId="77777777" w:rsidR="00C82F0D" w:rsidRDefault="00C82F0D" w:rsidP="00A72A72">
      <w:pPr>
        <w:tabs>
          <w:tab w:val="left" w:pos="426"/>
          <w:tab w:val="left" w:pos="851"/>
          <w:tab w:val="left" w:pos="1276"/>
        </w:tabs>
        <w:ind w:left="426" w:right="-22"/>
        <w:jc w:val="both"/>
        <w:rPr>
          <w:rFonts w:ascii="Verdana" w:hAnsi="Verdana" w:cs="Arial"/>
          <w:sz w:val="17"/>
          <w:szCs w:val="17"/>
        </w:rPr>
      </w:pPr>
      <w:r w:rsidRPr="00107B4D">
        <w:rPr>
          <w:rFonts w:ascii="Verdana" w:hAnsi="Verdana" w:cs="Arial"/>
          <w:sz w:val="17"/>
          <w:szCs w:val="17"/>
        </w:rPr>
        <w:t>O movimento na rubrica de ativos fixos tangíveis, durante os exercícios de 202</w:t>
      </w:r>
      <w:r>
        <w:rPr>
          <w:rFonts w:ascii="Verdana" w:hAnsi="Verdana" w:cs="Arial"/>
          <w:sz w:val="17"/>
          <w:szCs w:val="17"/>
        </w:rPr>
        <w:t>5</w:t>
      </w:r>
      <w:r w:rsidRPr="00107B4D">
        <w:rPr>
          <w:rFonts w:ascii="Verdana" w:hAnsi="Verdana" w:cs="Arial"/>
          <w:sz w:val="17"/>
          <w:szCs w:val="17"/>
        </w:rPr>
        <w:t xml:space="preserve"> e 202</w:t>
      </w:r>
      <w:r>
        <w:rPr>
          <w:rFonts w:ascii="Verdana" w:hAnsi="Verdana" w:cs="Arial"/>
          <w:sz w:val="17"/>
          <w:szCs w:val="17"/>
        </w:rPr>
        <w:t>4</w:t>
      </w:r>
      <w:r w:rsidRPr="00107B4D">
        <w:rPr>
          <w:rFonts w:ascii="Verdana" w:hAnsi="Verdana" w:cs="Arial"/>
          <w:sz w:val="17"/>
          <w:szCs w:val="17"/>
        </w:rPr>
        <w:t xml:space="preserve"> foi o seguinte: </w:t>
      </w:r>
    </w:p>
    <w:p w14:paraId="2B6B7670" w14:textId="77777777" w:rsidR="00C82F0D" w:rsidRPr="00107B4D" w:rsidRDefault="00C82F0D" w:rsidP="000816EF">
      <w:pPr>
        <w:tabs>
          <w:tab w:val="left" w:pos="426"/>
          <w:tab w:val="left" w:pos="851"/>
          <w:tab w:val="left" w:pos="1276"/>
        </w:tabs>
        <w:ind w:left="426" w:right="-22"/>
        <w:jc w:val="both"/>
        <w:rPr>
          <w:rFonts w:ascii="Verdana" w:hAnsi="Verdana" w:cs="Arial"/>
          <w:sz w:val="17"/>
          <w:szCs w:val="17"/>
        </w:rPr>
      </w:pPr>
      <w:r w:rsidRPr="00ED31C7">
        <w:rPr>
          <w:noProof/>
        </w:rPr>
        <w:drawing>
          <wp:inline distT="0" distB="0" distL="0" distR="0" wp14:anchorId="74AE2AAD" wp14:editId="58A81739">
            <wp:extent cx="5197928" cy="1395446"/>
            <wp:effectExtent l="0" t="0" r="3175" b="0"/>
            <wp:docPr id="94123129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19549" cy="1401250"/>
                    </a:xfrm>
                    <a:prstGeom prst="rect">
                      <a:avLst/>
                    </a:prstGeom>
                    <a:noFill/>
                    <a:ln>
                      <a:noFill/>
                    </a:ln>
                  </pic:spPr>
                </pic:pic>
              </a:graphicData>
            </a:graphic>
          </wp:inline>
        </w:drawing>
      </w:r>
    </w:p>
    <w:p w14:paraId="54AB65ED" w14:textId="77777777" w:rsidR="00C82F0D" w:rsidRPr="00107B4D" w:rsidRDefault="00C82F0D" w:rsidP="00633A3B">
      <w:pPr>
        <w:tabs>
          <w:tab w:val="left" w:pos="426"/>
          <w:tab w:val="left" w:pos="851"/>
          <w:tab w:val="left" w:pos="1276"/>
        </w:tabs>
        <w:ind w:left="426" w:right="-22"/>
        <w:jc w:val="both"/>
        <w:rPr>
          <w:rFonts w:ascii="Verdana" w:hAnsi="Verdana"/>
          <w:noProof/>
          <w:sz w:val="17"/>
          <w:szCs w:val="17"/>
        </w:rPr>
      </w:pPr>
    </w:p>
    <w:p w14:paraId="4E721AA0" w14:textId="77777777" w:rsidR="00C82F0D" w:rsidRPr="00107B4D" w:rsidRDefault="00C82F0D" w:rsidP="00287AAB">
      <w:pPr>
        <w:tabs>
          <w:tab w:val="left" w:pos="426"/>
          <w:tab w:val="left" w:pos="851"/>
          <w:tab w:val="left" w:pos="1276"/>
        </w:tabs>
        <w:ind w:left="426" w:right="-22"/>
        <w:jc w:val="both"/>
        <w:rPr>
          <w:rFonts w:ascii="Verdana" w:hAnsi="Verdana"/>
          <w:noProof/>
          <w:sz w:val="17"/>
          <w:szCs w:val="17"/>
        </w:rPr>
      </w:pPr>
      <w:r w:rsidRPr="00ED31C7">
        <w:rPr>
          <w:noProof/>
        </w:rPr>
        <w:drawing>
          <wp:inline distT="0" distB="0" distL="0" distR="0" wp14:anchorId="438FC098" wp14:editId="7CDC6DB8">
            <wp:extent cx="5197475" cy="1104402"/>
            <wp:effectExtent l="0" t="0" r="3175" b="0"/>
            <wp:docPr id="11030937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15426" cy="1108216"/>
                    </a:xfrm>
                    <a:prstGeom prst="rect">
                      <a:avLst/>
                    </a:prstGeom>
                    <a:noFill/>
                    <a:ln>
                      <a:noFill/>
                    </a:ln>
                  </pic:spPr>
                </pic:pic>
              </a:graphicData>
            </a:graphic>
          </wp:inline>
        </w:drawing>
      </w:r>
    </w:p>
    <w:p w14:paraId="0A744AB0" w14:textId="77777777" w:rsidR="00C82F0D" w:rsidRPr="00107B4D" w:rsidRDefault="00C82F0D" w:rsidP="00A72A72">
      <w:pPr>
        <w:tabs>
          <w:tab w:val="left" w:pos="426"/>
          <w:tab w:val="left" w:pos="851"/>
          <w:tab w:val="left" w:pos="1276"/>
        </w:tabs>
        <w:ind w:right="-22"/>
        <w:jc w:val="both"/>
        <w:rPr>
          <w:rFonts w:ascii="Verdana" w:hAnsi="Verdana" w:cs="Arial"/>
          <w:sz w:val="17"/>
          <w:szCs w:val="17"/>
        </w:rPr>
      </w:pPr>
    </w:p>
    <w:p w14:paraId="2A61FE42" w14:textId="77777777" w:rsidR="00C82F0D" w:rsidRPr="00107B4D" w:rsidRDefault="00C82F0D" w:rsidP="009B6619">
      <w:pPr>
        <w:tabs>
          <w:tab w:val="left" w:pos="426"/>
          <w:tab w:val="left" w:pos="851"/>
          <w:tab w:val="left" w:pos="1276"/>
        </w:tabs>
        <w:ind w:left="426" w:right="-22"/>
        <w:jc w:val="both"/>
        <w:rPr>
          <w:rFonts w:ascii="Verdana" w:hAnsi="Verdana" w:cs="Arial"/>
          <w:sz w:val="17"/>
          <w:szCs w:val="17"/>
        </w:rPr>
      </w:pPr>
      <w:r w:rsidRPr="00107B4D">
        <w:rPr>
          <w:rFonts w:ascii="Verdana" w:hAnsi="Verdana" w:cs="Arial"/>
          <w:sz w:val="17"/>
          <w:szCs w:val="17"/>
        </w:rPr>
        <w:t xml:space="preserve">A rubrica “Direitos de uso”, decorre da aplicação da norma IFRS 16 – Locações aos contratos assinados </w:t>
      </w:r>
      <w:r w:rsidRPr="00ED31C7">
        <w:rPr>
          <w:rFonts w:ascii="Verdana" w:hAnsi="Verdana" w:cs="Arial"/>
          <w:sz w:val="17"/>
          <w:szCs w:val="17"/>
        </w:rPr>
        <w:t>em 2024</w:t>
      </w:r>
      <w:r w:rsidRPr="00107B4D">
        <w:rPr>
          <w:rFonts w:ascii="Verdana" w:hAnsi="Verdana" w:cs="Arial"/>
          <w:sz w:val="17"/>
          <w:szCs w:val="17"/>
        </w:rPr>
        <w:t xml:space="preserve"> relativos ao arrendamento do imóvel </w:t>
      </w:r>
      <w:proofErr w:type="spellStart"/>
      <w:r w:rsidRPr="00107B4D">
        <w:rPr>
          <w:rFonts w:ascii="Verdana" w:hAnsi="Verdana" w:cs="Arial"/>
          <w:sz w:val="17"/>
          <w:szCs w:val="17"/>
        </w:rPr>
        <w:t>Arquiparque</w:t>
      </w:r>
      <w:proofErr w:type="spellEnd"/>
      <w:r w:rsidRPr="00107B4D">
        <w:rPr>
          <w:rFonts w:ascii="Verdana" w:hAnsi="Verdana" w:cs="Arial"/>
          <w:sz w:val="17"/>
          <w:szCs w:val="17"/>
        </w:rPr>
        <w:t xml:space="preserve"> VII em Miraflores, à renovação do contrato do Imóvel Torre Antes no Porto, a alguns lugares de estacionamento e a sete viaturas.</w:t>
      </w:r>
    </w:p>
    <w:p w14:paraId="0C63E5EC" w14:textId="77777777" w:rsidR="00C82F0D" w:rsidRPr="00107B4D" w:rsidRDefault="00C82F0D" w:rsidP="009B6619">
      <w:pPr>
        <w:tabs>
          <w:tab w:val="left" w:pos="426"/>
          <w:tab w:val="left" w:pos="851"/>
          <w:tab w:val="left" w:pos="1276"/>
        </w:tabs>
        <w:ind w:left="426" w:right="-22"/>
        <w:jc w:val="both"/>
        <w:rPr>
          <w:rFonts w:ascii="Verdana" w:hAnsi="Verdana" w:cs="Arial"/>
          <w:sz w:val="17"/>
          <w:szCs w:val="17"/>
        </w:rPr>
      </w:pPr>
    </w:p>
    <w:p w14:paraId="6F784E32" w14:textId="77777777" w:rsidR="00C82F0D" w:rsidRDefault="00C82F0D" w:rsidP="009B6619">
      <w:pPr>
        <w:tabs>
          <w:tab w:val="left" w:pos="426"/>
          <w:tab w:val="left" w:pos="851"/>
          <w:tab w:val="left" w:pos="1276"/>
        </w:tabs>
        <w:ind w:left="426" w:right="-22"/>
        <w:jc w:val="both"/>
        <w:rPr>
          <w:rFonts w:ascii="Verdana" w:hAnsi="Verdana" w:cs="Arial"/>
          <w:sz w:val="17"/>
          <w:szCs w:val="17"/>
        </w:rPr>
      </w:pPr>
      <w:r w:rsidRPr="00107B4D">
        <w:rPr>
          <w:rFonts w:ascii="Verdana" w:hAnsi="Verdana" w:cs="Arial"/>
          <w:sz w:val="17"/>
          <w:szCs w:val="17"/>
        </w:rPr>
        <w:t>Todos os contratos relativos aos imóveis e estacionamentos foram assinados durante o ano de 2019, tendo os seus términos ocorrido em 202</w:t>
      </w:r>
      <w:r>
        <w:rPr>
          <w:rFonts w:ascii="Verdana" w:hAnsi="Verdana" w:cs="Arial"/>
          <w:sz w:val="17"/>
          <w:szCs w:val="17"/>
        </w:rPr>
        <w:t>4</w:t>
      </w:r>
      <w:r w:rsidRPr="00107B4D">
        <w:rPr>
          <w:rFonts w:ascii="Verdana" w:hAnsi="Verdana" w:cs="Arial"/>
          <w:sz w:val="17"/>
          <w:szCs w:val="17"/>
        </w:rPr>
        <w:t xml:space="preserve">, no entanto, considerando a liquidação da sociedade BPN Serviços ACE (inquilina dos contratos) </w:t>
      </w:r>
      <w:r w:rsidRPr="009E7D98">
        <w:rPr>
          <w:rFonts w:ascii="Verdana" w:hAnsi="Verdana" w:cs="Arial"/>
          <w:sz w:val="17"/>
          <w:szCs w:val="17"/>
        </w:rPr>
        <w:t xml:space="preserve">foi efetuado também em 2024 um acordo de cessão de posição contratual para os estacionamentos bem como um novo contrato de arrendamento para fins não habitacionais com prazo certo para o imóvel </w:t>
      </w:r>
      <w:proofErr w:type="spellStart"/>
      <w:r w:rsidRPr="009E7D98">
        <w:rPr>
          <w:rFonts w:ascii="Verdana" w:hAnsi="Verdana" w:cs="Arial"/>
          <w:sz w:val="17"/>
          <w:szCs w:val="17"/>
        </w:rPr>
        <w:t>Arquiparque</w:t>
      </w:r>
      <w:proofErr w:type="spellEnd"/>
      <w:r w:rsidRPr="009E7D98">
        <w:rPr>
          <w:rFonts w:ascii="Verdana" w:hAnsi="Verdana" w:cs="Arial"/>
          <w:sz w:val="17"/>
          <w:szCs w:val="17"/>
        </w:rPr>
        <w:t xml:space="preserve"> VII (Piso 6). </w:t>
      </w:r>
      <w:r w:rsidRPr="00BF2015">
        <w:rPr>
          <w:rFonts w:ascii="Verdana" w:hAnsi="Verdana" w:cs="Arial"/>
          <w:sz w:val="17"/>
          <w:szCs w:val="17"/>
        </w:rPr>
        <w:t>Relativamente ao contrato do imóvel Torre das Antas foi prorrogado durante o ano de 2025, tal como o contrato relativo aos estacionamentos.</w:t>
      </w:r>
    </w:p>
    <w:p w14:paraId="755CCE98" w14:textId="77777777" w:rsidR="00C82F0D" w:rsidRDefault="00C82F0D" w:rsidP="00ED31C7">
      <w:pPr>
        <w:tabs>
          <w:tab w:val="left" w:pos="426"/>
          <w:tab w:val="left" w:pos="851"/>
          <w:tab w:val="left" w:pos="1276"/>
        </w:tabs>
        <w:ind w:right="-22"/>
        <w:jc w:val="both"/>
        <w:rPr>
          <w:rFonts w:ascii="Verdana" w:hAnsi="Verdana" w:cs="Arial"/>
          <w:sz w:val="17"/>
          <w:szCs w:val="17"/>
        </w:rPr>
      </w:pPr>
    </w:p>
    <w:p w14:paraId="046E95EF" w14:textId="1B9D6717" w:rsidR="00C82F0D" w:rsidRPr="009259D7" w:rsidRDefault="00C82F0D" w:rsidP="00ED31C7">
      <w:pPr>
        <w:tabs>
          <w:tab w:val="left" w:pos="426"/>
          <w:tab w:val="left" w:pos="851"/>
          <w:tab w:val="left" w:pos="1276"/>
        </w:tabs>
        <w:ind w:left="426" w:right="-22"/>
        <w:jc w:val="both"/>
        <w:rPr>
          <w:rFonts w:ascii="Verdana" w:hAnsi="Verdana" w:cs="Arial"/>
          <w:sz w:val="17"/>
          <w:szCs w:val="17"/>
        </w:rPr>
      </w:pPr>
      <w:r w:rsidRPr="00BF2015">
        <w:rPr>
          <w:rFonts w:ascii="Verdana" w:hAnsi="Verdana" w:cs="Arial"/>
          <w:sz w:val="17"/>
          <w:szCs w:val="17"/>
        </w:rPr>
        <w:t xml:space="preserve">Relativamente aos contratos das viaturas, um deles teve o seu início em 2023, seis iniciaram o respetivo contrato de locação em 2024, com uma duração de </w:t>
      </w:r>
      <w:r w:rsidR="00CA66E2">
        <w:rPr>
          <w:rFonts w:ascii="Verdana" w:hAnsi="Verdana" w:cs="Arial"/>
          <w:sz w:val="17"/>
          <w:szCs w:val="17"/>
        </w:rPr>
        <w:t>três</w:t>
      </w:r>
      <w:r w:rsidRPr="00BF2015">
        <w:rPr>
          <w:rFonts w:ascii="Verdana" w:hAnsi="Verdana" w:cs="Arial"/>
          <w:sz w:val="17"/>
          <w:szCs w:val="17"/>
        </w:rPr>
        <w:t xml:space="preserve"> anos e, em 2025 foi celebrado um novo contrato referente a uma nova viatura, igualmente com um prazo de </w:t>
      </w:r>
      <w:r w:rsidR="00CA66E2">
        <w:rPr>
          <w:rFonts w:ascii="Verdana" w:hAnsi="Verdana" w:cs="Arial"/>
          <w:sz w:val="17"/>
          <w:szCs w:val="17"/>
        </w:rPr>
        <w:t>três</w:t>
      </w:r>
      <w:r w:rsidRPr="00BF2015">
        <w:rPr>
          <w:rFonts w:ascii="Verdana" w:hAnsi="Verdana" w:cs="Arial"/>
          <w:sz w:val="17"/>
          <w:szCs w:val="17"/>
        </w:rPr>
        <w:t xml:space="preserve"> anos. As viaturas são amortizadas de acordo com o período de locação estabelecido nos contratos, conforme descrito na Nota 2.4 m).</w:t>
      </w:r>
    </w:p>
    <w:p w14:paraId="217A96EA" w14:textId="77777777" w:rsidR="00C82F0D" w:rsidRPr="00107B4D" w:rsidRDefault="00C82F0D" w:rsidP="00A72A72">
      <w:pPr>
        <w:tabs>
          <w:tab w:val="left" w:pos="426"/>
          <w:tab w:val="left" w:pos="851"/>
          <w:tab w:val="left" w:pos="1276"/>
        </w:tabs>
        <w:ind w:right="-22"/>
        <w:jc w:val="both"/>
        <w:rPr>
          <w:rFonts w:ascii="Verdana" w:hAnsi="Verdana" w:cs="Arial"/>
          <w:sz w:val="17"/>
          <w:szCs w:val="17"/>
        </w:rPr>
      </w:pPr>
    </w:p>
    <w:p w14:paraId="76FC6579" w14:textId="77777777" w:rsidR="00C82F0D" w:rsidRDefault="00C82F0D" w:rsidP="009B6619">
      <w:pPr>
        <w:tabs>
          <w:tab w:val="left" w:pos="426"/>
          <w:tab w:val="left" w:pos="851"/>
          <w:tab w:val="left" w:pos="1276"/>
        </w:tabs>
        <w:ind w:left="426" w:right="-22"/>
        <w:jc w:val="both"/>
        <w:rPr>
          <w:rFonts w:ascii="Verdana" w:hAnsi="Verdana" w:cs="Arial"/>
          <w:sz w:val="17"/>
          <w:szCs w:val="17"/>
        </w:rPr>
      </w:pPr>
      <w:r>
        <w:rPr>
          <w:rFonts w:ascii="Verdana" w:hAnsi="Verdana" w:cs="Arial"/>
          <w:sz w:val="17"/>
          <w:szCs w:val="17"/>
        </w:rPr>
        <w:t>Em 2024 f</w:t>
      </w:r>
      <w:r w:rsidRPr="00107B4D">
        <w:rPr>
          <w:rFonts w:ascii="Verdana" w:hAnsi="Verdana" w:cs="Arial"/>
          <w:sz w:val="17"/>
          <w:szCs w:val="17"/>
        </w:rPr>
        <w:t>ruto da fusão da PARPARTICIPADAS, SGPS, S.A e da liquidação do BPN Serviços ACE, os ativos fixos tangíveis viram incorporados os ativos transferidos das mesmas.</w:t>
      </w:r>
    </w:p>
    <w:p w14:paraId="4BCDC453" w14:textId="77777777" w:rsidR="00C82F0D" w:rsidRDefault="00C82F0D" w:rsidP="009B6619">
      <w:pPr>
        <w:tabs>
          <w:tab w:val="left" w:pos="426"/>
          <w:tab w:val="left" w:pos="851"/>
          <w:tab w:val="left" w:pos="1276"/>
        </w:tabs>
        <w:ind w:left="426" w:right="-22"/>
        <w:jc w:val="both"/>
        <w:rPr>
          <w:rFonts w:ascii="Verdana" w:hAnsi="Verdana" w:cs="Arial"/>
          <w:sz w:val="17"/>
          <w:szCs w:val="17"/>
        </w:rPr>
      </w:pPr>
    </w:p>
    <w:p w14:paraId="2FF17740" w14:textId="77777777" w:rsidR="00C82F0D" w:rsidRPr="00107B4D" w:rsidRDefault="00C82F0D" w:rsidP="009B6619">
      <w:pPr>
        <w:tabs>
          <w:tab w:val="left" w:pos="426"/>
          <w:tab w:val="left" w:pos="851"/>
          <w:tab w:val="left" w:pos="1276"/>
        </w:tabs>
        <w:ind w:left="426" w:right="-22"/>
        <w:jc w:val="both"/>
        <w:rPr>
          <w:rFonts w:ascii="Verdana" w:hAnsi="Verdana" w:cs="Arial"/>
          <w:sz w:val="17"/>
          <w:szCs w:val="17"/>
        </w:rPr>
      </w:pPr>
      <w:r>
        <w:rPr>
          <w:rFonts w:ascii="Verdana" w:hAnsi="Verdana" w:cs="Arial"/>
          <w:sz w:val="17"/>
          <w:szCs w:val="17"/>
        </w:rPr>
        <w:t>Em 2025 a Sociedade efetuou a doação de um conjunto de equipamentos administrativos que se encontravam obsoletos e sem qualquer capacidade de utilização para a mesma.</w:t>
      </w:r>
    </w:p>
    <w:p w14:paraId="5D789695" w14:textId="77777777" w:rsidR="00C82F0D" w:rsidRPr="00107B4D" w:rsidRDefault="00C82F0D" w:rsidP="00A72A72">
      <w:pPr>
        <w:tabs>
          <w:tab w:val="left" w:pos="426"/>
          <w:tab w:val="left" w:pos="851"/>
          <w:tab w:val="left" w:pos="1276"/>
        </w:tabs>
        <w:ind w:right="-22"/>
        <w:jc w:val="both"/>
        <w:rPr>
          <w:rFonts w:ascii="Verdana" w:hAnsi="Verdana" w:cs="Arial"/>
          <w:sz w:val="17"/>
          <w:szCs w:val="17"/>
        </w:rPr>
      </w:pPr>
    </w:p>
    <w:p w14:paraId="7635C524" w14:textId="77777777" w:rsidR="00C82F0D" w:rsidRDefault="00C82F0D" w:rsidP="00A72A72">
      <w:pPr>
        <w:tabs>
          <w:tab w:val="left" w:pos="426"/>
          <w:tab w:val="left" w:pos="851"/>
          <w:tab w:val="left" w:pos="1276"/>
        </w:tabs>
        <w:ind w:left="426" w:right="-22"/>
        <w:jc w:val="both"/>
        <w:rPr>
          <w:rFonts w:ascii="Verdana" w:hAnsi="Verdana" w:cs="Arial"/>
          <w:sz w:val="17"/>
          <w:szCs w:val="17"/>
        </w:rPr>
      </w:pPr>
      <w:r w:rsidRPr="00107B4D">
        <w:rPr>
          <w:rFonts w:ascii="Verdana" w:hAnsi="Verdana" w:cs="Arial"/>
          <w:sz w:val="17"/>
          <w:szCs w:val="17"/>
        </w:rPr>
        <w:t>O movimento na rubrica de ativos intangíveis, nos exercícios de 202</w:t>
      </w:r>
      <w:r>
        <w:rPr>
          <w:rFonts w:ascii="Verdana" w:hAnsi="Verdana" w:cs="Arial"/>
          <w:sz w:val="17"/>
          <w:szCs w:val="17"/>
        </w:rPr>
        <w:t>5</w:t>
      </w:r>
      <w:r w:rsidRPr="00107B4D">
        <w:rPr>
          <w:rFonts w:ascii="Verdana" w:hAnsi="Verdana" w:cs="Arial"/>
          <w:sz w:val="17"/>
          <w:szCs w:val="17"/>
        </w:rPr>
        <w:t xml:space="preserve"> e 202</w:t>
      </w:r>
      <w:r>
        <w:rPr>
          <w:rFonts w:ascii="Verdana" w:hAnsi="Verdana" w:cs="Arial"/>
          <w:sz w:val="17"/>
          <w:szCs w:val="17"/>
        </w:rPr>
        <w:t xml:space="preserve">4 </w:t>
      </w:r>
      <w:r w:rsidRPr="00107B4D">
        <w:rPr>
          <w:rFonts w:ascii="Verdana" w:hAnsi="Verdana" w:cs="Arial"/>
          <w:sz w:val="17"/>
          <w:szCs w:val="17"/>
        </w:rPr>
        <w:t>foi o seguinte:</w:t>
      </w:r>
    </w:p>
    <w:p w14:paraId="07D8EF51" w14:textId="77777777" w:rsidR="00C82F0D" w:rsidRDefault="00C82F0D" w:rsidP="00633A3B">
      <w:pPr>
        <w:tabs>
          <w:tab w:val="left" w:pos="426"/>
          <w:tab w:val="left" w:pos="851"/>
          <w:tab w:val="left" w:pos="1276"/>
        </w:tabs>
        <w:ind w:left="426" w:right="-22"/>
        <w:jc w:val="both"/>
        <w:rPr>
          <w:rFonts w:ascii="Verdana" w:hAnsi="Verdana" w:cs="Arial"/>
          <w:sz w:val="17"/>
          <w:szCs w:val="17"/>
        </w:rPr>
      </w:pPr>
    </w:p>
    <w:p w14:paraId="2861A602" w14:textId="77777777" w:rsidR="00C82F0D" w:rsidRPr="00107B4D" w:rsidRDefault="00C82F0D" w:rsidP="00633A3B">
      <w:pPr>
        <w:tabs>
          <w:tab w:val="left" w:pos="426"/>
          <w:tab w:val="left" w:pos="851"/>
          <w:tab w:val="left" w:pos="1276"/>
        </w:tabs>
        <w:ind w:left="426" w:right="-22"/>
        <w:jc w:val="both"/>
        <w:rPr>
          <w:rFonts w:ascii="Verdana" w:hAnsi="Verdana" w:cs="Arial"/>
          <w:sz w:val="17"/>
          <w:szCs w:val="17"/>
        </w:rPr>
      </w:pPr>
      <w:r w:rsidRPr="00A72A72">
        <w:rPr>
          <w:noProof/>
        </w:rPr>
        <w:lastRenderedPageBreak/>
        <w:drawing>
          <wp:inline distT="0" distB="0" distL="0" distR="0" wp14:anchorId="2F6A1844" wp14:editId="1431BC40">
            <wp:extent cx="5173063" cy="1970314"/>
            <wp:effectExtent l="0" t="0" r="0" b="0"/>
            <wp:docPr id="161900452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95672" cy="1978925"/>
                    </a:xfrm>
                    <a:prstGeom prst="rect">
                      <a:avLst/>
                    </a:prstGeom>
                    <a:noFill/>
                    <a:ln>
                      <a:noFill/>
                    </a:ln>
                  </pic:spPr>
                </pic:pic>
              </a:graphicData>
            </a:graphic>
          </wp:inline>
        </w:drawing>
      </w:r>
    </w:p>
    <w:p w14:paraId="452A5B51" w14:textId="77777777" w:rsidR="00C82F0D" w:rsidRDefault="00C82F0D" w:rsidP="00633A3B">
      <w:pPr>
        <w:tabs>
          <w:tab w:val="left" w:pos="426"/>
          <w:tab w:val="left" w:pos="851"/>
          <w:tab w:val="left" w:pos="1276"/>
        </w:tabs>
        <w:ind w:left="426" w:right="-22"/>
        <w:jc w:val="both"/>
        <w:rPr>
          <w:rFonts w:ascii="Verdana" w:hAnsi="Verdana" w:cs="Arial"/>
          <w:sz w:val="17"/>
          <w:szCs w:val="17"/>
        </w:rPr>
      </w:pPr>
    </w:p>
    <w:p w14:paraId="04FDFBEF" w14:textId="77777777" w:rsidR="00C82F0D" w:rsidRPr="00C95655" w:rsidRDefault="00C82F0D" w:rsidP="00C95655">
      <w:pPr>
        <w:tabs>
          <w:tab w:val="left" w:pos="426"/>
          <w:tab w:val="left" w:pos="851"/>
          <w:tab w:val="left" w:pos="1276"/>
        </w:tabs>
        <w:ind w:left="426" w:right="-22"/>
        <w:jc w:val="both"/>
        <w:rPr>
          <w:rFonts w:ascii="Verdana" w:hAnsi="Verdana" w:cs="Arial"/>
          <w:sz w:val="17"/>
          <w:szCs w:val="17"/>
        </w:rPr>
      </w:pPr>
      <w:r>
        <w:rPr>
          <w:rFonts w:ascii="Verdana" w:hAnsi="Verdana" w:cs="Arial"/>
          <w:sz w:val="17"/>
          <w:szCs w:val="17"/>
        </w:rPr>
        <w:t>Em 2025 a Sociedade efetuou o abate de um programa de computador que se encontrava obsoleto e sem qualquer capacidade de utilização para a mesma.</w:t>
      </w:r>
    </w:p>
    <w:p w14:paraId="1EB6BA92" w14:textId="77777777" w:rsidR="00C82F0D" w:rsidRPr="00107B4D" w:rsidRDefault="00C82F0D">
      <w:pPr>
        <w:rPr>
          <w:rFonts w:ascii="Verdana" w:hAnsi="Verdana" w:cs="Arial"/>
          <w:sz w:val="17"/>
          <w:szCs w:val="17"/>
          <w:u w:val="single"/>
          <w:lang w:eastAsia="en-US"/>
        </w:rPr>
      </w:pPr>
    </w:p>
    <w:p w14:paraId="63203619" w14:textId="77777777" w:rsidR="00C82F0D" w:rsidRPr="00107B4D" w:rsidRDefault="00C82F0D" w:rsidP="009B6619">
      <w:pPr>
        <w:tabs>
          <w:tab w:val="left" w:pos="426"/>
          <w:tab w:val="left" w:pos="851"/>
          <w:tab w:val="left" w:pos="1276"/>
        </w:tabs>
        <w:ind w:right="-22"/>
        <w:jc w:val="both"/>
        <w:rPr>
          <w:rFonts w:ascii="Verdana" w:hAnsi="Verdana" w:cs="Arial"/>
          <w:sz w:val="17"/>
          <w:szCs w:val="17"/>
          <w:u w:val="single"/>
          <w:lang w:eastAsia="en-US"/>
        </w:rPr>
      </w:pPr>
    </w:p>
    <w:p w14:paraId="65C84CB9" w14:textId="77777777" w:rsidR="00C82F0D" w:rsidRPr="00C03E85" w:rsidRDefault="00C82F0D" w:rsidP="00D84952">
      <w:pPr>
        <w:pStyle w:val="Ttulo1"/>
        <w:keepNext w:val="0"/>
        <w:keepLines w:val="0"/>
        <w:numPr>
          <w:ilvl w:val="0"/>
          <w:numId w:val="3"/>
        </w:numPr>
        <w:tabs>
          <w:tab w:val="left" w:pos="426"/>
        </w:tabs>
        <w:spacing w:before="0"/>
        <w:ind w:right="-22"/>
        <w:jc w:val="both"/>
        <w:rPr>
          <w:rFonts w:ascii="Verdana" w:eastAsia="Times New Roman" w:hAnsi="Verdana" w:cs="Arial"/>
          <w:b w:val="0"/>
          <w:bCs w:val="0"/>
          <w:color w:val="auto"/>
          <w:sz w:val="17"/>
          <w:szCs w:val="17"/>
          <w:u w:val="single"/>
          <w:lang w:eastAsia="en-US"/>
        </w:rPr>
      </w:pPr>
      <w:r w:rsidRPr="00C03E85">
        <w:rPr>
          <w:rFonts w:ascii="Verdana" w:eastAsia="Times New Roman" w:hAnsi="Verdana" w:cs="Arial"/>
          <w:b w:val="0"/>
          <w:bCs w:val="0"/>
          <w:color w:val="auto"/>
          <w:sz w:val="17"/>
          <w:szCs w:val="17"/>
          <w:u w:val="single"/>
          <w:lang w:eastAsia="en-US"/>
        </w:rPr>
        <w:t>OUTRAS CONTAS A RECEBER</w:t>
      </w:r>
    </w:p>
    <w:p w14:paraId="503447C6" w14:textId="77777777" w:rsidR="00C82F0D" w:rsidRPr="00C03E85" w:rsidRDefault="00C82F0D" w:rsidP="00633A3B">
      <w:pPr>
        <w:tabs>
          <w:tab w:val="left" w:pos="426"/>
          <w:tab w:val="left" w:pos="1276"/>
          <w:tab w:val="right" w:pos="6804"/>
          <w:tab w:val="right" w:pos="7939"/>
        </w:tabs>
        <w:ind w:right="-22"/>
        <w:jc w:val="both"/>
        <w:rPr>
          <w:rFonts w:ascii="Verdana" w:hAnsi="Verdana" w:cs="Arial"/>
          <w:sz w:val="17"/>
          <w:szCs w:val="17"/>
        </w:rPr>
      </w:pPr>
    </w:p>
    <w:p w14:paraId="00B2465C" w14:textId="77777777" w:rsidR="00C82F0D" w:rsidRDefault="00C82F0D" w:rsidP="007943A9">
      <w:pPr>
        <w:tabs>
          <w:tab w:val="left" w:pos="426"/>
          <w:tab w:val="left" w:pos="1276"/>
          <w:tab w:val="right" w:pos="6804"/>
          <w:tab w:val="right" w:pos="7939"/>
        </w:tabs>
        <w:ind w:left="360" w:right="-22"/>
        <w:jc w:val="both"/>
        <w:rPr>
          <w:rFonts w:ascii="Verdana" w:hAnsi="Verdana" w:cs="Arial"/>
          <w:sz w:val="17"/>
          <w:szCs w:val="17"/>
        </w:rPr>
      </w:pPr>
      <w:r w:rsidRPr="00C03E85">
        <w:rPr>
          <w:rFonts w:ascii="Verdana" w:hAnsi="Verdana" w:cs="Arial"/>
          <w:sz w:val="17"/>
          <w:szCs w:val="17"/>
        </w:rPr>
        <w:t>Esta rubrica tem a seguinte composição:</w:t>
      </w:r>
    </w:p>
    <w:p w14:paraId="3D3CFEA4" w14:textId="77777777" w:rsidR="002C3AD5" w:rsidRPr="00C03E85" w:rsidRDefault="002C3AD5" w:rsidP="007943A9">
      <w:pPr>
        <w:tabs>
          <w:tab w:val="left" w:pos="426"/>
          <w:tab w:val="left" w:pos="1276"/>
          <w:tab w:val="right" w:pos="6804"/>
          <w:tab w:val="right" w:pos="7939"/>
        </w:tabs>
        <w:ind w:left="360" w:right="-22"/>
        <w:jc w:val="both"/>
        <w:rPr>
          <w:rFonts w:ascii="Verdana" w:hAnsi="Verdana" w:cs="Arial"/>
          <w:sz w:val="17"/>
          <w:szCs w:val="17"/>
        </w:rPr>
      </w:pPr>
    </w:p>
    <w:p w14:paraId="5241D937" w14:textId="77777777" w:rsidR="00C82F0D" w:rsidRPr="00C2752F" w:rsidRDefault="00C82F0D" w:rsidP="00633A3B">
      <w:pPr>
        <w:tabs>
          <w:tab w:val="left" w:pos="426"/>
          <w:tab w:val="left" w:pos="1276"/>
          <w:tab w:val="right" w:pos="6804"/>
          <w:tab w:val="right" w:pos="7939"/>
        </w:tabs>
        <w:ind w:right="-22"/>
        <w:jc w:val="both"/>
        <w:rPr>
          <w:rFonts w:ascii="Verdana" w:hAnsi="Verdana" w:cs="Arial"/>
          <w:sz w:val="17"/>
          <w:szCs w:val="17"/>
          <w:highlight w:val="yellow"/>
        </w:rPr>
      </w:pPr>
    </w:p>
    <w:p w14:paraId="4336E9C0" w14:textId="0088AF8E" w:rsidR="00C82F0D" w:rsidRPr="00C2752F" w:rsidRDefault="002C3AD5" w:rsidP="004F48EE">
      <w:pPr>
        <w:tabs>
          <w:tab w:val="left" w:pos="426"/>
          <w:tab w:val="left" w:pos="1276"/>
          <w:tab w:val="right" w:pos="6804"/>
          <w:tab w:val="right" w:pos="7939"/>
        </w:tabs>
        <w:ind w:left="426" w:right="-22"/>
        <w:jc w:val="center"/>
        <w:rPr>
          <w:rFonts w:ascii="Verdana" w:hAnsi="Verdana" w:cs="Arial"/>
          <w:sz w:val="17"/>
          <w:szCs w:val="17"/>
          <w:highlight w:val="yellow"/>
        </w:rPr>
      </w:pPr>
      <w:r w:rsidRPr="00E57839">
        <w:rPr>
          <w:noProof/>
        </w:rPr>
        <w:drawing>
          <wp:inline distT="0" distB="0" distL="0" distR="0" wp14:anchorId="785DC8ED" wp14:editId="40F212E6">
            <wp:extent cx="4978400" cy="4296281"/>
            <wp:effectExtent l="0" t="0" r="0" b="0"/>
            <wp:docPr id="8421977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985255" cy="4302197"/>
                    </a:xfrm>
                    <a:prstGeom prst="rect">
                      <a:avLst/>
                    </a:prstGeom>
                    <a:noFill/>
                    <a:ln>
                      <a:noFill/>
                    </a:ln>
                  </pic:spPr>
                </pic:pic>
              </a:graphicData>
            </a:graphic>
          </wp:inline>
        </w:drawing>
      </w:r>
    </w:p>
    <w:p w14:paraId="2CB236BB" w14:textId="77777777" w:rsidR="00C82F0D" w:rsidRPr="00C2752F" w:rsidRDefault="00C82F0D" w:rsidP="00633A3B">
      <w:pPr>
        <w:tabs>
          <w:tab w:val="left" w:pos="426"/>
          <w:tab w:val="left" w:pos="1276"/>
          <w:tab w:val="right" w:pos="6804"/>
          <w:tab w:val="right" w:pos="7939"/>
        </w:tabs>
        <w:ind w:right="-22"/>
        <w:jc w:val="both"/>
        <w:rPr>
          <w:rFonts w:ascii="Verdana" w:hAnsi="Verdana" w:cs="Arial"/>
          <w:sz w:val="17"/>
          <w:szCs w:val="17"/>
          <w:highlight w:val="yellow"/>
        </w:rPr>
      </w:pPr>
    </w:p>
    <w:p w14:paraId="4BEA5E74" w14:textId="77777777" w:rsidR="00C82F0D" w:rsidRPr="00260645" w:rsidRDefault="00C82F0D" w:rsidP="009F7214">
      <w:pPr>
        <w:tabs>
          <w:tab w:val="left" w:pos="426"/>
          <w:tab w:val="left" w:pos="1276"/>
          <w:tab w:val="right" w:pos="6804"/>
          <w:tab w:val="right" w:pos="7939"/>
        </w:tabs>
        <w:ind w:left="426" w:right="-45"/>
        <w:jc w:val="both"/>
        <w:rPr>
          <w:rFonts w:ascii="Verdana" w:hAnsi="Verdana" w:cs="Arial"/>
          <w:sz w:val="17"/>
          <w:szCs w:val="17"/>
        </w:rPr>
      </w:pPr>
    </w:p>
    <w:p w14:paraId="79365CA8" w14:textId="77777777" w:rsidR="00C82F0D" w:rsidRPr="00260645" w:rsidRDefault="00C82F0D" w:rsidP="009F7214">
      <w:pPr>
        <w:tabs>
          <w:tab w:val="left" w:pos="426"/>
          <w:tab w:val="left" w:pos="1276"/>
          <w:tab w:val="right" w:pos="6804"/>
          <w:tab w:val="right" w:pos="7939"/>
        </w:tabs>
        <w:ind w:left="426" w:right="-45"/>
        <w:jc w:val="both"/>
        <w:rPr>
          <w:rFonts w:ascii="Verdana" w:hAnsi="Verdana" w:cs="Arial"/>
          <w:sz w:val="17"/>
          <w:szCs w:val="17"/>
        </w:rPr>
      </w:pPr>
      <w:r w:rsidRPr="00260645">
        <w:rPr>
          <w:rFonts w:ascii="Verdana" w:hAnsi="Verdana" w:cs="Arial"/>
          <w:sz w:val="17"/>
          <w:szCs w:val="17"/>
        </w:rPr>
        <w:t xml:space="preserve">O apuramento da imparidade para outras contas a receber foi efetuado de acordo com a metodologia descrita na Nota 2.4 d). Em 31 de dezembro de 2025 e 2024, a imparidade estimada para as operações de crédito, incluindo juros a receber, a adiantamentos a outros </w:t>
      </w:r>
    </w:p>
    <w:p w14:paraId="358D950A" w14:textId="77777777" w:rsidR="00C82F0D" w:rsidRPr="00260645" w:rsidRDefault="00C82F0D" w:rsidP="00635DD9">
      <w:pPr>
        <w:tabs>
          <w:tab w:val="left" w:pos="426"/>
          <w:tab w:val="left" w:pos="1276"/>
          <w:tab w:val="right" w:pos="6804"/>
          <w:tab w:val="right" w:pos="7939"/>
        </w:tabs>
        <w:ind w:left="426" w:right="-45"/>
        <w:jc w:val="both"/>
        <w:rPr>
          <w:rFonts w:ascii="Verdana" w:hAnsi="Verdana" w:cs="Arial"/>
          <w:sz w:val="17"/>
          <w:szCs w:val="17"/>
        </w:rPr>
      </w:pPr>
      <w:r w:rsidRPr="00260645">
        <w:rPr>
          <w:rFonts w:ascii="Verdana" w:hAnsi="Verdana" w:cs="Arial"/>
          <w:sz w:val="17"/>
          <w:szCs w:val="17"/>
        </w:rPr>
        <w:t xml:space="preserve">Devedores e ainda a imparidade para as outras contas a receber, foi apurada da seguinte forma: </w:t>
      </w:r>
    </w:p>
    <w:p w14:paraId="139B6BCA" w14:textId="77777777" w:rsidR="00C82F0D" w:rsidRPr="00C2752F" w:rsidRDefault="00C82F0D" w:rsidP="00635DD9">
      <w:pPr>
        <w:tabs>
          <w:tab w:val="left" w:pos="426"/>
          <w:tab w:val="left" w:pos="1276"/>
          <w:tab w:val="right" w:pos="6804"/>
          <w:tab w:val="right" w:pos="7939"/>
        </w:tabs>
        <w:ind w:left="426" w:right="-45"/>
        <w:jc w:val="both"/>
        <w:rPr>
          <w:rFonts w:ascii="Verdana" w:hAnsi="Verdana" w:cs="Arial"/>
          <w:sz w:val="17"/>
          <w:szCs w:val="17"/>
          <w:highlight w:val="yellow"/>
        </w:rPr>
      </w:pPr>
    </w:p>
    <w:p w14:paraId="4C82DEFA" w14:textId="77777777" w:rsidR="00C82F0D" w:rsidRPr="00C2752F" w:rsidRDefault="00C82F0D" w:rsidP="00635DD9">
      <w:pPr>
        <w:tabs>
          <w:tab w:val="left" w:pos="426"/>
          <w:tab w:val="left" w:pos="1276"/>
          <w:tab w:val="right" w:pos="6804"/>
          <w:tab w:val="right" w:pos="7939"/>
        </w:tabs>
        <w:ind w:left="426" w:right="-45"/>
        <w:jc w:val="both"/>
        <w:rPr>
          <w:rFonts w:ascii="Verdana" w:hAnsi="Verdana" w:cs="Arial"/>
          <w:sz w:val="17"/>
          <w:szCs w:val="17"/>
          <w:highlight w:val="yellow"/>
        </w:rPr>
      </w:pPr>
    </w:p>
    <w:p w14:paraId="53B0F84F" w14:textId="4BF51E30" w:rsidR="00C82F0D" w:rsidRPr="00C2752F" w:rsidRDefault="001B3FF7" w:rsidP="00147FC6">
      <w:pPr>
        <w:tabs>
          <w:tab w:val="left" w:pos="426"/>
          <w:tab w:val="left" w:pos="1276"/>
          <w:tab w:val="right" w:pos="6804"/>
          <w:tab w:val="right" w:pos="7939"/>
        </w:tabs>
        <w:ind w:left="426" w:right="-45"/>
        <w:jc w:val="both"/>
        <w:rPr>
          <w:rFonts w:ascii="Verdana" w:hAnsi="Verdana" w:cs="Arial"/>
          <w:sz w:val="17"/>
          <w:szCs w:val="17"/>
          <w:highlight w:val="yellow"/>
        </w:rPr>
      </w:pPr>
      <w:r w:rsidRPr="00E57839">
        <w:rPr>
          <w:noProof/>
        </w:rPr>
        <w:lastRenderedPageBreak/>
        <w:drawing>
          <wp:inline distT="0" distB="0" distL="0" distR="0" wp14:anchorId="0C7A52D5" wp14:editId="4BC86602">
            <wp:extent cx="5073650" cy="945698"/>
            <wp:effectExtent l="0" t="0" r="0" b="6985"/>
            <wp:docPr id="2628629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03528" cy="951267"/>
                    </a:xfrm>
                    <a:prstGeom prst="rect">
                      <a:avLst/>
                    </a:prstGeom>
                    <a:noFill/>
                    <a:ln>
                      <a:noFill/>
                    </a:ln>
                  </pic:spPr>
                </pic:pic>
              </a:graphicData>
            </a:graphic>
          </wp:inline>
        </w:drawing>
      </w:r>
    </w:p>
    <w:p w14:paraId="4732C039" w14:textId="77777777" w:rsidR="00C82F0D" w:rsidRPr="00260645" w:rsidRDefault="00C82F0D" w:rsidP="00147FC6">
      <w:pPr>
        <w:tabs>
          <w:tab w:val="left" w:pos="426"/>
          <w:tab w:val="left" w:pos="1276"/>
          <w:tab w:val="right" w:pos="6804"/>
          <w:tab w:val="right" w:pos="7939"/>
        </w:tabs>
        <w:ind w:right="-22"/>
        <w:jc w:val="both"/>
        <w:rPr>
          <w:rFonts w:ascii="Verdana" w:hAnsi="Verdana" w:cs="Arial"/>
          <w:sz w:val="17"/>
          <w:szCs w:val="17"/>
        </w:rPr>
      </w:pPr>
    </w:p>
    <w:p w14:paraId="0105162A" w14:textId="77777777" w:rsidR="00C82F0D" w:rsidRPr="00260645" w:rsidRDefault="00C82F0D" w:rsidP="00147FC6">
      <w:pPr>
        <w:tabs>
          <w:tab w:val="left" w:pos="426"/>
          <w:tab w:val="left" w:pos="1276"/>
          <w:tab w:val="right" w:pos="6804"/>
          <w:tab w:val="right" w:pos="7939"/>
        </w:tabs>
        <w:ind w:left="426" w:right="-22"/>
        <w:jc w:val="both"/>
        <w:rPr>
          <w:rFonts w:ascii="Verdana" w:hAnsi="Verdana" w:cs="Arial"/>
          <w:sz w:val="17"/>
          <w:szCs w:val="17"/>
        </w:rPr>
      </w:pPr>
      <w:r w:rsidRPr="00260645">
        <w:rPr>
          <w:rFonts w:ascii="Verdana" w:hAnsi="Verdana" w:cs="Arial"/>
          <w:sz w:val="17"/>
          <w:szCs w:val="17"/>
        </w:rPr>
        <w:t xml:space="preserve">No âmbito do processo de alienação da participação financeira detida pela Parparticipadas, SGPS, S.A. na BPN Crédito – IFIC, S.A. (“BPN Crédito”) à entidade </w:t>
      </w:r>
      <w:proofErr w:type="spellStart"/>
      <w:r w:rsidRPr="00260645">
        <w:rPr>
          <w:rFonts w:ascii="Verdana" w:hAnsi="Verdana" w:cs="Arial"/>
          <w:sz w:val="17"/>
          <w:szCs w:val="17"/>
        </w:rPr>
        <w:t>Firmus</w:t>
      </w:r>
      <w:proofErr w:type="spellEnd"/>
      <w:r w:rsidRPr="00260645">
        <w:rPr>
          <w:rFonts w:ascii="Verdana" w:hAnsi="Verdana" w:cs="Arial"/>
          <w:sz w:val="17"/>
          <w:szCs w:val="17"/>
        </w:rPr>
        <w:t xml:space="preserve"> Investimento, SGPS, S.A., ocorrida no exercício de 2014, os fluxos associados às locações mobiliárias e imobiliárias existentes no ativo da BPN Crédito, as quais foram excluídas do perímetro da venda, foram cedidas à Parvalorem, para amortização parcial da dívida da BPN Crédito junto desta. Estes ativos foram cedidos pelo valor líquido contabilístico, e em 31 de dezembro de 2025 e 2024 têm uma imparidade constituída no montante de 23.809 </w:t>
      </w:r>
      <w:proofErr w:type="spellStart"/>
      <w:proofErr w:type="gramStart"/>
      <w:r w:rsidRPr="00260645">
        <w:rPr>
          <w:rFonts w:ascii="Verdana" w:hAnsi="Verdana" w:cs="Arial"/>
          <w:sz w:val="17"/>
          <w:szCs w:val="17"/>
        </w:rPr>
        <w:t>m.euros</w:t>
      </w:r>
      <w:proofErr w:type="spellEnd"/>
      <w:proofErr w:type="gramEnd"/>
      <w:r w:rsidRPr="00260645">
        <w:rPr>
          <w:rFonts w:ascii="Verdana" w:hAnsi="Verdana" w:cs="Arial"/>
          <w:sz w:val="17"/>
          <w:szCs w:val="17"/>
        </w:rPr>
        <w:t xml:space="preserve"> e 22.241 </w:t>
      </w:r>
      <w:proofErr w:type="spellStart"/>
      <w:proofErr w:type="gramStart"/>
      <w:r w:rsidRPr="00260645">
        <w:rPr>
          <w:rFonts w:ascii="Verdana" w:hAnsi="Verdana" w:cs="Arial"/>
          <w:sz w:val="17"/>
          <w:szCs w:val="17"/>
        </w:rPr>
        <w:t>m.euros</w:t>
      </w:r>
      <w:proofErr w:type="spellEnd"/>
      <w:proofErr w:type="gramEnd"/>
      <w:r w:rsidRPr="00260645">
        <w:rPr>
          <w:rFonts w:ascii="Verdana" w:hAnsi="Verdana" w:cs="Arial"/>
          <w:sz w:val="17"/>
          <w:szCs w:val="17"/>
        </w:rPr>
        <w:t>, respetivamente, registada na rubrica “Imparidade de crédito”.  A gestão desta carteira de créditos continua a ser efetuada pela 321 Crédito – Instituição Financeira de Crédito, S.A. (anteriormente designada BPN Crédito).</w:t>
      </w:r>
    </w:p>
    <w:p w14:paraId="3B2FF95D" w14:textId="77777777" w:rsidR="00C82F0D" w:rsidRPr="00260645" w:rsidRDefault="00C82F0D" w:rsidP="00147FC6">
      <w:pPr>
        <w:tabs>
          <w:tab w:val="left" w:pos="426"/>
          <w:tab w:val="left" w:pos="1276"/>
          <w:tab w:val="right" w:pos="6804"/>
          <w:tab w:val="right" w:pos="7939"/>
        </w:tabs>
        <w:ind w:left="426" w:right="-22"/>
        <w:jc w:val="both"/>
        <w:rPr>
          <w:rFonts w:ascii="Verdana" w:hAnsi="Verdana" w:cs="Arial"/>
          <w:sz w:val="17"/>
          <w:szCs w:val="17"/>
        </w:rPr>
      </w:pPr>
    </w:p>
    <w:p w14:paraId="3A7E2FCA" w14:textId="77777777" w:rsidR="00C82F0D" w:rsidRPr="00260645" w:rsidRDefault="00C82F0D" w:rsidP="00147FC6">
      <w:pPr>
        <w:tabs>
          <w:tab w:val="left" w:pos="426"/>
          <w:tab w:val="left" w:pos="1276"/>
          <w:tab w:val="right" w:pos="6804"/>
          <w:tab w:val="right" w:pos="7939"/>
        </w:tabs>
        <w:ind w:left="426" w:right="-22"/>
        <w:jc w:val="both"/>
        <w:rPr>
          <w:rFonts w:ascii="Verdana" w:hAnsi="Verdana" w:cs="Arial"/>
          <w:sz w:val="17"/>
          <w:szCs w:val="17"/>
        </w:rPr>
      </w:pPr>
      <w:r w:rsidRPr="00260645">
        <w:rPr>
          <w:rFonts w:ascii="Verdana" w:hAnsi="Verdana" w:cs="Arial"/>
          <w:sz w:val="17"/>
          <w:szCs w:val="17"/>
        </w:rPr>
        <w:t xml:space="preserve">No âmbito da recuperação de dívidas, a Sociedade realizou acordos de reestruturação de dívidas com alguns devedores. Com estas reestruturações o montante em dívida de algumas operações aumentou, essencialmente pelo acréscimo à dívida dos clientes de juros de mora, despesas judiciais, entre outros. O Conselho de Administração decidiu não reconhecer diretamente em proveitos do exercício o aumento do montante em dívida dos clientes com estas operações, tendo reconhecido o diferencial face ao montante em dívida, na data da reestruturação, na rubrica “Proveitos diferidos”.  Estes montantes apenas serão reconhecidos em resultados do exercício quando do cumprimento do novo plano financeiro por parte destes clientes. </w:t>
      </w:r>
    </w:p>
    <w:p w14:paraId="15FC36DF" w14:textId="77777777" w:rsidR="00C82F0D" w:rsidRPr="00260645" w:rsidRDefault="00C82F0D" w:rsidP="00147FC6">
      <w:pPr>
        <w:tabs>
          <w:tab w:val="left" w:pos="426"/>
          <w:tab w:val="left" w:pos="1276"/>
          <w:tab w:val="right" w:pos="6804"/>
          <w:tab w:val="right" w:pos="7939"/>
        </w:tabs>
        <w:ind w:left="426" w:right="-22"/>
        <w:jc w:val="both"/>
        <w:rPr>
          <w:rFonts w:ascii="Verdana" w:hAnsi="Verdana" w:cs="Arial"/>
          <w:sz w:val="17"/>
          <w:szCs w:val="17"/>
        </w:rPr>
      </w:pPr>
    </w:p>
    <w:p w14:paraId="07D1BE5D" w14:textId="77777777" w:rsidR="00C82F0D" w:rsidRPr="00260645" w:rsidRDefault="00C82F0D" w:rsidP="00147FC6">
      <w:pPr>
        <w:tabs>
          <w:tab w:val="left" w:pos="426"/>
          <w:tab w:val="left" w:pos="1276"/>
          <w:tab w:val="right" w:pos="6804"/>
          <w:tab w:val="right" w:pos="7939"/>
        </w:tabs>
        <w:ind w:left="426" w:right="-22"/>
        <w:jc w:val="both"/>
        <w:rPr>
          <w:rFonts w:ascii="Verdana" w:hAnsi="Verdana" w:cs="Arial"/>
          <w:sz w:val="17"/>
          <w:szCs w:val="17"/>
        </w:rPr>
      </w:pPr>
      <w:r w:rsidRPr="00260645">
        <w:rPr>
          <w:rFonts w:ascii="Verdana" w:hAnsi="Verdana" w:cs="Arial"/>
          <w:sz w:val="17"/>
          <w:szCs w:val="17"/>
        </w:rPr>
        <w:t>Adicionalmente, alguns acordos de reestruturação de dívidas incluem o perdão parcial, caso o cliente cumpra integralmente o novo plano financeiro estabelecido. A Sociedade registou na rubrica “Acordos de reestruturação” a componente sujeita a perdão potencial, no caso de o cliente cumprir integralmente o plano estabelecido. Este montante é compensado com o crédito registado na rubrica “Proveitos diferidos”, pelo que não tem reflexo no capital próprio da Sociedade.</w:t>
      </w:r>
    </w:p>
    <w:p w14:paraId="1480B5DA" w14:textId="77777777" w:rsidR="00C82F0D" w:rsidRPr="00260645" w:rsidRDefault="00C82F0D" w:rsidP="00147FC6">
      <w:pPr>
        <w:tabs>
          <w:tab w:val="left" w:pos="426"/>
          <w:tab w:val="left" w:pos="1276"/>
          <w:tab w:val="right" w:pos="6804"/>
          <w:tab w:val="right" w:pos="7939"/>
        </w:tabs>
        <w:ind w:left="426" w:right="-22"/>
        <w:jc w:val="both"/>
        <w:rPr>
          <w:rFonts w:ascii="Verdana" w:hAnsi="Verdana" w:cs="Arial"/>
          <w:sz w:val="17"/>
          <w:szCs w:val="17"/>
        </w:rPr>
      </w:pPr>
    </w:p>
    <w:p w14:paraId="28CD2B49" w14:textId="77777777" w:rsidR="00C82F0D" w:rsidRPr="00260645" w:rsidRDefault="00C82F0D" w:rsidP="00147FC6">
      <w:pPr>
        <w:tabs>
          <w:tab w:val="left" w:pos="426"/>
          <w:tab w:val="left" w:pos="1276"/>
          <w:tab w:val="right" w:pos="6804"/>
          <w:tab w:val="right" w:pos="7939"/>
        </w:tabs>
        <w:ind w:left="426" w:right="-22"/>
        <w:jc w:val="both"/>
        <w:rPr>
          <w:rFonts w:ascii="Verdana" w:hAnsi="Verdana" w:cs="Arial"/>
          <w:sz w:val="17"/>
          <w:szCs w:val="17"/>
        </w:rPr>
      </w:pPr>
      <w:r w:rsidRPr="00260645">
        <w:rPr>
          <w:rFonts w:ascii="Verdana" w:hAnsi="Verdana" w:cs="Arial"/>
          <w:sz w:val="17"/>
          <w:szCs w:val="17"/>
        </w:rPr>
        <w:t xml:space="preserve">Em 2024 foi feita a reclassificação destes valores para “Outras contas a pagar” </w:t>
      </w:r>
      <w:proofErr w:type="gramStart"/>
      <w:r w:rsidRPr="00260645">
        <w:rPr>
          <w:rFonts w:ascii="Verdana" w:hAnsi="Verdana" w:cs="Arial"/>
          <w:sz w:val="17"/>
          <w:szCs w:val="17"/>
        </w:rPr>
        <w:t>de forma a que</w:t>
      </w:r>
      <w:proofErr w:type="gramEnd"/>
      <w:r w:rsidRPr="00260645">
        <w:rPr>
          <w:rFonts w:ascii="Verdana" w:hAnsi="Verdana" w:cs="Arial"/>
          <w:sz w:val="17"/>
          <w:szCs w:val="17"/>
        </w:rPr>
        <w:t xml:space="preserve"> estes valores fiquem agregados ao valor do crédito em dívida.</w:t>
      </w:r>
    </w:p>
    <w:p w14:paraId="6202671C" w14:textId="77777777" w:rsidR="00C82F0D" w:rsidRPr="0009657D" w:rsidRDefault="00C82F0D" w:rsidP="00147FC6">
      <w:pPr>
        <w:tabs>
          <w:tab w:val="left" w:pos="426"/>
          <w:tab w:val="left" w:pos="1276"/>
          <w:tab w:val="right" w:pos="6804"/>
          <w:tab w:val="right" w:pos="7939"/>
        </w:tabs>
        <w:ind w:left="426" w:right="-22"/>
        <w:jc w:val="both"/>
        <w:rPr>
          <w:rFonts w:ascii="Verdana" w:hAnsi="Verdana" w:cs="Arial"/>
          <w:sz w:val="17"/>
          <w:szCs w:val="17"/>
        </w:rPr>
      </w:pPr>
    </w:p>
    <w:p w14:paraId="113A83FA" w14:textId="77777777" w:rsidR="00C82F0D" w:rsidRPr="0009657D" w:rsidRDefault="00C82F0D" w:rsidP="00147FC6">
      <w:pPr>
        <w:tabs>
          <w:tab w:val="left" w:pos="426"/>
          <w:tab w:val="left" w:pos="1276"/>
          <w:tab w:val="right" w:pos="6804"/>
          <w:tab w:val="right" w:pos="7939"/>
        </w:tabs>
        <w:ind w:left="426" w:right="-22"/>
        <w:jc w:val="both"/>
        <w:rPr>
          <w:rFonts w:ascii="Verdana" w:hAnsi="Verdana" w:cs="Arial"/>
          <w:sz w:val="17"/>
          <w:szCs w:val="17"/>
        </w:rPr>
      </w:pPr>
      <w:r w:rsidRPr="0009657D">
        <w:rPr>
          <w:rFonts w:ascii="Verdana" w:hAnsi="Verdana" w:cs="Arial"/>
          <w:sz w:val="17"/>
          <w:szCs w:val="17"/>
        </w:rPr>
        <w:t xml:space="preserve">No âmbito da recuperação da divida, existem diferenças temporais entre a data dos pagamentos e a obtenção de informação relativa aos recebimentos. Em 31 de dezembro de 2025 e 2024, os recebimentos, para os quais não foi possível obter informação detalhada de qual o cliente e sua desagregação entre componentes de capital e juro, no montante de 3.824 </w:t>
      </w:r>
      <w:proofErr w:type="spellStart"/>
      <w:proofErr w:type="gramStart"/>
      <w:r w:rsidRPr="0009657D">
        <w:rPr>
          <w:rFonts w:ascii="Verdana" w:hAnsi="Verdana" w:cs="Arial"/>
          <w:sz w:val="17"/>
          <w:szCs w:val="17"/>
        </w:rPr>
        <w:t>m.euros</w:t>
      </w:r>
      <w:proofErr w:type="spellEnd"/>
      <w:proofErr w:type="gramEnd"/>
      <w:r w:rsidRPr="0009657D">
        <w:rPr>
          <w:rFonts w:ascii="Verdana" w:hAnsi="Verdana" w:cs="Arial"/>
          <w:sz w:val="17"/>
          <w:szCs w:val="17"/>
        </w:rPr>
        <w:t xml:space="preserve"> e 2.336 </w:t>
      </w:r>
      <w:proofErr w:type="spellStart"/>
      <w:proofErr w:type="gramStart"/>
      <w:r w:rsidRPr="0009657D">
        <w:rPr>
          <w:rFonts w:ascii="Verdana" w:hAnsi="Verdana" w:cs="Arial"/>
          <w:sz w:val="17"/>
          <w:szCs w:val="17"/>
        </w:rPr>
        <w:t>m.euros</w:t>
      </w:r>
      <w:proofErr w:type="spellEnd"/>
      <w:proofErr w:type="gramEnd"/>
      <w:r w:rsidRPr="0009657D">
        <w:rPr>
          <w:rFonts w:ascii="Verdana" w:hAnsi="Verdana" w:cs="Arial"/>
          <w:sz w:val="17"/>
          <w:szCs w:val="17"/>
        </w:rPr>
        <w:t>, respetivamente, foram considerados na rubrica de “Empréstimos” em “Operações de crédito”.</w:t>
      </w:r>
    </w:p>
    <w:p w14:paraId="0CE5C964" w14:textId="77777777" w:rsidR="00C82F0D" w:rsidRPr="0009657D" w:rsidRDefault="00C82F0D" w:rsidP="00147FC6">
      <w:pPr>
        <w:tabs>
          <w:tab w:val="left" w:pos="426"/>
          <w:tab w:val="left" w:pos="1276"/>
          <w:tab w:val="right" w:pos="6804"/>
          <w:tab w:val="right" w:pos="7939"/>
        </w:tabs>
        <w:ind w:left="426" w:right="-22"/>
        <w:jc w:val="both"/>
        <w:rPr>
          <w:rFonts w:ascii="Verdana" w:hAnsi="Verdana" w:cs="Arial"/>
          <w:sz w:val="17"/>
          <w:szCs w:val="17"/>
        </w:rPr>
      </w:pPr>
    </w:p>
    <w:p w14:paraId="666BC450" w14:textId="77777777" w:rsidR="00C82F0D" w:rsidRPr="0009657D" w:rsidRDefault="00C82F0D" w:rsidP="00147FC6">
      <w:pPr>
        <w:tabs>
          <w:tab w:val="left" w:pos="426"/>
          <w:tab w:val="left" w:pos="1276"/>
          <w:tab w:val="right" w:pos="6804"/>
          <w:tab w:val="right" w:pos="7939"/>
        </w:tabs>
        <w:ind w:left="426" w:right="-22"/>
        <w:jc w:val="both"/>
        <w:rPr>
          <w:rFonts w:ascii="Verdana" w:hAnsi="Verdana" w:cs="Arial"/>
          <w:sz w:val="17"/>
          <w:szCs w:val="17"/>
        </w:rPr>
      </w:pPr>
      <w:r w:rsidRPr="0009657D">
        <w:rPr>
          <w:rFonts w:ascii="Verdana" w:hAnsi="Verdana" w:cs="Arial"/>
          <w:sz w:val="17"/>
          <w:szCs w:val="17"/>
        </w:rPr>
        <w:t>Em 31 de dezembro de 2025 e 2024, a rubrica “Adiantamentos a outros devedores”, inclui o valor relativo a adiantamentos realizados essencialmente a agentes de execução, tendo sido assumida imparidade para os adiantamentos com antiguidade superior a um ano, cuja regularização ainda não ocorreu.</w:t>
      </w:r>
    </w:p>
    <w:p w14:paraId="4F5719BD" w14:textId="77777777" w:rsidR="00C82F0D" w:rsidRPr="00C2752F" w:rsidRDefault="00C82F0D" w:rsidP="00147FC6">
      <w:pPr>
        <w:tabs>
          <w:tab w:val="left" w:pos="426"/>
          <w:tab w:val="left" w:pos="1276"/>
          <w:tab w:val="right" w:pos="6804"/>
          <w:tab w:val="right" w:pos="7939"/>
        </w:tabs>
        <w:ind w:left="426" w:right="-22"/>
        <w:jc w:val="both"/>
        <w:rPr>
          <w:rFonts w:ascii="Verdana" w:hAnsi="Verdana" w:cs="Arial"/>
          <w:sz w:val="17"/>
          <w:szCs w:val="17"/>
          <w:highlight w:val="yellow"/>
        </w:rPr>
      </w:pPr>
    </w:p>
    <w:p w14:paraId="5B8337FB" w14:textId="77777777" w:rsidR="00C82F0D" w:rsidRPr="00E178B3" w:rsidRDefault="00C82F0D" w:rsidP="00147FC6">
      <w:pPr>
        <w:tabs>
          <w:tab w:val="left" w:pos="426"/>
          <w:tab w:val="left" w:pos="1276"/>
          <w:tab w:val="right" w:pos="6804"/>
          <w:tab w:val="right" w:pos="7939"/>
        </w:tabs>
        <w:ind w:left="426" w:right="-22"/>
        <w:jc w:val="both"/>
        <w:rPr>
          <w:rFonts w:ascii="Verdana" w:hAnsi="Verdana" w:cs="Arial"/>
          <w:sz w:val="17"/>
          <w:szCs w:val="17"/>
        </w:rPr>
      </w:pPr>
      <w:r w:rsidRPr="00E178B3">
        <w:rPr>
          <w:rFonts w:ascii="Verdana" w:hAnsi="Verdana" w:cs="Arial"/>
          <w:sz w:val="17"/>
          <w:szCs w:val="17"/>
        </w:rPr>
        <w:t xml:space="preserve">Em 31 de dezembro de 2025 e 2024, a rubrica “Outras contas a receber”, inclui um valor a receber do Banco Abanca (antigo Banco BIC Português, S.A.) no montante de 2.520 </w:t>
      </w:r>
      <w:proofErr w:type="spellStart"/>
      <w:proofErr w:type="gramStart"/>
      <w:r w:rsidRPr="00E178B3">
        <w:rPr>
          <w:rFonts w:ascii="Verdana" w:hAnsi="Verdana" w:cs="Arial"/>
          <w:sz w:val="17"/>
          <w:szCs w:val="17"/>
        </w:rPr>
        <w:t>m.euros</w:t>
      </w:r>
      <w:proofErr w:type="spellEnd"/>
      <w:proofErr w:type="gramEnd"/>
      <w:r w:rsidRPr="00E178B3">
        <w:rPr>
          <w:rFonts w:ascii="Verdana" w:hAnsi="Verdana" w:cs="Arial"/>
          <w:sz w:val="17"/>
          <w:szCs w:val="17"/>
        </w:rPr>
        <w:t xml:space="preserve"> referente a um adiantamento efetuado pela Sociedade para aquisição de imóveis detidos por aquela entidade e que aguardam a realização de escritura. Em 31 de dezembro de 2025 e 2024 encontram-se registadas perdas por imparidade, no montante de 1.323 </w:t>
      </w:r>
      <w:proofErr w:type="spellStart"/>
      <w:proofErr w:type="gramStart"/>
      <w:r w:rsidRPr="00E178B3">
        <w:rPr>
          <w:rFonts w:ascii="Verdana" w:hAnsi="Verdana" w:cs="Arial"/>
          <w:sz w:val="17"/>
          <w:szCs w:val="17"/>
        </w:rPr>
        <w:t>m.euros</w:t>
      </w:r>
      <w:proofErr w:type="spellEnd"/>
      <w:proofErr w:type="gramEnd"/>
      <w:r w:rsidRPr="00E178B3">
        <w:rPr>
          <w:rFonts w:ascii="Verdana" w:hAnsi="Verdana" w:cs="Arial"/>
          <w:sz w:val="17"/>
          <w:szCs w:val="17"/>
        </w:rPr>
        <w:t>, para fazer face a perdas com estes imóveis, apuradas com base em avaliações de peritos independentes.</w:t>
      </w:r>
    </w:p>
    <w:p w14:paraId="54078D98" w14:textId="77777777" w:rsidR="00C82F0D" w:rsidRPr="00E178B3" w:rsidRDefault="00C82F0D" w:rsidP="00147FC6">
      <w:pPr>
        <w:tabs>
          <w:tab w:val="left" w:pos="426"/>
          <w:tab w:val="left" w:pos="1276"/>
          <w:tab w:val="right" w:pos="6804"/>
          <w:tab w:val="right" w:pos="7939"/>
        </w:tabs>
        <w:ind w:right="-22"/>
        <w:jc w:val="both"/>
        <w:rPr>
          <w:rFonts w:ascii="Verdana" w:hAnsi="Verdana" w:cs="Arial"/>
          <w:sz w:val="17"/>
          <w:szCs w:val="17"/>
        </w:rPr>
      </w:pPr>
    </w:p>
    <w:p w14:paraId="40CFF243" w14:textId="77777777" w:rsidR="00C82F0D" w:rsidRPr="00E178B3" w:rsidRDefault="00C82F0D" w:rsidP="00147FC6">
      <w:pPr>
        <w:tabs>
          <w:tab w:val="left" w:pos="426"/>
          <w:tab w:val="left" w:pos="1276"/>
          <w:tab w:val="right" w:pos="6804"/>
          <w:tab w:val="right" w:pos="7939"/>
        </w:tabs>
        <w:ind w:left="426" w:right="-22"/>
        <w:jc w:val="both"/>
        <w:rPr>
          <w:rFonts w:ascii="Verdana" w:hAnsi="Verdana" w:cs="Arial"/>
          <w:sz w:val="17"/>
          <w:szCs w:val="17"/>
        </w:rPr>
      </w:pPr>
      <w:r w:rsidRPr="00E178B3">
        <w:rPr>
          <w:rFonts w:ascii="Verdana" w:hAnsi="Verdana" w:cs="Arial"/>
          <w:sz w:val="17"/>
          <w:szCs w:val="17"/>
        </w:rPr>
        <w:t xml:space="preserve">Em 31 de dezembro de 2025 e 2024, a rubrica “Outras contas a receber”, inclui valores relativos a rendas vencidas no montante de 960 </w:t>
      </w:r>
      <w:proofErr w:type="spellStart"/>
      <w:proofErr w:type="gramStart"/>
      <w:r w:rsidRPr="00E178B3">
        <w:rPr>
          <w:rFonts w:ascii="Verdana" w:hAnsi="Verdana" w:cs="Arial"/>
          <w:sz w:val="17"/>
          <w:szCs w:val="17"/>
        </w:rPr>
        <w:t>m.euros</w:t>
      </w:r>
      <w:proofErr w:type="spellEnd"/>
      <w:proofErr w:type="gramEnd"/>
      <w:r w:rsidRPr="00E178B3">
        <w:rPr>
          <w:rFonts w:ascii="Verdana" w:hAnsi="Verdana" w:cs="Arial"/>
          <w:sz w:val="17"/>
          <w:szCs w:val="17"/>
        </w:rPr>
        <w:t xml:space="preserve">. encontrando-se igualmente registadas perdas por imparidade pelo mesmo montante. Estes saldos derivam da fusão por incorporação da </w:t>
      </w:r>
      <w:proofErr w:type="spellStart"/>
      <w:r w:rsidRPr="00E178B3">
        <w:rPr>
          <w:rFonts w:ascii="Verdana" w:hAnsi="Verdana" w:cs="Arial"/>
          <w:sz w:val="17"/>
          <w:szCs w:val="17"/>
        </w:rPr>
        <w:t>Parups</w:t>
      </w:r>
      <w:proofErr w:type="spellEnd"/>
      <w:r w:rsidRPr="00E178B3">
        <w:rPr>
          <w:rFonts w:ascii="Verdana" w:hAnsi="Verdana" w:cs="Arial"/>
          <w:sz w:val="17"/>
          <w:szCs w:val="17"/>
        </w:rPr>
        <w:t>, S.A. na Parvalorem, S.A., ocorrida a 04 de agosto de 2022.</w:t>
      </w:r>
    </w:p>
    <w:p w14:paraId="048DB95A" w14:textId="77777777" w:rsidR="00C82F0D" w:rsidRPr="00E178B3" w:rsidRDefault="00C82F0D" w:rsidP="00147FC6">
      <w:pPr>
        <w:tabs>
          <w:tab w:val="left" w:pos="426"/>
          <w:tab w:val="left" w:pos="1276"/>
          <w:tab w:val="right" w:pos="6804"/>
          <w:tab w:val="right" w:pos="7939"/>
        </w:tabs>
        <w:ind w:left="426" w:right="-22"/>
        <w:jc w:val="both"/>
        <w:rPr>
          <w:rFonts w:ascii="Verdana" w:hAnsi="Verdana" w:cs="Arial"/>
          <w:sz w:val="17"/>
          <w:szCs w:val="17"/>
        </w:rPr>
      </w:pPr>
    </w:p>
    <w:p w14:paraId="4C0C7056" w14:textId="77777777" w:rsidR="00C82F0D" w:rsidRPr="00E178B3" w:rsidRDefault="00C82F0D" w:rsidP="00147FC6">
      <w:pPr>
        <w:tabs>
          <w:tab w:val="left" w:pos="426"/>
          <w:tab w:val="left" w:pos="1276"/>
          <w:tab w:val="right" w:pos="6804"/>
          <w:tab w:val="right" w:pos="7939"/>
        </w:tabs>
        <w:ind w:left="426" w:right="-22"/>
        <w:jc w:val="both"/>
        <w:rPr>
          <w:rFonts w:ascii="Verdana" w:hAnsi="Verdana" w:cs="Arial"/>
          <w:sz w:val="17"/>
          <w:szCs w:val="17"/>
        </w:rPr>
      </w:pPr>
      <w:r w:rsidRPr="00E178B3">
        <w:rPr>
          <w:rFonts w:ascii="Verdana" w:hAnsi="Verdana" w:cs="Arial"/>
          <w:sz w:val="17"/>
          <w:szCs w:val="17"/>
        </w:rPr>
        <w:t xml:space="preserve">A rubrica “Imparidade de crédito” inclui ainda um montante de 4.463 </w:t>
      </w:r>
      <w:proofErr w:type="spellStart"/>
      <w:proofErr w:type="gramStart"/>
      <w:r w:rsidRPr="00E178B3">
        <w:rPr>
          <w:rFonts w:ascii="Verdana" w:hAnsi="Verdana" w:cs="Arial"/>
          <w:sz w:val="17"/>
          <w:szCs w:val="17"/>
        </w:rPr>
        <w:t>m.euros</w:t>
      </w:r>
      <w:proofErr w:type="spellEnd"/>
      <w:proofErr w:type="gramEnd"/>
      <w:r w:rsidRPr="00E178B3">
        <w:rPr>
          <w:rFonts w:ascii="Verdana" w:hAnsi="Verdana" w:cs="Arial"/>
          <w:sz w:val="17"/>
          <w:szCs w:val="17"/>
        </w:rPr>
        <w:t xml:space="preserve"> referente ao saldo de devedores do Fundo </w:t>
      </w:r>
      <w:proofErr w:type="spellStart"/>
      <w:r w:rsidRPr="00E178B3">
        <w:rPr>
          <w:rFonts w:ascii="Verdana" w:hAnsi="Verdana" w:cs="Arial"/>
          <w:sz w:val="17"/>
          <w:szCs w:val="17"/>
        </w:rPr>
        <w:t>Imoreal</w:t>
      </w:r>
      <w:proofErr w:type="spellEnd"/>
      <w:r w:rsidRPr="00E178B3">
        <w:rPr>
          <w:rFonts w:ascii="Verdana" w:hAnsi="Verdana" w:cs="Arial"/>
          <w:sz w:val="17"/>
          <w:szCs w:val="17"/>
        </w:rPr>
        <w:t xml:space="preserve">, que por sua vez foi liquidado. Este saldo encontra-se </w:t>
      </w:r>
      <w:r w:rsidRPr="00E178B3">
        <w:rPr>
          <w:rFonts w:ascii="Verdana" w:hAnsi="Verdana" w:cs="Arial"/>
          <w:sz w:val="17"/>
          <w:szCs w:val="17"/>
        </w:rPr>
        <w:lastRenderedPageBreak/>
        <w:t xml:space="preserve">com 100% de imparidade pelo que o seu valor líquido é nulo. Estes saldos derivam da fusão por incorporação da </w:t>
      </w:r>
      <w:proofErr w:type="spellStart"/>
      <w:r w:rsidRPr="00E178B3">
        <w:rPr>
          <w:rFonts w:ascii="Verdana" w:hAnsi="Verdana" w:cs="Arial"/>
          <w:sz w:val="17"/>
          <w:szCs w:val="17"/>
        </w:rPr>
        <w:t>Parups</w:t>
      </w:r>
      <w:proofErr w:type="spellEnd"/>
      <w:r w:rsidRPr="00E178B3">
        <w:rPr>
          <w:rFonts w:ascii="Verdana" w:hAnsi="Verdana" w:cs="Arial"/>
          <w:sz w:val="17"/>
          <w:szCs w:val="17"/>
        </w:rPr>
        <w:t>, S.A. na Parvalorem, S.A., ocorrida a 04 de agosto de 2022.</w:t>
      </w:r>
    </w:p>
    <w:p w14:paraId="143E6764" w14:textId="77777777" w:rsidR="00C82F0D" w:rsidRPr="00E178B3" w:rsidRDefault="00C82F0D">
      <w:pPr>
        <w:rPr>
          <w:rFonts w:ascii="Verdana" w:hAnsi="Verdana" w:cs="Arial"/>
          <w:sz w:val="17"/>
          <w:szCs w:val="17"/>
        </w:rPr>
      </w:pPr>
    </w:p>
    <w:p w14:paraId="39111A21" w14:textId="77777777" w:rsidR="00C82F0D" w:rsidRPr="00E178B3" w:rsidRDefault="00C82F0D" w:rsidP="009F7214">
      <w:pPr>
        <w:tabs>
          <w:tab w:val="left" w:pos="426"/>
          <w:tab w:val="left" w:pos="1276"/>
          <w:tab w:val="right" w:pos="6804"/>
          <w:tab w:val="right" w:pos="7939"/>
        </w:tabs>
        <w:ind w:left="426" w:right="-22"/>
        <w:jc w:val="both"/>
        <w:rPr>
          <w:rFonts w:ascii="Verdana" w:hAnsi="Verdana" w:cs="Arial"/>
          <w:sz w:val="17"/>
          <w:szCs w:val="17"/>
        </w:rPr>
      </w:pPr>
      <w:r w:rsidRPr="00E178B3">
        <w:rPr>
          <w:rFonts w:ascii="Verdana" w:hAnsi="Verdana" w:cs="Arial"/>
          <w:sz w:val="17"/>
          <w:szCs w:val="17"/>
        </w:rPr>
        <w:t xml:space="preserve">Em 31 de dezembro de 2025 e 2024, a rubrica “Operações de crédito”, incluindo juros a receber, apresenta a seguinte estrutura por setor de atividade: </w:t>
      </w:r>
    </w:p>
    <w:p w14:paraId="602443AC" w14:textId="77777777" w:rsidR="00C82F0D" w:rsidRPr="00C2752F" w:rsidRDefault="00C82F0D" w:rsidP="00147FC6">
      <w:pPr>
        <w:tabs>
          <w:tab w:val="left" w:pos="426"/>
          <w:tab w:val="left" w:pos="1276"/>
          <w:tab w:val="right" w:pos="6804"/>
          <w:tab w:val="right" w:pos="7939"/>
        </w:tabs>
        <w:ind w:left="426" w:right="-22"/>
        <w:jc w:val="both"/>
        <w:rPr>
          <w:rFonts w:ascii="Verdana" w:hAnsi="Verdana" w:cs="Arial"/>
          <w:sz w:val="17"/>
          <w:szCs w:val="17"/>
          <w:highlight w:val="yellow"/>
        </w:rPr>
      </w:pPr>
    </w:p>
    <w:p w14:paraId="6A44F599" w14:textId="77777777" w:rsidR="00C82F0D" w:rsidRPr="00C2752F" w:rsidRDefault="00C82F0D" w:rsidP="00C574B2">
      <w:pPr>
        <w:tabs>
          <w:tab w:val="left" w:pos="1276"/>
          <w:tab w:val="right" w:pos="6804"/>
          <w:tab w:val="right" w:pos="7939"/>
        </w:tabs>
        <w:ind w:left="426" w:right="-22"/>
        <w:jc w:val="center"/>
        <w:rPr>
          <w:rFonts w:ascii="Verdana" w:hAnsi="Verdana" w:cs="Arial"/>
          <w:sz w:val="17"/>
          <w:szCs w:val="17"/>
          <w:highlight w:val="yellow"/>
        </w:rPr>
      </w:pPr>
      <w:r w:rsidRPr="000A1737">
        <w:rPr>
          <w:noProof/>
        </w:rPr>
        <w:drawing>
          <wp:inline distT="0" distB="0" distL="0" distR="0" wp14:anchorId="5E372F8C" wp14:editId="0627EAD9">
            <wp:extent cx="5069840" cy="2713128"/>
            <wp:effectExtent l="0" t="0" r="0" b="0"/>
            <wp:docPr id="57496562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84176" cy="2720800"/>
                    </a:xfrm>
                    <a:prstGeom prst="rect">
                      <a:avLst/>
                    </a:prstGeom>
                    <a:noFill/>
                    <a:ln>
                      <a:noFill/>
                    </a:ln>
                  </pic:spPr>
                </pic:pic>
              </a:graphicData>
            </a:graphic>
          </wp:inline>
        </w:drawing>
      </w:r>
    </w:p>
    <w:p w14:paraId="728EDFCC" w14:textId="77777777" w:rsidR="00C82F0D" w:rsidRPr="000A1737" w:rsidRDefault="00C82F0D" w:rsidP="009D4A4A">
      <w:pPr>
        <w:rPr>
          <w:rFonts w:ascii="Verdana" w:hAnsi="Verdana" w:cs="Arial"/>
          <w:sz w:val="17"/>
          <w:szCs w:val="17"/>
        </w:rPr>
      </w:pPr>
    </w:p>
    <w:p w14:paraId="6E2C808E" w14:textId="77777777" w:rsidR="00C82F0D" w:rsidRPr="000A1737" w:rsidRDefault="00C82F0D" w:rsidP="009D4A4A">
      <w:pPr>
        <w:ind w:left="426"/>
        <w:rPr>
          <w:rFonts w:ascii="Verdana" w:hAnsi="Verdana" w:cs="Arial"/>
          <w:sz w:val="17"/>
          <w:szCs w:val="17"/>
        </w:rPr>
      </w:pPr>
      <w:r w:rsidRPr="000A1737">
        <w:rPr>
          <w:rFonts w:ascii="Verdana" w:hAnsi="Verdana" w:cs="Arial"/>
          <w:sz w:val="17"/>
          <w:szCs w:val="17"/>
        </w:rPr>
        <w:t>Em 31 de dezembro de 2025 e 2024, os prazos residuais da rubrica “Operações de crédito”, incluindo Juros a Receber, têm a seguinte composição:</w:t>
      </w:r>
    </w:p>
    <w:p w14:paraId="3C4CB3B5" w14:textId="77777777" w:rsidR="00C82F0D" w:rsidRPr="000A1737" w:rsidRDefault="00C82F0D" w:rsidP="00E356A7">
      <w:pPr>
        <w:tabs>
          <w:tab w:val="left" w:pos="426"/>
          <w:tab w:val="left" w:pos="1276"/>
          <w:tab w:val="right" w:pos="6804"/>
          <w:tab w:val="right" w:pos="7939"/>
        </w:tabs>
        <w:ind w:left="426" w:right="-22"/>
        <w:jc w:val="both"/>
        <w:rPr>
          <w:rFonts w:ascii="Verdana" w:hAnsi="Verdana" w:cs="Arial"/>
          <w:sz w:val="17"/>
          <w:szCs w:val="17"/>
        </w:rPr>
      </w:pPr>
    </w:p>
    <w:p w14:paraId="659704C9" w14:textId="77777777" w:rsidR="00C82F0D" w:rsidRPr="000A1737" w:rsidRDefault="00C82F0D" w:rsidP="00E356A7">
      <w:pPr>
        <w:tabs>
          <w:tab w:val="left" w:pos="426"/>
          <w:tab w:val="left" w:pos="1276"/>
          <w:tab w:val="right" w:pos="6804"/>
          <w:tab w:val="right" w:pos="7939"/>
        </w:tabs>
        <w:ind w:left="426" w:right="-22"/>
        <w:jc w:val="both"/>
        <w:rPr>
          <w:rFonts w:ascii="Verdana" w:hAnsi="Verdana" w:cs="Arial"/>
          <w:sz w:val="17"/>
          <w:szCs w:val="17"/>
        </w:rPr>
      </w:pPr>
      <w:r w:rsidRPr="000A1737">
        <w:rPr>
          <w:noProof/>
        </w:rPr>
        <w:drawing>
          <wp:inline distT="0" distB="0" distL="0" distR="0" wp14:anchorId="44694A44" wp14:editId="1652FED4">
            <wp:extent cx="5069840" cy="1051064"/>
            <wp:effectExtent l="0" t="0" r="0" b="0"/>
            <wp:docPr id="6209252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01105" cy="1057546"/>
                    </a:xfrm>
                    <a:prstGeom prst="rect">
                      <a:avLst/>
                    </a:prstGeom>
                    <a:noFill/>
                    <a:ln>
                      <a:noFill/>
                    </a:ln>
                  </pic:spPr>
                </pic:pic>
              </a:graphicData>
            </a:graphic>
          </wp:inline>
        </w:drawing>
      </w:r>
    </w:p>
    <w:p w14:paraId="6D9F91A5" w14:textId="77777777" w:rsidR="00C82F0D" w:rsidRPr="000A1737" w:rsidRDefault="00C82F0D" w:rsidP="00E356A7">
      <w:pPr>
        <w:tabs>
          <w:tab w:val="left" w:pos="426"/>
          <w:tab w:val="left" w:pos="1276"/>
          <w:tab w:val="right" w:pos="6804"/>
          <w:tab w:val="right" w:pos="7939"/>
        </w:tabs>
        <w:ind w:left="426" w:right="-22"/>
        <w:jc w:val="both"/>
        <w:rPr>
          <w:rFonts w:ascii="Verdana" w:hAnsi="Verdana" w:cs="Arial"/>
          <w:sz w:val="17"/>
          <w:szCs w:val="17"/>
        </w:rPr>
      </w:pPr>
    </w:p>
    <w:p w14:paraId="1DA36619" w14:textId="77777777" w:rsidR="00C82F0D" w:rsidRDefault="00C82F0D" w:rsidP="00A72A72">
      <w:pPr>
        <w:ind w:left="426" w:right="-22"/>
        <w:jc w:val="both"/>
        <w:rPr>
          <w:rFonts w:ascii="Verdana" w:hAnsi="Verdana" w:cs="Arial"/>
          <w:sz w:val="17"/>
          <w:szCs w:val="17"/>
        </w:rPr>
      </w:pPr>
      <w:r w:rsidRPr="000A1737">
        <w:rPr>
          <w:rFonts w:ascii="Verdana" w:hAnsi="Verdana" w:cs="Arial"/>
          <w:sz w:val="17"/>
          <w:szCs w:val="17"/>
        </w:rPr>
        <w:t>A rubrica “Indeterminado” inclui as operações vencidas.</w:t>
      </w:r>
    </w:p>
    <w:p w14:paraId="20908A00" w14:textId="77777777" w:rsidR="00C82F0D" w:rsidRDefault="00C82F0D" w:rsidP="00A72A72">
      <w:pPr>
        <w:ind w:left="426" w:right="-22"/>
        <w:jc w:val="both"/>
        <w:rPr>
          <w:rFonts w:ascii="Verdana" w:hAnsi="Verdana" w:cs="Arial"/>
          <w:sz w:val="17"/>
          <w:szCs w:val="17"/>
        </w:rPr>
      </w:pPr>
    </w:p>
    <w:p w14:paraId="640AEF53" w14:textId="77777777" w:rsidR="00C82F0D" w:rsidRDefault="00C82F0D" w:rsidP="00A72A72">
      <w:pPr>
        <w:ind w:left="426" w:right="-22"/>
        <w:jc w:val="both"/>
        <w:rPr>
          <w:rFonts w:ascii="Verdana" w:hAnsi="Verdana" w:cs="Arial"/>
          <w:sz w:val="17"/>
          <w:szCs w:val="17"/>
        </w:rPr>
      </w:pPr>
    </w:p>
    <w:p w14:paraId="128C2E61" w14:textId="77777777" w:rsidR="00C82F0D" w:rsidRDefault="00C82F0D" w:rsidP="00A72A72">
      <w:pPr>
        <w:ind w:left="426" w:right="-22"/>
        <w:jc w:val="both"/>
        <w:rPr>
          <w:rFonts w:ascii="Verdana" w:hAnsi="Verdana" w:cs="Arial"/>
          <w:sz w:val="17"/>
          <w:szCs w:val="17"/>
        </w:rPr>
      </w:pPr>
    </w:p>
    <w:p w14:paraId="26DBEFF2" w14:textId="77777777" w:rsidR="00C82F0D" w:rsidRDefault="00C82F0D" w:rsidP="00A72A72">
      <w:pPr>
        <w:ind w:left="426" w:right="-22"/>
        <w:jc w:val="both"/>
        <w:rPr>
          <w:rFonts w:ascii="Verdana" w:hAnsi="Verdana" w:cs="Arial"/>
          <w:sz w:val="17"/>
          <w:szCs w:val="17"/>
        </w:rPr>
      </w:pPr>
    </w:p>
    <w:p w14:paraId="5E90CCF0" w14:textId="77777777" w:rsidR="00C82F0D" w:rsidRDefault="00C82F0D" w:rsidP="00A72A72">
      <w:pPr>
        <w:ind w:left="426" w:right="-22"/>
        <w:jc w:val="both"/>
        <w:rPr>
          <w:rFonts w:ascii="Verdana" w:hAnsi="Verdana" w:cs="Arial"/>
          <w:sz w:val="17"/>
          <w:szCs w:val="17"/>
        </w:rPr>
      </w:pPr>
    </w:p>
    <w:p w14:paraId="7412EB9A" w14:textId="77777777" w:rsidR="00C82F0D" w:rsidRDefault="00C82F0D" w:rsidP="00A72A72">
      <w:pPr>
        <w:ind w:left="426" w:right="-22"/>
        <w:jc w:val="both"/>
        <w:rPr>
          <w:rFonts w:ascii="Verdana" w:hAnsi="Verdana" w:cs="Arial"/>
          <w:sz w:val="17"/>
          <w:szCs w:val="17"/>
        </w:rPr>
      </w:pPr>
    </w:p>
    <w:p w14:paraId="14E559AD" w14:textId="77777777" w:rsidR="00C82F0D" w:rsidRDefault="00C82F0D" w:rsidP="00A72A72">
      <w:pPr>
        <w:ind w:left="426" w:right="-22"/>
        <w:jc w:val="both"/>
        <w:rPr>
          <w:rFonts w:ascii="Verdana" w:hAnsi="Verdana" w:cs="Arial"/>
          <w:sz w:val="17"/>
          <w:szCs w:val="17"/>
        </w:rPr>
      </w:pPr>
    </w:p>
    <w:p w14:paraId="3DADF686" w14:textId="77777777" w:rsidR="00C82F0D" w:rsidRDefault="00C82F0D" w:rsidP="00A72A72">
      <w:pPr>
        <w:ind w:left="426" w:right="-22"/>
        <w:jc w:val="both"/>
        <w:rPr>
          <w:rFonts w:ascii="Verdana" w:hAnsi="Verdana" w:cs="Arial"/>
          <w:sz w:val="17"/>
          <w:szCs w:val="17"/>
        </w:rPr>
      </w:pPr>
    </w:p>
    <w:p w14:paraId="55D740C1" w14:textId="77777777" w:rsidR="00C82F0D" w:rsidRDefault="00C82F0D" w:rsidP="00A72A72">
      <w:pPr>
        <w:ind w:left="426" w:right="-22"/>
        <w:jc w:val="both"/>
        <w:rPr>
          <w:rFonts w:ascii="Verdana" w:hAnsi="Verdana" w:cs="Arial"/>
          <w:sz w:val="17"/>
          <w:szCs w:val="17"/>
        </w:rPr>
      </w:pPr>
    </w:p>
    <w:p w14:paraId="3DDC104B" w14:textId="77777777" w:rsidR="00C82F0D" w:rsidRDefault="00C82F0D" w:rsidP="00A72A72">
      <w:pPr>
        <w:ind w:left="426" w:right="-22"/>
        <w:jc w:val="both"/>
        <w:rPr>
          <w:rFonts w:ascii="Verdana" w:hAnsi="Verdana" w:cs="Arial"/>
          <w:sz w:val="17"/>
          <w:szCs w:val="17"/>
        </w:rPr>
      </w:pPr>
    </w:p>
    <w:p w14:paraId="3E69E177" w14:textId="77777777" w:rsidR="00C82F0D" w:rsidRDefault="00C82F0D" w:rsidP="00A72A72">
      <w:pPr>
        <w:ind w:left="426" w:right="-22"/>
        <w:jc w:val="both"/>
        <w:rPr>
          <w:rFonts w:ascii="Verdana" w:hAnsi="Verdana" w:cs="Arial"/>
          <w:sz w:val="17"/>
          <w:szCs w:val="17"/>
        </w:rPr>
      </w:pPr>
    </w:p>
    <w:p w14:paraId="7EFB725C" w14:textId="77777777" w:rsidR="00C82F0D" w:rsidRDefault="00C82F0D" w:rsidP="00A72A72">
      <w:pPr>
        <w:ind w:left="426" w:right="-22"/>
        <w:jc w:val="both"/>
        <w:rPr>
          <w:rFonts w:ascii="Verdana" w:hAnsi="Verdana" w:cs="Arial"/>
          <w:sz w:val="17"/>
          <w:szCs w:val="17"/>
        </w:rPr>
      </w:pPr>
    </w:p>
    <w:p w14:paraId="0F5F355A" w14:textId="77777777" w:rsidR="00C82F0D" w:rsidRDefault="00C82F0D" w:rsidP="00A72A72">
      <w:pPr>
        <w:ind w:left="426" w:right="-22"/>
        <w:jc w:val="both"/>
        <w:rPr>
          <w:rFonts w:ascii="Verdana" w:hAnsi="Verdana" w:cs="Arial"/>
          <w:sz w:val="17"/>
          <w:szCs w:val="17"/>
        </w:rPr>
      </w:pPr>
    </w:p>
    <w:p w14:paraId="528E6FF9" w14:textId="77777777" w:rsidR="00C82F0D" w:rsidRDefault="00C82F0D" w:rsidP="00A72A72">
      <w:pPr>
        <w:ind w:left="426" w:right="-22"/>
        <w:jc w:val="both"/>
        <w:rPr>
          <w:rFonts w:ascii="Verdana" w:hAnsi="Verdana" w:cs="Arial"/>
          <w:sz w:val="17"/>
          <w:szCs w:val="17"/>
        </w:rPr>
      </w:pPr>
    </w:p>
    <w:p w14:paraId="3D6A78BA" w14:textId="77777777" w:rsidR="00C82F0D" w:rsidRDefault="00C82F0D" w:rsidP="00A72A72">
      <w:pPr>
        <w:ind w:left="426" w:right="-22"/>
        <w:jc w:val="both"/>
        <w:rPr>
          <w:rFonts w:ascii="Verdana" w:hAnsi="Verdana" w:cs="Arial"/>
          <w:sz w:val="17"/>
          <w:szCs w:val="17"/>
        </w:rPr>
      </w:pPr>
    </w:p>
    <w:p w14:paraId="38A6462C" w14:textId="77777777" w:rsidR="00C82F0D" w:rsidRDefault="00C82F0D" w:rsidP="00A72A72">
      <w:pPr>
        <w:ind w:left="426" w:right="-22"/>
        <w:jc w:val="both"/>
        <w:rPr>
          <w:rFonts w:ascii="Verdana" w:hAnsi="Verdana" w:cs="Arial"/>
          <w:sz w:val="17"/>
          <w:szCs w:val="17"/>
        </w:rPr>
      </w:pPr>
    </w:p>
    <w:p w14:paraId="5DDECE37" w14:textId="77777777" w:rsidR="00C82F0D" w:rsidRDefault="00C82F0D" w:rsidP="00A72A72">
      <w:pPr>
        <w:ind w:left="426" w:right="-22"/>
        <w:jc w:val="both"/>
        <w:rPr>
          <w:rFonts w:ascii="Verdana" w:hAnsi="Verdana" w:cs="Arial"/>
          <w:sz w:val="17"/>
          <w:szCs w:val="17"/>
        </w:rPr>
      </w:pPr>
    </w:p>
    <w:p w14:paraId="4799F1B7" w14:textId="77777777" w:rsidR="00C82F0D" w:rsidRDefault="00C82F0D" w:rsidP="00A72A72">
      <w:pPr>
        <w:ind w:left="426" w:right="-22"/>
        <w:jc w:val="both"/>
        <w:rPr>
          <w:rFonts w:ascii="Verdana" w:hAnsi="Verdana" w:cs="Arial"/>
          <w:sz w:val="17"/>
          <w:szCs w:val="17"/>
        </w:rPr>
      </w:pPr>
    </w:p>
    <w:p w14:paraId="77DADC3C" w14:textId="77777777" w:rsidR="00C82F0D" w:rsidRDefault="00C82F0D" w:rsidP="00A72A72">
      <w:pPr>
        <w:ind w:left="426" w:right="-22"/>
        <w:jc w:val="both"/>
        <w:rPr>
          <w:rFonts w:ascii="Verdana" w:hAnsi="Verdana" w:cs="Arial"/>
          <w:sz w:val="17"/>
          <w:szCs w:val="17"/>
        </w:rPr>
      </w:pPr>
    </w:p>
    <w:p w14:paraId="223FD313" w14:textId="77777777" w:rsidR="00C82F0D" w:rsidRDefault="00C82F0D" w:rsidP="00A72A72">
      <w:pPr>
        <w:ind w:left="426" w:right="-22"/>
        <w:jc w:val="both"/>
        <w:rPr>
          <w:rFonts w:ascii="Verdana" w:hAnsi="Verdana" w:cs="Arial"/>
          <w:sz w:val="17"/>
          <w:szCs w:val="17"/>
        </w:rPr>
      </w:pPr>
    </w:p>
    <w:p w14:paraId="05913B53" w14:textId="77777777" w:rsidR="00C82F0D" w:rsidRDefault="00C82F0D" w:rsidP="00A72A72">
      <w:pPr>
        <w:ind w:left="426" w:right="-22"/>
        <w:jc w:val="both"/>
        <w:rPr>
          <w:rFonts w:ascii="Verdana" w:hAnsi="Verdana" w:cs="Arial"/>
          <w:sz w:val="17"/>
          <w:szCs w:val="17"/>
        </w:rPr>
      </w:pPr>
    </w:p>
    <w:p w14:paraId="2F9D9434" w14:textId="77777777" w:rsidR="00C82F0D" w:rsidRDefault="00C82F0D" w:rsidP="00A72A72">
      <w:pPr>
        <w:ind w:left="426" w:right="-22"/>
        <w:jc w:val="both"/>
        <w:rPr>
          <w:rFonts w:ascii="Verdana" w:hAnsi="Verdana" w:cs="Arial"/>
          <w:sz w:val="17"/>
          <w:szCs w:val="17"/>
        </w:rPr>
      </w:pPr>
    </w:p>
    <w:p w14:paraId="4B4B5972" w14:textId="77777777" w:rsidR="00C82F0D" w:rsidRDefault="00C82F0D" w:rsidP="00A72A72">
      <w:pPr>
        <w:ind w:left="426" w:right="-22"/>
        <w:jc w:val="both"/>
        <w:rPr>
          <w:rFonts w:ascii="Verdana" w:hAnsi="Verdana" w:cs="Arial"/>
          <w:sz w:val="17"/>
          <w:szCs w:val="17"/>
        </w:rPr>
      </w:pPr>
    </w:p>
    <w:p w14:paraId="24B339FD" w14:textId="77777777" w:rsidR="00C82F0D" w:rsidRDefault="00C82F0D" w:rsidP="00A72A72">
      <w:pPr>
        <w:ind w:left="426" w:right="-22"/>
        <w:jc w:val="both"/>
        <w:rPr>
          <w:rFonts w:ascii="Verdana" w:hAnsi="Verdana" w:cs="Arial"/>
          <w:sz w:val="17"/>
          <w:szCs w:val="17"/>
        </w:rPr>
      </w:pPr>
    </w:p>
    <w:p w14:paraId="0AC47502" w14:textId="77777777" w:rsidR="00C82F0D" w:rsidRDefault="00C82F0D" w:rsidP="00A72A72">
      <w:pPr>
        <w:ind w:left="426" w:right="-22"/>
        <w:jc w:val="both"/>
        <w:rPr>
          <w:rFonts w:ascii="Verdana" w:hAnsi="Verdana" w:cs="Arial"/>
          <w:sz w:val="17"/>
          <w:szCs w:val="17"/>
        </w:rPr>
      </w:pPr>
    </w:p>
    <w:p w14:paraId="2DC975E4" w14:textId="77777777" w:rsidR="00C82F0D" w:rsidRPr="00107B4D" w:rsidRDefault="00C82F0D" w:rsidP="00A72A72">
      <w:pPr>
        <w:ind w:left="426" w:right="-22"/>
        <w:jc w:val="both"/>
        <w:rPr>
          <w:rFonts w:ascii="Verdana" w:hAnsi="Verdana" w:cs="Arial"/>
          <w:sz w:val="17"/>
          <w:szCs w:val="17"/>
        </w:rPr>
      </w:pPr>
    </w:p>
    <w:p w14:paraId="24BC6D18" w14:textId="77777777" w:rsidR="00C82F0D" w:rsidRPr="00107B4D" w:rsidRDefault="00C82F0D" w:rsidP="00633A3B">
      <w:pPr>
        <w:tabs>
          <w:tab w:val="left" w:pos="426"/>
          <w:tab w:val="left" w:pos="1276"/>
          <w:tab w:val="right" w:pos="6804"/>
          <w:tab w:val="right" w:pos="7939"/>
        </w:tabs>
        <w:ind w:right="-22"/>
        <w:jc w:val="both"/>
        <w:rPr>
          <w:rFonts w:ascii="Verdana" w:hAnsi="Verdana" w:cs="Arial"/>
          <w:sz w:val="17"/>
          <w:szCs w:val="17"/>
        </w:rPr>
      </w:pPr>
    </w:p>
    <w:p w14:paraId="6BB1ED36" w14:textId="77777777" w:rsidR="00C82F0D" w:rsidRPr="00107B4D" w:rsidRDefault="00C82F0D" w:rsidP="00D84952">
      <w:pPr>
        <w:pStyle w:val="Ttulo1"/>
        <w:keepNext w:val="0"/>
        <w:keepLines w:val="0"/>
        <w:numPr>
          <w:ilvl w:val="0"/>
          <w:numId w:val="3"/>
        </w:numPr>
        <w:tabs>
          <w:tab w:val="left" w:pos="426"/>
        </w:tabs>
        <w:spacing w:before="0"/>
        <w:ind w:right="-22"/>
        <w:jc w:val="both"/>
        <w:rPr>
          <w:rFonts w:ascii="Verdana" w:eastAsia="Times New Roman" w:hAnsi="Verdana" w:cs="Arial"/>
          <w:b w:val="0"/>
          <w:bCs w:val="0"/>
          <w:color w:val="auto"/>
          <w:sz w:val="17"/>
          <w:szCs w:val="17"/>
          <w:u w:val="single"/>
          <w:lang w:eastAsia="en-US"/>
        </w:rPr>
      </w:pPr>
      <w:r w:rsidRPr="00107B4D">
        <w:rPr>
          <w:rFonts w:ascii="Verdana" w:hAnsi="Verdana"/>
          <w:sz w:val="17"/>
          <w:szCs w:val="17"/>
        </w:rPr>
        <w:lastRenderedPageBreak/>
        <w:tab/>
      </w:r>
      <w:r w:rsidRPr="00107B4D">
        <w:rPr>
          <w:rFonts w:ascii="Verdana" w:eastAsia="Times New Roman" w:hAnsi="Verdana" w:cs="Arial"/>
          <w:b w:val="0"/>
          <w:bCs w:val="0"/>
          <w:color w:val="auto"/>
          <w:sz w:val="17"/>
          <w:szCs w:val="17"/>
          <w:u w:val="single"/>
          <w:lang w:eastAsia="en-US"/>
        </w:rPr>
        <w:t>INVESTIMENTOS EM SUBSIDIÁRIAS, EMPREENDIMENTOS CONJUNTOS E ASSOCIADAS</w:t>
      </w:r>
    </w:p>
    <w:p w14:paraId="23E61300" w14:textId="77777777" w:rsidR="00C82F0D" w:rsidRPr="00107B4D" w:rsidRDefault="00C82F0D" w:rsidP="0027386F">
      <w:pPr>
        <w:ind w:left="360"/>
        <w:jc w:val="both"/>
        <w:rPr>
          <w:rFonts w:ascii="Verdana" w:hAnsi="Verdana" w:cs="Arial"/>
          <w:sz w:val="17"/>
          <w:szCs w:val="17"/>
        </w:rPr>
      </w:pPr>
    </w:p>
    <w:p w14:paraId="4C73AD82" w14:textId="77777777" w:rsidR="00C82F0D" w:rsidRDefault="00C82F0D" w:rsidP="00A72A72">
      <w:pPr>
        <w:ind w:left="360"/>
        <w:jc w:val="both"/>
        <w:rPr>
          <w:rFonts w:ascii="Verdana" w:hAnsi="Verdana" w:cs="Arial"/>
          <w:sz w:val="17"/>
          <w:szCs w:val="17"/>
        </w:rPr>
      </w:pPr>
      <w:r w:rsidRPr="00107B4D">
        <w:rPr>
          <w:rFonts w:ascii="Verdana" w:hAnsi="Verdana" w:cs="Arial"/>
          <w:sz w:val="17"/>
          <w:szCs w:val="17"/>
        </w:rPr>
        <w:t>Em 31 de dezembro de 202</w:t>
      </w:r>
      <w:r>
        <w:rPr>
          <w:rFonts w:ascii="Verdana" w:hAnsi="Verdana" w:cs="Arial"/>
          <w:sz w:val="17"/>
          <w:szCs w:val="17"/>
        </w:rPr>
        <w:t>5</w:t>
      </w:r>
      <w:r w:rsidRPr="00107B4D">
        <w:rPr>
          <w:rFonts w:ascii="Verdana" w:hAnsi="Verdana" w:cs="Arial"/>
          <w:sz w:val="17"/>
          <w:szCs w:val="17"/>
        </w:rPr>
        <w:t xml:space="preserve"> e 202</w:t>
      </w:r>
      <w:r>
        <w:rPr>
          <w:rFonts w:ascii="Verdana" w:hAnsi="Verdana" w:cs="Arial"/>
          <w:sz w:val="17"/>
          <w:szCs w:val="17"/>
        </w:rPr>
        <w:t>4</w:t>
      </w:r>
      <w:r w:rsidRPr="00107B4D">
        <w:rPr>
          <w:rFonts w:ascii="Verdana" w:hAnsi="Verdana" w:cs="Arial"/>
          <w:sz w:val="17"/>
          <w:szCs w:val="17"/>
        </w:rPr>
        <w:t>, a rubrica tem a seguinte composição:</w:t>
      </w:r>
    </w:p>
    <w:p w14:paraId="0CD42B26" w14:textId="77777777" w:rsidR="00C82F0D" w:rsidRDefault="00C82F0D" w:rsidP="00A72A72">
      <w:pPr>
        <w:ind w:left="360"/>
        <w:jc w:val="both"/>
        <w:rPr>
          <w:rFonts w:ascii="Verdana" w:hAnsi="Verdana" w:cs="Arial"/>
          <w:sz w:val="17"/>
          <w:szCs w:val="17"/>
        </w:rPr>
      </w:pPr>
    </w:p>
    <w:p w14:paraId="4287F8E4" w14:textId="77777777" w:rsidR="00C82F0D" w:rsidRPr="00107B4D" w:rsidRDefault="00C82F0D" w:rsidP="00A72A72">
      <w:pPr>
        <w:ind w:left="360"/>
        <w:jc w:val="center"/>
        <w:rPr>
          <w:rFonts w:ascii="Verdana" w:hAnsi="Verdana" w:cs="Arial"/>
          <w:sz w:val="17"/>
          <w:szCs w:val="17"/>
        </w:rPr>
      </w:pPr>
      <w:r w:rsidRPr="00A72A72">
        <w:rPr>
          <w:noProof/>
        </w:rPr>
        <w:drawing>
          <wp:inline distT="0" distB="0" distL="0" distR="0" wp14:anchorId="0906C29E" wp14:editId="6364D255">
            <wp:extent cx="4593771" cy="3603865"/>
            <wp:effectExtent l="0" t="0" r="0" b="0"/>
            <wp:docPr id="2336268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24704" cy="3628133"/>
                    </a:xfrm>
                    <a:prstGeom prst="rect">
                      <a:avLst/>
                    </a:prstGeom>
                    <a:noFill/>
                    <a:ln>
                      <a:noFill/>
                    </a:ln>
                  </pic:spPr>
                </pic:pic>
              </a:graphicData>
            </a:graphic>
          </wp:inline>
        </w:drawing>
      </w:r>
    </w:p>
    <w:p w14:paraId="7564237C" w14:textId="77777777" w:rsidR="00C82F0D" w:rsidRPr="00107B4D" w:rsidRDefault="00C82F0D" w:rsidP="00A72A72">
      <w:pPr>
        <w:jc w:val="both"/>
        <w:rPr>
          <w:rFonts w:ascii="Verdana" w:hAnsi="Verdana" w:cs="Arial"/>
          <w:sz w:val="17"/>
          <w:szCs w:val="17"/>
        </w:rPr>
      </w:pPr>
    </w:p>
    <w:p w14:paraId="1DB23207" w14:textId="77777777" w:rsidR="00C82F0D" w:rsidRPr="00F96B0E" w:rsidRDefault="00C82F0D" w:rsidP="00AA102F">
      <w:pPr>
        <w:ind w:left="360"/>
        <w:jc w:val="both"/>
        <w:rPr>
          <w:rFonts w:ascii="Verdana" w:hAnsi="Verdana" w:cs="Arial"/>
          <w:sz w:val="17"/>
          <w:szCs w:val="17"/>
        </w:rPr>
      </w:pPr>
      <w:r w:rsidRPr="00F96B0E">
        <w:rPr>
          <w:rFonts w:ascii="Verdana" w:hAnsi="Verdana" w:cs="Arial"/>
          <w:sz w:val="17"/>
          <w:szCs w:val="17"/>
        </w:rPr>
        <w:t xml:space="preserve">Durante o exercício findo em 31 de dezembro de 2020, a sociedade recebeu em dação em pagamento da </w:t>
      </w:r>
      <w:proofErr w:type="spellStart"/>
      <w:r w:rsidRPr="00F96B0E">
        <w:rPr>
          <w:rFonts w:ascii="Verdana" w:hAnsi="Verdana" w:cs="Arial"/>
          <w:sz w:val="17"/>
          <w:szCs w:val="17"/>
        </w:rPr>
        <w:t>Geralbreiner</w:t>
      </w:r>
      <w:proofErr w:type="spellEnd"/>
      <w:r w:rsidRPr="00F96B0E">
        <w:rPr>
          <w:rFonts w:ascii="Verdana" w:hAnsi="Verdana" w:cs="Arial"/>
          <w:sz w:val="17"/>
          <w:szCs w:val="17"/>
        </w:rPr>
        <w:t xml:space="preserve"> e Arlindo Gomes Carvalho para extinção dos créditos sobre esta sociedade as ações representativas de 100% do capital da </w:t>
      </w:r>
      <w:proofErr w:type="spellStart"/>
      <w:r w:rsidRPr="00F96B0E">
        <w:rPr>
          <w:rFonts w:ascii="Verdana" w:hAnsi="Verdana" w:cs="Arial"/>
          <w:sz w:val="17"/>
          <w:szCs w:val="17"/>
        </w:rPr>
        <w:t>Brick</w:t>
      </w:r>
      <w:proofErr w:type="spellEnd"/>
      <w:r w:rsidRPr="00F96B0E">
        <w:rPr>
          <w:rFonts w:ascii="Verdana" w:hAnsi="Verdana" w:cs="Arial"/>
          <w:sz w:val="17"/>
          <w:szCs w:val="17"/>
        </w:rPr>
        <w:t xml:space="preserve"> </w:t>
      </w:r>
      <w:proofErr w:type="spellStart"/>
      <w:r w:rsidRPr="00F96B0E">
        <w:rPr>
          <w:rFonts w:ascii="Verdana" w:hAnsi="Verdana" w:cs="Arial"/>
          <w:sz w:val="17"/>
          <w:szCs w:val="17"/>
        </w:rPr>
        <w:t>and</w:t>
      </w:r>
      <w:proofErr w:type="spellEnd"/>
      <w:r w:rsidRPr="00F96B0E">
        <w:rPr>
          <w:rFonts w:ascii="Verdana" w:hAnsi="Verdana" w:cs="Arial"/>
          <w:sz w:val="17"/>
          <w:szCs w:val="17"/>
        </w:rPr>
        <w:t xml:space="preserve"> </w:t>
      </w:r>
      <w:proofErr w:type="spellStart"/>
      <w:r w:rsidRPr="00F96B0E">
        <w:rPr>
          <w:rFonts w:ascii="Verdana" w:hAnsi="Verdana" w:cs="Arial"/>
          <w:sz w:val="17"/>
          <w:szCs w:val="17"/>
        </w:rPr>
        <w:t>Sand</w:t>
      </w:r>
      <w:proofErr w:type="spellEnd"/>
      <w:r w:rsidRPr="00F96B0E">
        <w:rPr>
          <w:rFonts w:ascii="Verdana" w:hAnsi="Verdana" w:cs="Arial"/>
          <w:sz w:val="17"/>
          <w:szCs w:val="17"/>
        </w:rPr>
        <w:t xml:space="preserve"> e Palácio das Águias. </w:t>
      </w:r>
    </w:p>
    <w:p w14:paraId="69661DA7" w14:textId="77777777" w:rsidR="009A48F7" w:rsidRDefault="009A48F7" w:rsidP="00AA102F">
      <w:pPr>
        <w:ind w:left="360"/>
        <w:jc w:val="both"/>
        <w:rPr>
          <w:rFonts w:ascii="Verdana" w:hAnsi="Verdana" w:cs="Arial"/>
          <w:sz w:val="17"/>
          <w:szCs w:val="17"/>
        </w:rPr>
      </w:pPr>
    </w:p>
    <w:p w14:paraId="5835F242" w14:textId="22567228" w:rsidR="00C82F0D" w:rsidRPr="00F96B0E" w:rsidRDefault="00C82F0D" w:rsidP="00AA102F">
      <w:pPr>
        <w:ind w:left="360"/>
        <w:jc w:val="both"/>
        <w:rPr>
          <w:rFonts w:ascii="Verdana" w:hAnsi="Verdana" w:cs="Arial"/>
          <w:sz w:val="17"/>
          <w:szCs w:val="17"/>
        </w:rPr>
      </w:pPr>
      <w:r w:rsidRPr="00F96B0E">
        <w:rPr>
          <w:rFonts w:ascii="Verdana" w:hAnsi="Verdana" w:cs="Arial"/>
          <w:sz w:val="17"/>
          <w:szCs w:val="17"/>
        </w:rPr>
        <w:t xml:space="preserve">No exercício de 2024, foi registado um reforço na imparidade destas duas participações, na sequência de avaliações recentes, que evidenciaram reduções no respetivo valor de realização. </w:t>
      </w:r>
    </w:p>
    <w:p w14:paraId="668CE988" w14:textId="77777777" w:rsidR="009A48F7" w:rsidRDefault="009A48F7" w:rsidP="00F96B0E">
      <w:pPr>
        <w:ind w:left="360"/>
        <w:jc w:val="both"/>
        <w:rPr>
          <w:rFonts w:ascii="Verdana" w:hAnsi="Verdana" w:cs="Arial"/>
          <w:sz w:val="17"/>
          <w:szCs w:val="17"/>
        </w:rPr>
      </w:pPr>
    </w:p>
    <w:p w14:paraId="289BC544" w14:textId="77A1CB71" w:rsidR="00C82F0D" w:rsidRPr="00F96B0E" w:rsidRDefault="009A48F7" w:rsidP="00F96B0E">
      <w:pPr>
        <w:ind w:left="360"/>
        <w:jc w:val="both"/>
        <w:rPr>
          <w:rFonts w:ascii="Verdana" w:hAnsi="Verdana" w:cs="Arial"/>
          <w:sz w:val="17"/>
          <w:szCs w:val="17"/>
        </w:rPr>
      </w:pPr>
      <w:r>
        <w:rPr>
          <w:rFonts w:ascii="Verdana" w:hAnsi="Verdana" w:cs="Arial"/>
          <w:sz w:val="17"/>
          <w:szCs w:val="17"/>
        </w:rPr>
        <w:t xml:space="preserve">Na sequência da dissolução, encerramento e cancelamento das matrículas da </w:t>
      </w:r>
      <w:proofErr w:type="spellStart"/>
      <w:r>
        <w:rPr>
          <w:rFonts w:ascii="Verdana" w:hAnsi="Verdana" w:cs="Arial"/>
          <w:sz w:val="17"/>
          <w:szCs w:val="17"/>
        </w:rPr>
        <w:t>Brick</w:t>
      </w:r>
      <w:proofErr w:type="spellEnd"/>
      <w:r>
        <w:rPr>
          <w:rFonts w:ascii="Verdana" w:hAnsi="Verdana" w:cs="Arial"/>
          <w:sz w:val="17"/>
          <w:szCs w:val="17"/>
        </w:rPr>
        <w:t xml:space="preserve"> </w:t>
      </w:r>
      <w:proofErr w:type="spellStart"/>
      <w:r>
        <w:rPr>
          <w:rFonts w:ascii="Verdana" w:hAnsi="Verdana" w:cs="Arial"/>
          <w:sz w:val="17"/>
          <w:szCs w:val="17"/>
        </w:rPr>
        <w:t>and</w:t>
      </w:r>
      <w:proofErr w:type="spellEnd"/>
      <w:r>
        <w:rPr>
          <w:rFonts w:ascii="Verdana" w:hAnsi="Verdana" w:cs="Arial"/>
          <w:sz w:val="17"/>
          <w:szCs w:val="17"/>
        </w:rPr>
        <w:t xml:space="preserve"> </w:t>
      </w:r>
      <w:proofErr w:type="spellStart"/>
      <w:r>
        <w:rPr>
          <w:rFonts w:ascii="Verdana" w:hAnsi="Verdana" w:cs="Arial"/>
          <w:sz w:val="17"/>
          <w:szCs w:val="17"/>
        </w:rPr>
        <w:t>Sand</w:t>
      </w:r>
      <w:proofErr w:type="spellEnd"/>
      <w:r>
        <w:rPr>
          <w:rFonts w:ascii="Verdana" w:hAnsi="Verdana" w:cs="Arial"/>
          <w:sz w:val="17"/>
          <w:szCs w:val="17"/>
        </w:rPr>
        <w:t xml:space="preserve"> e Palácio das Águias em julho de 2025</w:t>
      </w:r>
      <w:r w:rsidR="00C82F0D" w:rsidRPr="00F96B0E">
        <w:rPr>
          <w:rFonts w:ascii="Verdana" w:hAnsi="Verdana" w:cs="Arial"/>
          <w:sz w:val="17"/>
          <w:szCs w:val="17"/>
        </w:rPr>
        <w:t>, procedeu</w:t>
      </w:r>
      <w:r w:rsidR="00C82F0D" w:rsidRPr="00F96B0E">
        <w:rPr>
          <w:rFonts w:ascii="Verdana" w:hAnsi="Verdana" w:cs="Arial"/>
          <w:sz w:val="17"/>
          <w:szCs w:val="17"/>
        </w:rPr>
        <w:noBreakHyphen/>
        <w:t xml:space="preserve">se ao </w:t>
      </w:r>
      <w:proofErr w:type="spellStart"/>
      <w:r w:rsidR="00C82F0D" w:rsidRPr="00F96B0E">
        <w:rPr>
          <w:rFonts w:ascii="Verdana" w:hAnsi="Verdana" w:cs="Arial"/>
          <w:sz w:val="17"/>
          <w:szCs w:val="17"/>
        </w:rPr>
        <w:t>desreconhecimento</w:t>
      </w:r>
      <w:proofErr w:type="spellEnd"/>
      <w:r w:rsidR="00C82F0D" w:rsidRPr="00F96B0E">
        <w:rPr>
          <w:rFonts w:ascii="Verdana" w:hAnsi="Verdana" w:cs="Arial"/>
          <w:sz w:val="17"/>
          <w:szCs w:val="17"/>
        </w:rPr>
        <w:t xml:space="preserve"> contabilístico das respetivas participações financeiras, bem como da imparidade que lhes estava associada.</w:t>
      </w:r>
    </w:p>
    <w:p w14:paraId="7AEB7BC5" w14:textId="77777777" w:rsidR="00C82F0D" w:rsidRPr="00F96B0E" w:rsidRDefault="00C82F0D" w:rsidP="00F96B0E">
      <w:pPr>
        <w:ind w:left="360"/>
        <w:jc w:val="both"/>
        <w:rPr>
          <w:rFonts w:ascii="Verdana" w:hAnsi="Verdana" w:cs="Arial"/>
          <w:sz w:val="17"/>
          <w:szCs w:val="17"/>
        </w:rPr>
      </w:pPr>
    </w:p>
    <w:p w14:paraId="36F82C01" w14:textId="77777777" w:rsidR="00C82F0D" w:rsidRPr="00F96B0E" w:rsidRDefault="00C82F0D" w:rsidP="00F96B0E">
      <w:pPr>
        <w:ind w:left="360"/>
        <w:jc w:val="both"/>
        <w:rPr>
          <w:rFonts w:ascii="Verdana" w:hAnsi="Verdana" w:cs="Arial"/>
          <w:sz w:val="17"/>
          <w:szCs w:val="17"/>
        </w:rPr>
      </w:pPr>
      <w:r w:rsidRPr="00F96B0E">
        <w:rPr>
          <w:rFonts w:ascii="Verdana" w:hAnsi="Verdana" w:cs="Arial"/>
          <w:sz w:val="17"/>
          <w:szCs w:val="17"/>
        </w:rPr>
        <w:t xml:space="preserve">Em 31 de dezembro de </w:t>
      </w:r>
      <w:r>
        <w:rPr>
          <w:rFonts w:ascii="Verdana" w:hAnsi="Verdana" w:cs="Arial"/>
          <w:sz w:val="17"/>
          <w:szCs w:val="17"/>
        </w:rPr>
        <w:t xml:space="preserve">2025 e </w:t>
      </w:r>
      <w:r w:rsidRPr="00F96B0E">
        <w:rPr>
          <w:rFonts w:ascii="Verdana" w:hAnsi="Verdana" w:cs="Arial"/>
          <w:sz w:val="17"/>
          <w:szCs w:val="17"/>
        </w:rPr>
        <w:t>2024, a rubrica “</w:t>
      </w:r>
      <w:proofErr w:type="spellStart"/>
      <w:r w:rsidRPr="00F96B0E">
        <w:rPr>
          <w:rFonts w:ascii="Verdana" w:hAnsi="Verdana" w:cs="Arial"/>
          <w:sz w:val="17"/>
          <w:szCs w:val="17"/>
        </w:rPr>
        <w:t>Calzeus</w:t>
      </w:r>
      <w:proofErr w:type="spellEnd"/>
      <w:r w:rsidRPr="00F96B0E">
        <w:rPr>
          <w:rFonts w:ascii="Verdana" w:hAnsi="Verdana" w:cs="Arial"/>
          <w:sz w:val="17"/>
          <w:szCs w:val="17"/>
        </w:rPr>
        <w:t xml:space="preserve"> - Calçado e Acessórios de Moda, S.A.” e “</w:t>
      </w:r>
      <w:proofErr w:type="spellStart"/>
      <w:r w:rsidRPr="00F96B0E">
        <w:rPr>
          <w:rFonts w:ascii="Verdana" w:hAnsi="Verdana" w:cs="Arial"/>
          <w:sz w:val="17"/>
          <w:szCs w:val="17"/>
        </w:rPr>
        <w:t>Tecneira</w:t>
      </w:r>
      <w:proofErr w:type="spellEnd"/>
      <w:r w:rsidRPr="00F96B0E">
        <w:rPr>
          <w:rFonts w:ascii="Verdana" w:hAnsi="Verdana" w:cs="Arial"/>
          <w:sz w:val="17"/>
          <w:szCs w:val="17"/>
        </w:rPr>
        <w:t xml:space="preserve"> Moçambique, </w:t>
      </w:r>
      <w:proofErr w:type="gramStart"/>
      <w:r w:rsidRPr="00F96B0E">
        <w:rPr>
          <w:rFonts w:ascii="Verdana" w:hAnsi="Verdana" w:cs="Arial"/>
          <w:sz w:val="17"/>
          <w:szCs w:val="17"/>
        </w:rPr>
        <w:t>S.A.“ diz</w:t>
      </w:r>
      <w:proofErr w:type="gramEnd"/>
      <w:r w:rsidRPr="00F96B0E">
        <w:rPr>
          <w:rFonts w:ascii="Verdana" w:hAnsi="Verdana" w:cs="Arial"/>
          <w:sz w:val="17"/>
          <w:szCs w:val="17"/>
        </w:rPr>
        <w:t xml:space="preserve"> respeito às participações e suprimentos que transitaram da </w:t>
      </w:r>
      <w:proofErr w:type="spellStart"/>
      <w:r w:rsidRPr="00F96B0E">
        <w:rPr>
          <w:rFonts w:ascii="Verdana" w:hAnsi="Verdana" w:cs="Arial"/>
          <w:sz w:val="17"/>
          <w:szCs w:val="17"/>
        </w:rPr>
        <w:t>Parups</w:t>
      </w:r>
      <w:proofErr w:type="spellEnd"/>
      <w:r w:rsidRPr="00F96B0E">
        <w:rPr>
          <w:rFonts w:ascii="Verdana" w:hAnsi="Verdana" w:cs="Arial"/>
          <w:sz w:val="17"/>
          <w:szCs w:val="17"/>
        </w:rPr>
        <w:t>, S.A., na sequência da Fusão ocorrida no decurso do exercício de 2022. No decorrer do ano de 2025 foi proferida a decisão de encerramento da sociedade</w:t>
      </w:r>
      <w:r>
        <w:rPr>
          <w:rFonts w:ascii="Verdana" w:hAnsi="Verdana" w:cs="Arial"/>
          <w:sz w:val="17"/>
          <w:szCs w:val="17"/>
        </w:rPr>
        <w:t xml:space="preserve"> </w:t>
      </w:r>
      <w:proofErr w:type="spellStart"/>
      <w:r w:rsidRPr="00F96B0E">
        <w:rPr>
          <w:rFonts w:ascii="Verdana" w:hAnsi="Verdana" w:cs="Arial"/>
          <w:sz w:val="17"/>
          <w:szCs w:val="17"/>
        </w:rPr>
        <w:t>Calzeus</w:t>
      </w:r>
      <w:proofErr w:type="spellEnd"/>
      <w:r w:rsidRPr="00F96B0E">
        <w:rPr>
          <w:rFonts w:ascii="Verdana" w:hAnsi="Verdana" w:cs="Arial"/>
          <w:sz w:val="17"/>
          <w:szCs w:val="17"/>
        </w:rPr>
        <w:t xml:space="preserve"> - Calçado e Acessórios de Moda, S.A., por se encontrar em processo de insolvência. Deste modo, procedeu</w:t>
      </w:r>
      <w:r w:rsidRPr="00F96B0E">
        <w:rPr>
          <w:rFonts w:ascii="Verdana" w:hAnsi="Verdana" w:cs="Arial"/>
          <w:sz w:val="17"/>
          <w:szCs w:val="17"/>
        </w:rPr>
        <w:noBreakHyphen/>
        <w:t xml:space="preserve">se ao </w:t>
      </w:r>
      <w:proofErr w:type="spellStart"/>
      <w:r w:rsidRPr="00F96B0E">
        <w:rPr>
          <w:rFonts w:ascii="Verdana" w:hAnsi="Verdana" w:cs="Arial"/>
          <w:sz w:val="17"/>
          <w:szCs w:val="17"/>
        </w:rPr>
        <w:t>desreconhecimento</w:t>
      </w:r>
      <w:proofErr w:type="spellEnd"/>
      <w:r w:rsidRPr="00F96B0E">
        <w:rPr>
          <w:rFonts w:ascii="Verdana" w:hAnsi="Verdana" w:cs="Arial"/>
          <w:sz w:val="17"/>
          <w:szCs w:val="17"/>
        </w:rPr>
        <w:t xml:space="preserve"> contabilístico da participação financeira.</w:t>
      </w:r>
    </w:p>
    <w:p w14:paraId="69BCEA84" w14:textId="77777777" w:rsidR="00C82F0D" w:rsidRPr="00843F34" w:rsidRDefault="00C82F0D" w:rsidP="001B4278">
      <w:pPr>
        <w:ind w:left="360"/>
        <w:jc w:val="both"/>
        <w:rPr>
          <w:rFonts w:ascii="Verdana" w:hAnsi="Verdana" w:cs="Arial"/>
          <w:sz w:val="17"/>
          <w:szCs w:val="17"/>
        </w:rPr>
      </w:pPr>
    </w:p>
    <w:p w14:paraId="0F7DC716" w14:textId="77777777" w:rsidR="00C82F0D" w:rsidRPr="00843F34" w:rsidRDefault="00C82F0D" w:rsidP="001B4278">
      <w:pPr>
        <w:ind w:left="360"/>
        <w:jc w:val="both"/>
        <w:rPr>
          <w:rFonts w:ascii="Verdana" w:hAnsi="Verdana" w:cs="Arial"/>
          <w:sz w:val="17"/>
          <w:szCs w:val="17"/>
        </w:rPr>
      </w:pPr>
      <w:r w:rsidRPr="00843F34">
        <w:rPr>
          <w:rFonts w:ascii="Verdana" w:hAnsi="Verdana" w:cs="Arial"/>
          <w:sz w:val="17"/>
          <w:szCs w:val="17"/>
        </w:rPr>
        <w:t xml:space="preserve">Em 31 de dezembro de </w:t>
      </w:r>
      <w:r>
        <w:rPr>
          <w:rFonts w:ascii="Verdana" w:hAnsi="Verdana" w:cs="Arial"/>
          <w:sz w:val="17"/>
          <w:szCs w:val="17"/>
        </w:rPr>
        <w:t xml:space="preserve">2025 e </w:t>
      </w:r>
      <w:r w:rsidRPr="00843F34">
        <w:rPr>
          <w:rFonts w:ascii="Verdana" w:hAnsi="Verdana" w:cs="Arial"/>
          <w:sz w:val="17"/>
          <w:szCs w:val="17"/>
        </w:rPr>
        <w:t>2024, a rubrica “Imofundos, SGOIC, S.A.” diz respeito à participação que transitou da Parparticipadas, na sequência da Fusão ocorrida no decurso do exercício de 2024.</w:t>
      </w:r>
    </w:p>
    <w:p w14:paraId="674B5781" w14:textId="77777777" w:rsidR="00C82F0D" w:rsidRPr="00843F34" w:rsidRDefault="00C82F0D" w:rsidP="001B4278">
      <w:pPr>
        <w:ind w:left="360"/>
        <w:jc w:val="both"/>
        <w:rPr>
          <w:rFonts w:ascii="Verdana" w:hAnsi="Verdana" w:cs="Arial"/>
          <w:sz w:val="17"/>
          <w:szCs w:val="17"/>
        </w:rPr>
      </w:pPr>
    </w:p>
    <w:p w14:paraId="5068D8C3" w14:textId="77777777" w:rsidR="00C82F0D" w:rsidRPr="00843F34" w:rsidRDefault="00C82F0D" w:rsidP="00216DFB">
      <w:pPr>
        <w:ind w:left="360"/>
        <w:jc w:val="both"/>
        <w:rPr>
          <w:rFonts w:ascii="Verdana" w:hAnsi="Verdana" w:cs="Arial"/>
          <w:sz w:val="17"/>
          <w:szCs w:val="17"/>
        </w:rPr>
      </w:pPr>
      <w:r w:rsidRPr="00843F34">
        <w:rPr>
          <w:rFonts w:ascii="Verdana" w:hAnsi="Verdana" w:cs="Arial"/>
          <w:sz w:val="17"/>
          <w:szCs w:val="17"/>
        </w:rPr>
        <w:t>Os suprimentos concedidos a estas entidades não são remunerados e não têm prazo de reembolso definido.</w:t>
      </w:r>
    </w:p>
    <w:p w14:paraId="61509611" w14:textId="77777777" w:rsidR="00C82F0D" w:rsidRPr="00843F34" w:rsidRDefault="00C82F0D" w:rsidP="001B4278">
      <w:pPr>
        <w:ind w:left="360"/>
        <w:jc w:val="both"/>
        <w:rPr>
          <w:rFonts w:ascii="Verdana" w:hAnsi="Verdana" w:cs="Arial"/>
          <w:sz w:val="17"/>
          <w:szCs w:val="17"/>
        </w:rPr>
      </w:pPr>
    </w:p>
    <w:p w14:paraId="6B99F339" w14:textId="77777777" w:rsidR="00C82F0D" w:rsidRPr="00843F34" w:rsidRDefault="00C82F0D" w:rsidP="0048770F">
      <w:pPr>
        <w:ind w:left="360"/>
        <w:jc w:val="both"/>
        <w:rPr>
          <w:rFonts w:ascii="Verdana" w:hAnsi="Verdana" w:cs="Arial"/>
          <w:sz w:val="17"/>
          <w:szCs w:val="17"/>
        </w:rPr>
      </w:pPr>
      <w:r w:rsidRPr="00843F34">
        <w:rPr>
          <w:rFonts w:ascii="Verdana" w:hAnsi="Verdana" w:cs="Arial"/>
          <w:sz w:val="17"/>
          <w:szCs w:val="17"/>
        </w:rPr>
        <w:t>Em virtude das empresas associadas e subsidiárias se encontrarem em processo de insolvência</w:t>
      </w:r>
    </w:p>
    <w:p w14:paraId="0C14C4E0" w14:textId="77777777" w:rsidR="00C82F0D" w:rsidRPr="00843F34" w:rsidRDefault="00C82F0D" w:rsidP="0048770F">
      <w:pPr>
        <w:ind w:left="360"/>
        <w:jc w:val="both"/>
        <w:rPr>
          <w:rFonts w:ascii="Verdana" w:hAnsi="Verdana" w:cs="Arial"/>
          <w:sz w:val="17"/>
          <w:szCs w:val="17"/>
        </w:rPr>
      </w:pPr>
      <w:r w:rsidRPr="00843F34">
        <w:rPr>
          <w:rFonts w:ascii="Verdana" w:hAnsi="Verdana" w:cs="Arial"/>
          <w:sz w:val="17"/>
          <w:szCs w:val="17"/>
        </w:rPr>
        <w:t>ou liquidação não se encontram disponíveis dados financeiros atualizados das mesmas.</w:t>
      </w:r>
    </w:p>
    <w:p w14:paraId="13D17FE6" w14:textId="77777777" w:rsidR="00C82F0D" w:rsidRPr="00985E10" w:rsidRDefault="00C82F0D" w:rsidP="001B4278">
      <w:pPr>
        <w:ind w:left="360"/>
        <w:jc w:val="both"/>
        <w:rPr>
          <w:rFonts w:ascii="Verdana" w:hAnsi="Verdana" w:cs="Arial"/>
          <w:sz w:val="17"/>
          <w:szCs w:val="17"/>
          <w:highlight w:val="yellow"/>
        </w:rPr>
      </w:pPr>
    </w:p>
    <w:p w14:paraId="672448B5" w14:textId="77777777" w:rsidR="00C82F0D" w:rsidRPr="00107B4D" w:rsidRDefault="00C82F0D" w:rsidP="0027386F">
      <w:pPr>
        <w:ind w:left="360"/>
        <w:jc w:val="both"/>
        <w:rPr>
          <w:rFonts w:ascii="Verdana" w:hAnsi="Verdana" w:cs="Arial"/>
          <w:sz w:val="17"/>
          <w:szCs w:val="17"/>
        </w:rPr>
      </w:pPr>
      <w:r w:rsidRPr="00843F34">
        <w:rPr>
          <w:rFonts w:ascii="Verdana" w:hAnsi="Verdana" w:cs="Arial"/>
          <w:sz w:val="17"/>
          <w:szCs w:val="17"/>
        </w:rPr>
        <w:t>Em 31 de dezembro de 2025 e 2024, os dados financeiros das contas preliminares auditadas das participadas podem ser resumidos da seguinte forma:</w:t>
      </w:r>
    </w:p>
    <w:p w14:paraId="760643C2" w14:textId="77777777" w:rsidR="00C82F0D" w:rsidRPr="00107B4D" w:rsidRDefault="00C82F0D" w:rsidP="0027386F">
      <w:pPr>
        <w:ind w:left="360"/>
        <w:jc w:val="both"/>
        <w:rPr>
          <w:rFonts w:ascii="Verdana" w:hAnsi="Verdana" w:cs="Arial"/>
          <w:sz w:val="17"/>
          <w:szCs w:val="17"/>
        </w:rPr>
      </w:pPr>
    </w:p>
    <w:p w14:paraId="69625AEA" w14:textId="77777777" w:rsidR="00C82F0D" w:rsidRDefault="00C82F0D" w:rsidP="005432E5">
      <w:pPr>
        <w:ind w:left="360"/>
        <w:jc w:val="both"/>
        <w:rPr>
          <w:rFonts w:ascii="Verdana" w:hAnsi="Verdana" w:cs="Arial"/>
          <w:sz w:val="17"/>
          <w:szCs w:val="17"/>
        </w:rPr>
      </w:pPr>
      <w:r w:rsidRPr="008A7A0C">
        <w:rPr>
          <w:noProof/>
        </w:rPr>
        <w:lastRenderedPageBreak/>
        <w:drawing>
          <wp:inline distT="0" distB="0" distL="0" distR="0" wp14:anchorId="2DE5E3CB" wp14:editId="67609F36">
            <wp:extent cx="5192485" cy="2069911"/>
            <wp:effectExtent l="0" t="0" r="8255" b="0"/>
            <wp:docPr id="154403495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05201" cy="2074980"/>
                    </a:xfrm>
                    <a:prstGeom prst="rect">
                      <a:avLst/>
                    </a:prstGeom>
                    <a:noFill/>
                    <a:ln>
                      <a:noFill/>
                    </a:ln>
                  </pic:spPr>
                </pic:pic>
              </a:graphicData>
            </a:graphic>
          </wp:inline>
        </w:drawing>
      </w:r>
    </w:p>
    <w:p w14:paraId="7D46C382" w14:textId="77777777" w:rsidR="00C82F0D" w:rsidRPr="00107B4D" w:rsidRDefault="00C82F0D" w:rsidP="00BA6B9E">
      <w:pPr>
        <w:jc w:val="both"/>
        <w:rPr>
          <w:rFonts w:ascii="Verdana" w:hAnsi="Verdana" w:cs="Arial"/>
          <w:sz w:val="17"/>
          <w:szCs w:val="17"/>
        </w:rPr>
      </w:pPr>
    </w:p>
    <w:p w14:paraId="1EC73FC6" w14:textId="77777777" w:rsidR="00C82F0D" w:rsidRDefault="00C82F0D" w:rsidP="0027386F">
      <w:pPr>
        <w:ind w:left="360"/>
        <w:jc w:val="both"/>
        <w:rPr>
          <w:rFonts w:ascii="Verdana" w:hAnsi="Verdana" w:cs="Arial"/>
          <w:sz w:val="17"/>
          <w:szCs w:val="17"/>
        </w:rPr>
      </w:pPr>
    </w:p>
    <w:p w14:paraId="5CE657FC" w14:textId="77777777" w:rsidR="00C82F0D" w:rsidRDefault="00C82F0D" w:rsidP="00FD3003">
      <w:pPr>
        <w:ind w:left="360"/>
        <w:jc w:val="both"/>
        <w:rPr>
          <w:rFonts w:ascii="Verdana" w:hAnsi="Verdana" w:cs="Arial"/>
          <w:sz w:val="17"/>
          <w:szCs w:val="17"/>
        </w:rPr>
      </w:pPr>
      <w:r w:rsidRPr="00107B4D">
        <w:rPr>
          <w:rFonts w:ascii="Verdana" w:hAnsi="Verdana" w:cs="Arial"/>
          <w:sz w:val="17"/>
          <w:szCs w:val="17"/>
        </w:rPr>
        <w:t>Em 31 de dezembro de 202</w:t>
      </w:r>
      <w:r>
        <w:rPr>
          <w:rFonts w:ascii="Verdana" w:hAnsi="Verdana" w:cs="Arial"/>
          <w:sz w:val="17"/>
          <w:szCs w:val="17"/>
        </w:rPr>
        <w:t>5</w:t>
      </w:r>
      <w:r w:rsidRPr="00107B4D">
        <w:rPr>
          <w:rFonts w:ascii="Verdana" w:hAnsi="Verdana" w:cs="Arial"/>
          <w:sz w:val="17"/>
          <w:szCs w:val="17"/>
        </w:rPr>
        <w:t xml:space="preserve"> e 202</w:t>
      </w:r>
      <w:r>
        <w:rPr>
          <w:rFonts w:ascii="Verdana" w:hAnsi="Verdana" w:cs="Arial"/>
          <w:sz w:val="17"/>
          <w:szCs w:val="17"/>
        </w:rPr>
        <w:t>4</w:t>
      </w:r>
      <w:r w:rsidRPr="00107B4D">
        <w:rPr>
          <w:rFonts w:ascii="Verdana" w:hAnsi="Verdana" w:cs="Arial"/>
          <w:sz w:val="17"/>
          <w:szCs w:val="17"/>
        </w:rPr>
        <w:t>, a variação entre o custo de aquisição e a situação líquida das participadas apresenta o seguinte detalhe:</w:t>
      </w:r>
    </w:p>
    <w:p w14:paraId="0BCA3C36" w14:textId="77777777" w:rsidR="00C82F0D" w:rsidRDefault="00C82F0D" w:rsidP="00FD3003">
      <w:pPr>
        <w:ind w:left="360"/>
        <w:jc w:val="both"/>
        <w:rPr>
          <w:rFonts w:ascii="Verdana" w:hAnsi="Verdana" w:cs="Arial"/>
          <w:sz w:val="17"/>
          <w:szCs w:val="17"/>
        </w:rPr>
      </w:pPr>
    </w:p>
    <w:p w14:paraId="6874990A" w14:textId="77777777" w:rsidR="00C82F0D" w:rsidRPr="00107B4D" w:rsidRDefault="00C82F0D" w:rsidP="00FD3003">
      <w:pPr>
        <w:ind w:left="360"/>
        <w:jc w:val="both"/>
        <w:rPr>
          <w:rFonts w:ascii="Verdana" w:hAnsi="Verdana" w:cs="Arial"/>
          <w:sz w:val="17"/>
          <w:szCs w:val="17"/>
        </w:rPr>
      </w:pPr>
      <w:r w:rsidRPr="008A7A0C">
        <w:rPr>
          <w:noProof/>
        </w:rPr>
        <w:drawing>
          <wp:inline distT="0" distB="0" distL="0" distR="0" wp14:anchorId="00C8CADD" wp14:editId="321B3782">
            <wp:extent cx="5192395" cy="1401287"/>
            <wp:effectExtent l="0" t="0" r="0" b="0"/>
            <wp:docPr id="100268643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27390" cy="1410731"/>
                    </a:xfrm>
                    <a:prstGeom prst="rect">
                      <a:avLst/>
                    </a:prstGeom>
                    <a:noFill/>
                    <a:ln>
                      <a:noFill/>
                    </a:ln>
                  </pic:spPr>
                </pic:pic>
              </a:graphicData>
            </a:graphic>
          </wp:inline>
        </w:drawing>
      </w:r>
    </w:p>
    <w:p w14:paraId="5C200207" w14:textId="77777777" w:rsidR="00C82F0D" w:rsidRPr="00107B4D" w:rsidRDefault="00C82F0D" w:rsidP="0027386F">
      <w:pPr>
        <w:ind w:left="360"/>
        <w:jc w:val="both"/>
        <w:rPr>
          <w:rFonts w:ascii="Verdana" w:hAnsi="Verdana" w:cs="Arial"/>
          <w:sz w:val="17"/>
          <w:szCs w:val="17"/>
        </w:rPr>
      </w:pPr>
      <w:r w:rsidRPr="008A7A0C">
        <w:rPr>
          <w:noProof/>
        </w:rPr>
        <w:drawing>
          <wp:inline distT="0" distB="0" distL="0" distR="0" wp14:anchorId="592D4B0C" wp14:editId="39A4E204">
            <wp:extent cx="5159828" cy="1711650"/>
            <wp:effectExtent l="0" t="0" r="3175" b="0"/>
            <wp:docPr id="152518288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179975" cy="1718333"/>
                    </a:xfrm>
                    <a:prstGeom prst="rect">
                      <a:avLst/>
                    </a:prstGeom>
                    <a:noFill/>
                    <a:ln>
                      <a:noFill/>
                    </a:ln>
                  </pic:spPr>
                </pic:pic>
              </a:graphicData>
            </a:graphic>
          </wp:inline>
        </w:drawing>
      </w:r>
    </w:p>
    <w:p w14:paraId="52FAA7E0" w14:textId="77777777" w:rsidR="00C82F0D" w:rsidRPr="00107B4D" w:rsidRDefault="00C82F0D" w:rsidP="0027386F">
      <w:pPr>
        <w:ind w:left="360"/>
        <w:jc w:val="both"/>
        <w:rPr>
          <w:rFonts w:ascii="Verdana" w:hAnsi="Verdana" w:cs="Arial"/>
          <w:sz w:val="17"/>
          <w:szCs w:val="17"/>
        </w:rPr>
      </w:pPr>
    </w:p>
    <w:p w14:paraId="75071457" w14:textId="77777777" w:rsidR="00C82F0D" w:rsidRPr="00107B4D" w:rsidRDefault="00C82F0D" w:rsidP="00F85BF9">
      <w:pPr>
        <w:tabs>
          <w:tab w:val="left" w:pos="426"/>
          <w:tab w:val="left" w:pos="1276"/>
          <w:tab w:val="right" w:pos="6804"/>
          <w:tab w:val="right" w:pos="7939"/>
        </w:tabs>
        <w:ind w:left="426" w:right="-22"/>
        <w:jc w:val="both"/>
        <w:rPr>
          <w:rFonts w:ascii="Verdana" w:hAnsi="Verdana" w:cs="Arial"/>
          <w:sz w:val="17"/>
          <w:szCs w:val="17"/>
        </w:rPr>
      </w:pPr>
    </w:p>
    <w:p w14:paraId="2BA430E3" w14:textId="77777777" w:rsidR="00C82F0D" w:rsidRPr="00107B4D" w:rsidRDefault="00C82F0D" w:rsidP="00D84952">
      <w:pPr>
        <w:pStyle w:val="Ttulo1"/>
        <w:keepNext w:val="0"/>
        <w:keepLines w:val="0"/>
        <w:numPr>
          <w:ilvl w:val="0"/>
          <w:numId w:val="3"/>
        </w:numPr>
        <w:tabs>
          <w:tab w:val="left" w:pos="426"/>
        </w:tabs>
        <w:spacing w:before="0"/>
        <w:ind w:right="-22"/>
        <w:jc w:val="both"/>
        <w:rPr>
          <w:rFonts w:ascii="Verdana" w:eastAsia="Times New Roman" w:hAnsi="Verdana" w:cs="Arial"/>
          <w:b w:val="0"/>
          <w:bCs w:val="0"/>
          <w:color w:val="auto"/>
          <w:sz w:val="17"/>
          <w:szCs w:val="17"/>
          <w:u w:val="single"/>
          <w:lang w:eastAsia="en-US"/>
        </w:rPr>
      </w:pPr>
      <w:r w:rsidRPr="00107B4D">
        <w:rPr>
          <w:rFonts w:ascii="Verdana" w:eastAsia="Times New Roman" w:hAnsi="Verdana" w:cs="Arial"/>
          <w:b w:val="0"/>
          <w:bCs w:val="0"/>
          <w:color w:val="auto"/>
          <w:sz w:val="17"/>
          <w:szCs w:val="17"/>
          <w:u w:val="single"/>
          <w:lang w:eastAsia="en-US"/>
        </w:rPr>
        <w:t>ATIVOS FINANCEIROS AO JUSTO VALOR ATRAVÉS DE RESULTADOS</w:t>
      </w:r>
    </w:p>
    <w:p w14:paraId="54F441DD" w14:textId="77777777" w:rsidR="00C82F0D" w:rsidRPr="00107B4D" w:rsidRDefault="00C82F0D" w:rsidP="00633A3B">
      <w:pPr>
        <w:ind w:left="360"/>
        <w:jc w:val="both"/>
        <w:rPr>
          <w:rFonts w:ascii="Verdana" w:hAnsi="Verdana"/>
          <w:sz w:val="17"/>
          <w:szCs w:val="17"/>
        </w:rPr>
      </w:pPr>
    </w:p>
    <w:p w14:paraId="398FAD7A" w14:textId="77777777" w:rsidR="00C82F0D" w:rsidRPr="00107B4D" w:rsidRDefault="00C82F0D" w:rsidP="004259F8">
      <w:pPr>
        <w:tabs>
          <w:tab w:val="left" w:pos="426"/>
          <w:tab w:val="left" w:pos="1276"/>
          <w:tab w:val="right" w:pos="6804"/>
          <w:tab w:val="right" w:pos="7939"/>
        </w:tabs>
        <w:ind w:left="426" w:right="-22"/>
        <w:jc w:val="both"/>
        <w:rPr>
          <w:rFonts w:ascii="Verdana" w:hAnsi="Verdana" w:cs="Arial"/>
          <w:sz w:val="17"/>
          <w:szCs w:val="17"/>
        </w:rPr>
      </w:pPr>
    </w:p>
    <w:p w14:paraId="57FEF444" w14:textId="77777777" w:rsidR="00C82F0D" w:rsidRPr="00107B4D" w:rsidRDefault="00C82F0D" w:rsidP="004259F8">
      <w:pPr>
        <w:tabs>
          <w:tab w:val="left" w:pos="426"/>
          <w:tab w:val="left" w:pos="1276"/>
          <w:tab w:val="right" w:pos="6804"/>
          <w:tab w:val="right" w:pos="7939"/>
        </w:tabs>
        <w:ind w:left="426" w:right="-22"/>
        <w:jc w:val="both"/>
        <w:rPr>
          <w:rFonts w:ascii="Verdana" w:hAnsi="Verdana" w:cs="Arial"/>
          <w:sz w:val="17"/>
          <w:szCs w:val="17"/>
        </w:rPr>
      </w:pPr>
      <w:r w:rsidRPr="00107B4D">
        <w:rPr>
          <w:rFonts w:ascii="Verdana" w:hAnsi="Verdana" w:cs="Arial"/>
          <w:sz w:val="17"/>
          <w:szCs w:val="17"/>
        </w:rPr>
        <w:t>Em 31 de dezembro de 202</w:t>
      </w:r>
      <w:r>
        <w:rPr>
          <w:rFonts w:ascii="Verdana" w:hAnsi="Verdana" w:cs="Arial"/>
          <w:sz w:val="17"/>
          <w:szCs w:val="17"/>
        </w:rPr>
        <w:t>5</w:t>
      </w:r>
      <w:r w:rsidRPr="00107B4D">
        <w:rPr>
          <w:rFonts w:ascii="Verdana" w:hAnsi="Verdana" w:cs="Arial"/>
          <w:sz w:val="17"/>
          <w:szCs w:val="17"/>
        </w:rPr>
        <w:t xml:space="preserve"> e 202</w:t>
      </w:r>
      <w:r>
        <w:rPr>
          <w:rFonts w:ascii="Verdana" w:hAnsi="Verdana" w:cs="Arial"/>
          <w:sz w:val="17"/>
          <w:szCs w:val="17"/>
        </w:rPr>
        <w:t>4</w:t>
      </w:r>
      <w:r w:rsidRPr="00107B4D">
        <w:rPr>
          <w:rFonts w:ascii="Verdana" w:hAnsi="Verdana" w:cs="Arial"/>
          <w:sz w:val="17"/>
          <w:szCs w:val="17"/>
        </w:rPr>
        <w:t xml:space="preserve">, a rubrica tem a seguinte composição: </w:t>
      </w:r>
    </w:p>
    <w:p w14:paraId="6AEDB176" w14:textId="77777777" w:rsidR="00C82F0D" w:rsidRPr="00107B4D" w:rsidRDefault="00C82F0D" w:rsidP="00633A3B">
      <w:pPr>
        <w:ind w:left="360"/>
        <w:jc w:val="both"/>
        <w:rPr>
          <w:rFonts w:ascii="Verdana" w:hAnsi="Verdana"/>
          <w:sz w:val="17"/>
          <w:szCs w:val="17"/>
        </w:rPr>
      </w:pPr>
    </w:p>
    <w:p w14:paraId="3BBDF720" w14:textId="77777777" w:rsidR="00C82F0D" w:rsidRPr="00107B4D" w:rsidRDefault="00C82F0D" w:rsidP="00633A3B">
      <w:pPr>
        <w:tabs>
          <w:tab w:val="left" w:pos="426"/>
          <w:tab w:val="left" w:pos="1276"/>
          <w:tab w:val="right" w:pos="6804"/>
          <w:tab w:val="right" w:pos="7939"/>
        </w:tabs>
        <w:ind w:left="426" w:right="-22"/>
        <w:jc w:val="both"/>
        <w:rPr>
          <w:rFonts w:ascii="Verdana" w:hAnsi="Verdana" w:cs="Arial"/>
          <w:sz w:val="17"/>
          <w:szCs w:val="17"/>
        </w:rPr>
      </w:pPr>
      <w:r w:rsidRPr="008A7A0C">
        <w:rPr>
          <w:noProof/>
        </w:rPr>
        <w:drawing>
          <wp:inline distT="0" distB="0" distL="0" distR="0" wp14:anchorId="057F7CBD" wp14:editId="06E10481">
            <wp:extent cx="5143500" cy="1982643"/>
            <wp:effectExtent l="0" t="0" r="0" b="0"/>
            <wp:docPr id="111288306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172906" cy="1993978"/>
                    </a:xfrm>
                    <a:prstGeom prst="rect">
                      <a:avLst/>
                    </a:prstGeom>
                    <a:noFill/>
                    <a:ln>
                      <a:noFill/>
                    </a:ln>
                  </pic:spPr>
                </pic:pic>
              </a:graphicData>
            </a:graphic>
          </wp:inline>
        </w:drawing>
      </w:r>
    </w:p>
    <w:p w14:paraId="01BE58D3" w14:textId="77777777" w:rsidR="00C82F0D" w:rsidRPr="00107B4D" w:rsidRDefault="00C82F0D" w:rsidP="00633A3B">
      <w:pPr>
        <w:tabs>
          <w:tab w:val="left" w:pos="426"/>
          <w:tab w:val="left" w:pos="1276"/>
          <w:tab w:val="right" w:pos="6804"/>
          <w:tab w:val="right" w:pos="7939"/>
        </w:tabs>
        <w:ind w:left="426" w:right="-22"/>
        <w:jc w:val="both"/>
        <w:rPr>
          <w:rFonts w:ascii="Verdana" w:hAnsi="Verdana" w:cs="Arial"/>
          <w:sz w:val="17"/>
          <w:szCs w:val="17"/>
        </w:rPr>
      </w:pPr>
    </w:p>
    <w:p w14:paraId="7E625417" w14:textId="77777777" w:rsidR="00C82F0D" w:rsidRPr="00107B4D" w:rsidRDefault="00C82F0D" w:rsidP="00633A3B">
      <w:pPr>
        <w:tabs>
          <w:tab w:val="left" w:pos="426"/>
          <w:tab w:val="left" w:pos="1276"/>
          <w:tab w:val="right" w:pos="6804"/>
          <w:tab w:val="right" w:pos="7939"/>
        </w:tabs>
        <w:ind w:left="426" w:right="-22"/>
        <w:jc w:val="both"/>
        <w:rPr>
          <w:rFonts w:ascii="Verdana" w:hAnsi="Verdana" w:cs="Arial"/>
          <w:sz w:val="17"/>
          <w:szCs w:val="17"/>
        </w:rPr>
      </w:pPr>
      <w:r w:rsidRPr="00107B4D">
        <w:rPr>
          <w:rFonts w:ascii="Verdana" w:hAnsi="Verdana" w:cs="Arial"/>
          <w:sz w:val="17"/>
          <w:szCs w:val="17"/>
        </w:rPr>
        <w:lastRenderedPageBreak/>
        <w:t xml:space="preserve">Em 30 de dezembro de 2015 foi celebrado o contrato de cessão de créditos entre a </w:t>
      </w:r>
      <w:proofErr w:type="spellStart"/>
      <w:r w:rsidRPr="00107B4D">
        <w:rPr>
          <w:rFonts w:ascii="Verdana" w:hAnsi="Verdana" w:cs="Arial"/>
          <w:sz w:val="17"/>
          <w:szCs w:val="17"/>
        </w:rPr>
        <w:t>Gravity</w:t>
      </w:r>
      <w:proofErr w:type="spellEnd"/>
      <w:r w:rsidRPr="00107B4D">
        <w:rPr>
          <w:rFonts w:ascii="Verdana" w:hAnsi="Verdana" w:cs="Arial"/>
          <w:sz w:val="17"/>
          <w:szCs w:val="17"/>
        </w:rPr>
        <w:t xml:space="preserve"> </w:t>
      </w:r>
      <w:proofErr w:type="spellStart"/>
      <w:r w:rsidRPr="00107B4D">
        <w:rPr>
          <w:rFonts w:ascii="Verdana" w:hAnsi="Verdana" w:cs="Arial"/>
          <w:sz w:val="17"/>
          <w:szCs w:val="17"/>
        </w:rPr>
        <w:t>Meridian</w:t>
      </w:r>
      <w:proofErr w:type="spellEnd"/>
      <w:r w:rsidRPr="00107B4D">
        <w:rPr>
          <w:rFonts w:ascii="Verdana" w:hAnsi="Verdana" w:cs="Arial"/>
          <w:sz w:val="17"/>
          <w:szCs w:val="17"/>
        </w:rPr>
        <w:t xml:space="preserve">, S.A. (entidade detida a 99% pelo Fundo de capital de risco – VEGA, FCR (“Fundo Vega”) e a Parvalorem, através do qual a Parvalorem cedeu créditos no montante de 1.016 </w:t>
      </w:r>
      <w:proofErr w:type="spellStart"/>
      <w:proofErr w:type="gramStart"/>
      <w:r w:rsidRPr="00107B4D">
        <w:rPr>
          <w:rFonts w:ascii="Verdana" w:hAnsi="Verdana" w:cs="Arial"/>
          <w:sz w:val="17"/>
          <w:szCs w:val="17"/>
        </w:rPr>
        <w:t>m.euros</w:t>
      </w:r>
      <w:proofErr w:type="spellEnd"/>
      <w:proofErr w:type="gramEnd"/>
      <w:r w:rsidRPr="00107B4D">
        <w:rPr>
          <w:rFonts w:ascii="Verdana" w:hAnsi="Verdana" w:cs="Arial"/>
          <w:sz w:val="17"/>
          <w:szCs w:val="17"/>
        </w:rPr>
        <w:t xml:space="preserve">. Como contrapartida da cessão de créditos, a Parvalorem subscreveu 1.128,96 unidades de participação do Fundo Vega, no montante de 1 </w:t>
      </w:r>
      <w:proofErr w:type="spellStart"/>
      <w:proofErr w:type="gramStart"/>
      <w:r w:rsidRPr="00107B4D">
        <w:rPr>
          <w:rFonts w:ascii="Verdana" w:hAnsi="Verdana" w:cs="Arial"/>
          <w:sz w:val="17"/>
          <w:szCs w:val="17"/>
        </w:rPr>
        <w:t>m.euros</w:t>
      </w:r>
      <w:proofErr w:type="spellEnd"/>
      <w:proofErr w:type="gramEnd"/>
      <w:r w:rsidRPr="00107B4D">
        <w:rPr>
          <w:rFonts w:ascii="Verdana" w:hAnsi="Verdana" w:cs="Arial"/>
          <w:sz w:val="17"/>
          <w:szCs w:val="17"/>
        </w:rPr>
        <w:t xml:space="preserve"> cada, tendo a imparidade associada àquele crédito na data da sua cessão, no montante de 965 </w:t>
      </w:r>
      <w:proofErr w:type="spellStart"/>
      <w:proofErr w:type="gramStart"/>
      <w:r w:rsidRPr="00107B4D">
        <w:rPr>
          <w:rFonts w:ascii="Verdana" w:hAnsi="Verdana" w:cs="Arial"/>
          <w:sz w:val="17"/>
          <w:szCs w:val="17"/>
        </w:rPr>
        <w:t>m.euros</w:t>
      </w:r>
      <w:proofErr w:type="spellEnd"/>
      <w:proofErr w:type="gramEnd"/>
      <w:r w:rsidRPr="00107B4D">
        <w:rPr>
          <w:rFonts w:ascii="Verdana" w:hAnsi="Verdana" w:cs="Arial"/>
          <w:sz w:val="17"/>
          <w:szCs w:val="17"/>
        </w:rPr>
        <w:t xml:space="preserve">, sido transferida para a participação financeira no fundo. Em 26 de janeiro de 2022 foi efetuado um reforço de capital no montante de 8,1 </w:t>
      </w:r>
      <w:proofErr w:type="spellStart"/>
      <w:proofErr w:type="gramStart"/>
      <w:r w:rsidRPr="00107B4D">
        <w:rPr>
          <w:rFonts w:ascii="Verdana" w:hAnsi="Verdana" w:cs="Arial"/>
          <w:sz w:val="17"/>
          <w:szCs w:val="17"/>
        </w:rPr>
        <w:t>m.euros</w:t>
      </w:r>
      <w:proofErr w:type="spellEnd"/>
      <w:proofErr w:type="gramEnd"/>
      <w:r w:rsidRPr="00107B4D">
        <w:rPr>
          <w:rFonts w:ascii="Verdana" w:hAnsi="Verdana" w:cs="Arial"/>
          <w:sz w:val="17"/>
          <w:szCs w:val="17"/>
        </w:rPr>
        <w:t xml:space="preserve">, e em 21 de novembro de 2022 foi efetuada a devolução do capital realizado, no montante de 32,3 </w:t>
      </w:r>
      <w:proofErr w:type="spellStart"/>
      <w:proofErr w:type="gramStart"/>
      <w:r w:rsidRPr="00107B4D">
        <w:rPr>
          <w:rFonts w:ascii="Verdana" w:hAnsi="Verdana" w:cs="Arial"/>
          <w:sz w:val="17"/>
          <w:szCs w:val="17"/>
        </w:rPr>
        <w:t>m.euros</w:t>
      </w:r>
      <w:proofErr w:type="spellEnd"/>
      <w:proofErr w:type="gramEnd"/>
      <w:r w:rsidRPr="00107B4D">
        <w:rPr>
          <w:rFonts w:ascii="Verdana" w:hAnsi="Verdana" w:cs="Arial"/>
          <w:sz w:val="17"/>
          <w:szCs w:val="17"/>
        </w:rPr>
        <w:t xml:space="preserve">. Em 30 de janeiro de 2023 foi efetuado um reforço de capital no montante de 7,3 </w:t>
      </w:r>
      <w:proofErr w:type="spellStart"/>
      <w:proofErr w:type="gramStart"/>
      <w:r w:rsidRPr="00107B4D">
        <w:rPr>
          <w:rFonts w:ascii="Verdana" w:hAnsi="Verdana" w:cs="Arial"/>
          <w:sz w:val="17"/>
          <w:szCs w:val="17"/>
        </w:rPr>
        <w:t>m.euros</w:t>
      </w:r>
      <w:proofErr w:type="spellEnd"/>
      <w:proofErr w:type="gramEnd"/>
      <w:r w:rsidRPr="00107B4D">
        <w:rPr>
          <w:rFonts w:ascii="Verdana" w:hAnsi="Verdana" w:cs="Arial"/>
          <w:sz w:val="17"/>
          <w:szCs w:val="17"/>
        </w:rPr>
        <w:t xml:space="preserve">, e em 19 de dezembro de 2023 foi efetuada a devolução do capital realizado, no montante de 59,8 </w:t>
      </w:r>
      <w:proofErr w:type="spellStart"/>
      <w:proofErr w:type="gramStart"/>
      <w:r w:rsidRPr="00107B4D">
        <w:rPr>
          <w:rFonts w:ascii="Verdana" w:hAnsi="Verdana" w:cs="Arial"/>
          <w:sz w:val="17"/>
          <w:szCs w:val="17"/>
        </w:rPr>
        <w:t>m.euros</w:t>
      </w:r>
      <w:proofErr w:type="spellEnd"/>
      <w:proofErr w:type="gramEnd"/>
      <w:r w:rsidRPr="00107B4D">
        <w:rPr>
          <w:rFonts w:ascii="Verdana" w:hAnsi="Verdana" w:cs="Arial"/>
          <w:sz w:val="17"/>
          <w:szCs w:val="17"/>
        </w:rPr>
        <w:t xml:space="preserve">. Em 25 de janeiro de 2024 foi efetuado um reforço de capital no montante de 7,4 </w:t>
      </w:r>
      <w:proofErr w:type="spellStart"/>
      <w:proofErr w:type="gramStart"/>
      <w:r w:rsidRPr="00107B4D">
        <w:rPr>
          <w:rFonts w:ascii="Verdana" w:hAnsi="Verdana" w:cs="Arial"/>
          <w:sz w:val="17"/>
          <w:szCs w:val="17"/>
        </w:rPr>
        <w:t>m.euros</w:t>
      </w:r>
      <w:proofErr w:type="spellEnd"/>
      <w:proofErr w:type="gramEnd"/>
      <w:r>
        <w:rPr>
          <w:rFonts w:ascii="Verdana" w:hAnsi="Verdana" w:cs="Arial"/>
          <w:sz w:val="17"/>
          <w:szCs w:val="17"/>
        </w:rPr>
        <w:t xml:space="preserve">. No dia 20 de janeiro </w:t>
      </w:r>
      <w:r w:rsidRPr="00932C38">
        <w:rPr>
          <w:rFonts w:ascii="Verdana" w:hAnsi="Verdana" w:cs="Arial"/>
          <w:sz w:val="17"/>
          <w:szCs w:val="17"/>
        </w:rPr>
        <w:t xml:space="preserve">de 2025 foi efetuado </w:t>
      </w:r>
      <w:r w:rsidRPr="00107B4D">
        <w:rPr>
          <w:rFonts w:ascii="Verdana" w:hAnsi="Verdana" w:cs="Arial"/>
          <w:sz w:val="17"/>
          <w:szCs w:val="17"/>
        </w:rPr>
        <w:t xml:space="preserve">um reforço de capital no montante de </w:t>
      </w:r>
      <w:r>
        <w:rPr>
          <w:rFonts w:ascii="Verdana" w:hAnsi="Verdana" w:cs="Arial"/>
          <w:sz w:val="17"/>
          <w:szCs w:val="17"/>
        </w:rPr>
        <w:t>7</w:t>
      </w:r>
      <w:r w:rsidRPr="00107B4D">
        <w:rPr>
          <w:rFonts w:ascii="Verdana" w:hAnsi="Verdana" w:cs="Arial"/>
          <w:sz w:val="17"/>
          <w:szCs w:val="17"/>
        </w:rPr>
        <w:t>,</w:t>
      </w:r>
      <w:r>
        <w:rPr>
          <w:rFonts w:ascii="Verdana" w:hAnsi="Verdana" w:cs="Arial"/>
          <w:sz w:val="17"/>
          <w:szCs w:val="17"/>
        </w:rPr>
        <w:t>6</w:t>
      </w:r>
      <w:r w:rsidRPr="00107B4D">
        <w:rPr>
          <w:rFonts w:ascii="Verdana" w:hAnsi="Verdana" w:cs="Arial"/>
          <w:sz w:val="17"/>
          <w:szCs w:val="17"/>
        </w:rPr>
        <w:t xml:space="preserve"> </w:t>
      </w:r>
      <w:proofErr w:type="spellStart"/>
      <w:proofErr w:type="gramStart"/>
      <w:r w:rsidRPr="00107B4D">
        <w:rPr>
          <w:rFonts w:ascii="Verdana" w:hAnsi="Verdana" w:cs="Arial"/>
          <w:sz w:val="17"/>
          <w:szCs w:val="17"/>
        </w:rPr>
        <w:t>m.euros</w:t>
      </w:r>
      <w:proofErr w:type="spellEnd"/>
      <w:proofErr w:type="gramEnd"/>
      <w:r>
        <w:rPr>
          <w:rFonts w:ascii="Verdana" w:hAnsi="Verdana" w:cs="Arial"/>
          <w:sz w:val="17"/>
          <w:szCs w:val="17"/>
        </w:rPr>
        <w:t>.</w:t>
      </w:r>
    </w:p>
    <w:p w14:paraId="1D40F477" w14:textId="77777777" w:rsidR="00C82F0D" w:rsidRPr="00107B4D" w:rsidRDefault="00C82F0D" w:rsidP="008779D3">
      <w:pPr>
        <w:tabs>
          <w:tab w:val="left" w:pos="426"/>
          <w:tab w:val="left" w:pos="1276"/>
          <w:tab w:val="right" w:pos="6804"/>
          <w:tab w:val="right" w:pos="7939"/>
        </w:tabs>
        <w:ind w:right="-22"/>
        <w:jc w:val="both"/>
        <w:rPr>
          <w:rFonts w:ascii="Verdana" w:hAnsi="Verdana" w:cs="Arial"/>
          <w:sz w:val="17"/>
          <w:szCs w:val="17"/>
        </w:rPr>
      </w:pPr>
    </w:p>
    <w:p w14:paraId="5FEF383E" w14:textId="77777777" w:rsidR="00C82F0D" w:rsidRPr="00107B4D" w:rsidRDefault="00C82F0D" w:rsidP="00AC53A6">
      <w:pPr>
        <w:tabs>
          <w:tab w:val="left" w:pos="426"/>
          <w:tab w:val="left" w:pos="1276"/>
          <w:tab w:val="right" w:pos="6804"/>
          <w:tab w:val="right" w:pos="7939"/>
        </w:tabs>
        <w:ind w:left="426" w:right="-22"/>
        <w:jc w:val="both"/>
        <w:rPr>
          <w:rFonts w:ascii="Verdana" w:hAnsi="Verdana" w:cs="Arial"/>
          <w:sz w:val="17"/>
          <w:szCs w:val="17"/>
        </w:rPr>
      </w:pPr>
      <w:r w:rsidRPr="00107B4D">
        <w:rPr>
          <w:rFonts w:ascii="Verdana" w:hAnsi="Verdana" w:cs="Arial"/>
          <w:sz w:val="17"/>
          <w:szCs w:val="17"/>
        </w:rPr>
        <w:t xml:space="preserve">Em 20 de junho de 2014, a Parvalorem e o Fundo </w:t>
      </w:r>
      <w:proofErr w:type="spellStart"/>
      <w:r w:rsidRPr="00107B4D">
        <w:rPr>
          <w:rFonts w:ascii="Verdana" w:hAnsi="Verdana" w:cs="Arial"/>
          <w:sz w:val="17"/>
          <w:szCs w:val="17"/>
        </w:rPr>
        <w:t>Aquarius</w:t>
      </w:r>
      <w:proofErr w:type="spellEnd"/>
      <w:r w:rsidRPr="00107B4D">
        <w:rPr>
          <w:rFonts w:ascii="Verdana" w:hAnsi="Verdana" w:cs="Arial"/>
          <w:sz w:val="17"/>
          <w:szCs w:val="17"/>
        </w:rPr>
        <w:t xml:space="preserve"> celebraram um acordo para a cessão do crédito que a Sociedade tinha a receber da entidade </w:t>
      </w:r>
      <w:proofErr w:type="spellStart"/>
      <w:r w:rsidRPr="00107B4D">
        <w:rPr>
          <w:rFonts w:ascii="Verdana" w:hAnsi="Verdana" w:cs="Arial"/>
          <w:sz w:val="17"/>
          <w:szCs w:val="17"/>
        </w:rPr>
        <w:t>Béltico</w:t>
      </w:r>
      <w:proofErr w:type="spellEnd"/>
      <w:r w:rsidRPr="00107B4D">
        <w:rPr>
          <w:rFonts w:ascii="Verdana" w:hAnsi="Verdana" w:cs="Arial"/>
          <w:sz w:val="17"/>
          <w:szCs w:val="17"/>
        </w:rPr>
        <w:t xml:space="preserve"> - Empreendimentos Turísticos, S.A., no montante de 4.311 </w:t>
      </w:r>
      <w:proofErr w:type="spellStart"/>
      <w:proofErr w:type="gramStart"/>
      <w:r w:rsidRPr="00107B4D">
        <w:rPr>
          <w:rFonts w:ascii="Verdana" w:hAnsi="Verdana" w:cs="Arial"/>
          <w:sz w:val="17"/>
          <w:szCs w:val="17"/>
        </w:rPr>
        <w:t>m.euros</w:t>
      </w:r>
      <w:proofErr w:type="spellEnd"/>
      <w:proofErr w:type="gramEnd"/>
      <w:r w:rsidRPr="00107B4D">
        <w:rPr>
          <w:rFonts w:ascii="Verdana" w:hAnsi="Verdana" w:cs="Arial"/>
          <w:sz w:val="17"/>
          <w:szCs w:val="17"/>
        </w:rPr>
        <w:t xml:space="preserve">. As unidades de participação do fundo foram recebidas como contrapartida da cessão dos créditos, tendo a imparidade associada àquele crédito na data da sua cessão, no montante de 2.720 </w:t>
      </w:r>
      <w:proofErr w:type="spellStart"/>
      <w:proofErr w:type="gramStart"/>
      <w:r w:rsidRPr="00107B4D">
        <w:rPr>
          <w:rFonts w:ascii="Verdana" w:hAnsi="Verdana" w:cs="Arial"/>
          <w:sz w:val="17"/>
          <w:szCs w:val="17"/>
        </w:rPr>
        <w:t>m.euros</w:t>
      </w:r>
      <w:proofErr w:type="spellEnd"/>
      <w:proofErr w:type="gramEnd"/>
      <w:r w:rsidRPr="00107B4D">
        <w:rPr>
          <w:rFonts w:ascii="Verdana" w:hAnsi="Verdana" w:cs="Arial"/>
          <w:sz w:val="17"/>
          <w:szCs w:val="17"/>
        </w:rPr>
        <w:t xml:space="preserve">, sido transferida para a participação financeira no fundo. Em 15 de fevereiro de 2022 e 15 de outubro de 2021 foram efetuadas devoluções do capital realizado, no montante de 16 </w:t>
      </w:r>
      <w:proofErr w:type="spellStart"/>
      <w:proofErr w:type="gramStart"/>
      <w:r w:rsidRPr="00107B4D">
        <w:rPr>
          <w:rFonts w:ascii="Verdana" w:hAnsi="Verdana" w:cs="Arial"/>
          <w:sz w:val="17"/>
          <w:szCs w:val="17"/>
        </w:rPr>
        <w:t>m.euros</w:t>
      </w:r>
      <w:proofErr w:type="spellEnd"/>
      <w:proofErr w:type="gramEnd"/>
      <w:r w:rsidRPr="00107B4D">
        <w:rPr>
          <w:rFonts w:ascii="Verdana" w:hAnsi="Verdana" w:cs="Arial"/>
          <w:sz w:val="17"/>
          <w:szCs w:val="17"/>
        </w:rPr>
        <w:t xml:space="preserve"> e 215 </w:t>
      </w:r>
      <w:proofErr w:type="spellStart"/>
      <w:proofErr w:type="gramStart"/>
      <w:r w:rsidRPr="00107B4D">
        <w:rPr>
          <w:rFonts w:ascii="Verdana" w:hAnsi="Verdana" w:cs="Arial"/>
          <w:sz w:val="17"/>
          <w:szCs w:val="17"/>
        </w:rPr>
        <w:t>m.euros</w:t>
      </w:r>
      <w:proofErr w:type="spellEnd"/>
      <w:proofErr w:type="gramEnd"/>
      <w:r w:rsidRPr="00107B4D">
        <w:rPr>
          <w:rFonts w:ascii="Verdana" w:hAnsi="Verdana" w:cs="Arial"/>
          <w:sz w:val="17"/>
          <w:szCs w:val="17"/>
        </w:rPr>
        <w:t xml:space="preserve">, respetivamente. Em 13 de dezembro de 2023 foi efetuada devolução do capital realizado, no montante de 438 </w:t>
      </w:r>
      <w:proofErr w:type="spellStart"/>
      <w:proofErr w:type="gramStart"/>
      <w:r w:rsidRPr="00107B4D">
        <w:rPr>
          <w:rFonts w:ascii="Verdana" w:hAnsi="Verdana" w:cs="Arial"/>
          <w:sz w:val="17"/>
          <w:szCs w:val="17"/>
        </w:rPr>
        <w:t>m.euros</w:t>
      </w:r>
      <w:proofErr w:type="spellEnd"/>
      <w:proofErr w:type="gramEnd"/>
      <w:r w:rsidRPr="00107B4D">
        <w:rPr>
          <w:rFonts w:ascii="Verdana" w:hAnsi="Verdana" w:cs="Arial"/>
          <w:sz w:val="17"/>
          <w:szCs w:val="17"/>
        </w:rPr>
        <w:t xml:space="preserve">. Em 25 de junho de 2024 e 20 de dezembro de 2024 foram efetuadas devoluções do capital realizado, no montante de 360 </w:t>
      </w:r>
      <w:proofErr w:type="spellStart"/>
      <w:proofErr w:type="gramStart"/>
      <w:r w:rsidRPr="00107B4D">
        <w:rPr>
          <w:rFonts w:ascii="Verdana" w:hAnsi="Verdana" w:cs="Arial"/>
          <w:sz w:val="17"/>
          <w:szCs w:val="17"/>
        </w:rPr>
        <w:t>m.euros</w:t>
      </w:r>
      <w:proofErr w:type="spellEnd"/>
      <w:proofErr w:type="gramEnd"/>
      <w:r w:rsidRPr="00107B4D">
        <w:rPr>
          <w:rFonts w:ascii="Verdana" w:hAnsi="Verdana" w:cs="Arial"/>
          <w:sz w:val="17"/>
          <w:szCs w:val="17"/>
        </w:rPr>
        <w:t xml:space="preserve"> e 210 </w:t>
      </w:r>
      <w:proofErr w:type="spellStart"/>
      <w:proofErr w:type="gramStart"/>
      <w:r w:rsidRPr="00107B4D">
        <w:rPr>
          <w:rFonts w:ascii="Verdana" w:hAnsi="Verdana" w:cs="Arial"/>
          <w:sz w:val="17"/>
          <w:szCs w:val="17"/>
        </w:rPr>
        <w:t>m.euros</w:t>
      </w:r>
      <w:proofErr w:type="spellEnd"/>
      <w:proofErr w:type="gramEnd"/>
      <w:r w:rsidRPr="00107B4D">
        <w:rPr>
          <w:rFonts w:ascii="Verdana" w:hAnsi="Verdana" w:cs="Arial"/>
          <w:sz w:val="17"/>
          <w:szCs w:val="17"/>
        </w:rPr>
        <w:t>, respetivamente.</w:t>
      </w:r>
      <w:r>
        <w:rPr>
          <w:rFonts w:ascii="Verdana" w:hAnsi="Verdana" w:cs="Arial"/>
          <w:sz w:val="17"/>
          <w:szCs w:val="17"/>
        </w:rPr>
        <w:t xml:space="preserve"> </w:t>
      </w:r>
      <w:r w:rsidRPr="00932C38">
        <w:rPr>
          <w:rFonts w:ascii="Verdana" w:hAnsi="Verdana" w:cs="Arial"/>
          <w:sz w:val="17"/>
          <w:szCs w:val="17"/>
        </w:rPr>
        <w:t>No</w:t>
      </w:r>
      <w:r>
        <w:rPr>
          <w:rFonts w:ascii="Verdana" w:hAnsi="Verdana" w:cs="Arial"/>
          <w:sz w:val="17"/>
          <w:szCs w:val="17"/>
        </w:rPr>
        <w:t xml:space="preserve"> dia 6 de janeiro </w:t>
      </w:r>
      <w:r w:rsidRPr="00932C38">
        <w:rPr>
          <w:rFonts w:ascii="Verdana" w:hAnsi="Verdana" w:cs="Arial"/>
          <w:sz w:val="17"/>
          <w:szCs w:val="17"/>
        </w:rPr>
        <w:t xml:space="preserve">de 2025 </w:t>
      </w:r>
      <w:r w:rsidRPr="00107B4D">
        <w:rPr>
          <w:rFonts w:ascii="Verdana" w:hAnsi="Verdana" w:cs="Arial"/>
          <w:sz w:val="17"/>
          <w:szCs w:val="17"/>
        </w:rPr>
        <w:t>fo</w:t>
      </w:r>
      <w:r>
        <w:rPr>
          <w:rFonts w:ascii="Verdana" w:hAnsi="Verdana" w:cs="Arial"/>
          <w:sz w:val="17"/>
          <w:szCs w:val="17"/>
        </w:rPr>
        <w:t>i</w:t>
      </w:r>
      <w:r w:rsidRPr="00107B4D">
        <w:rPr>
          <w:rFonts w:ascii="Verdana" w:hAnsi="Verdana" w:cs="Arial"/>
          <w:sz w:val="17"/>
          <w:szCs w:val="17"/>
        </w:rPr>
        <w:t xml:space="preserve"> efetuada </w:t>
      </w:r>
      <w:r>
        <w:rPr>
          <w:rFonts w:ascii="Verdana" w:hAnsi="Verdana" w:cs="Arial"/>
          <w:sz w:val="17"/>
          <w:szCs w:val="17"/>
        </w:rPr>
        <w:t xml:space="preserve">uma </w:t>
      </w:r>
      <w:r w:rsidRPr="00107B4D">
        <w:rPr>
          <w:rFonts w:ascii="Verdana" w:hAnsi="Verdana" w:cs="Arial"/>
          <w:sz w:val="17"/>
          <w:szCs w:val="17"/>
        </w:rPr>
        <w:t>devoluç</w:t>
      </w:r>
      <w:r>
        <w:rPr>
          <w:rFonts w:ascii="Verdana" w:hAnsi="Verdana" w:cs="Arial"/>
          <w:sz w:val="17"/>
          <w:szCs w:val="17"/>
        </w:rPr>
        <w:t>ão</w:t>
      </w:r>
      <w:r w:rsidRPr="00107B4D">
        <w:rPr>
          <w:rFonts w:ascii="Verdana" w:hAnsi="Verdana" w:cs="Arial"/>
          <w:sz w:val="17"/>
          <w:szCs w:val="17"/>
        </w:rPr>
        <w:t xml:space="preserve"> do capital realizado</w:t>
      </w:r>
      <w:r>
        <w:rPr>
          <w:rFonts w:ascii="Verdana" w:hAnsi="Verdana" w:cs="Arial"/>
          <w:sz w:val="17"/>
          <w:szCs w:val="17"/>
        </w:rPr>
        <w:t xml:space="preserve">, no montante de </w:t>
      </w:r>
      <w:r w:rsidRPr="00932C38">
        <w:rPr>
          <w:rFonts w:ascii="Verdana" w:hAnsi="Verdana" w:cs="Arial"/>
          <w:sz w:val="17"/>
          <w:szCs w:val="17"/>
        </w:rPr>
        <w:t>52</w:t>
      </w:r>
      <w:r>
        <w:rPr>
          <w:rFonts w:ascii="Verdana" w:hAnsi="Verdana" w:cs="Arial"/>
          <w:sz w:val="17"/>
          <w:szCs w:val="17"/>
        </w:rPr>
        <w:t xml:space="preserve">6 </w:t>
      </w:r>
      <w:proofErr w:type="spellStart"/>
      <w:proofErr w:type="gramStart"/>
      <w:r w:rsidRPr="00932C38">
        <w:rPr>
          <w:rFonts w:ascii="Verdana" w:hAnsi="Verdana" w:cs="Arial"/>
          <w:sz w:val="17"/>
          <w:szCs w:val="17"/>
        </w:rPr>
        <w:t>m.euros</w:t>
      </w:r>
      <w:proofErr w:type="spellEnd"/>
      <w:proofErr w:type="gramEnd"/>
      <w:r>
        <w:rPr>
          <w:rFonts w:ascii="Verdana" w:hAnsi="Verdana" w:cs="Arial"/>
          <w:sz w:val="17"/>
          <w:szCs w:val="17"/>
        </w:rPr>
        <w:t>.</w:t>
      </w:r>
    </w:p>
    <w:p w14:paraId="774D9982" w14:textId="77777777" w:rsidR="00C82F0D" w:rsidRPr="00107B4D" w:rsidRDefault="00C82F0D" w:rsidP="00EC51C7">
      <w:pPr>
        <w:tabs>
          <w:tab w:val="left" w:pos="426"/>
          <w:tab w:val="left" w:pos="1276"/>
          <w:tab w:val="right" w:pos="6804"/>
          <w:tab w:val="right" w:pos="7939"/>
        </w:tabs>
        <w:ind w:right="-22"/>
        <w:jc w:val="both"/>
        <w:rPr>
          <w:rFonts w:ascii="Verdana" w:hAnsi="Verdana" w:cs="Arial"/>
          <w:sz w:val="17"/>
          <w:szCs w:val="17"/>
        </w:rPr>
      </w:pPr>
    </w:p>
    <w:p w14:paraId="7706FB25" w14:textId="77777777" w:rsidR="00C82F0D" w:rsidRPr="00107B4D" w:rsidRDefault="00C82F0D" w:rsidP="004B7C73">
      <w:pPr>
        <w:tabs>
          <w:tab w:val="left" w:pos="426"/>
          <w:tab w:val="left" w:pos="1276"/>
          <w:tab w:val="right" w:pos="6804"/>
          <w:tab w:val="right" w:pos="7939"/>
        </w:tabs>
        <w:ind w:left="426" w:right="-22"/>
        <w:jc w:val="both"/>
        <w:rPr>
          <w:rFonts w:ascii="Verdana" w:hAnsi="Verdana" w:cs="Arial"/>
          <w:sz w:val="17"/>
          <w:szCs w:val="17"/>
        </w:rPr>
      </w:pPr>
      <w:r w:rsidRPr="00107B4D">
        <w:rPr>
          <w:rFonts w:ascii="Verdana" w:hAnsi="Verdana" w:cs="Arial"/>
          <w:sz w:val="17"/>
          <w:szCs w:val="17"/>
        </w:rPr>
        <w:t>O Fundo de Compensação de Trabalho (FCT) é obrigatório para contratos iniciados a partir de 1 de outubro 2013 e visa garantir o pagamento até metade das compensações devidas por cessação de contrato de trabalho. O valor de contribuição da entidade empregadora é de 0,925% da retribuição base e diuturnidades devidas a cada trabalhador abrangido. A partir de maio de 2023 as contribuições para o FCT deixaram se ser aplicáveis pelo que a Sociedade deixou de efetuar entrega. O montante registado nesta rubrica diz assim respeito às contribuições acumuladas para o Fundo de Compensação do Trabalho.</w:t>
      </w:r>
    </w:p>
    <w:p w14:paraId="61DDC26F" w14:textId="77777777" w:rsidR="00C82F0D" w:rsidRPr="00107B4D" w:rsidRDefault="00C82F0D" w:rsidP="00EC51C7">
      <w:pPr>
        <w:tabs>
          <w:tab w:val="left" w:pos="426"/>
          <w:tab w:val="left" w:pos="1276"/>
          <w:tab w:val="right" w:pos="6804"/>
          <w:tab w:val="right" w:pos="7939"/>
        </w:tabs>
        <w:ind w:right="-22"/>
        <w:jc w:val="both"/>
        <w:rPr>
          <w:rFonts w:ascii="Verdana" w:hAnsi="Verdana" w:cs="Arial"/>
          <w:sz w:val="17"/>
          <w:szCs w:val="17"/>
        </w:rPr>
      </w:pPr>
    </w:p>
    <w:p w14:paraId="1379103E" w14:textId="4F6CE706" w:rsidR="00C82F0D" w:rsidRDefault="00C82F0D" w:rsidP="00375E8E">
      <w:pPr>
        <w:tabs>
          <w:tab w:val="left" w:pos="426"/>
          <w:tab w:val="left" w:pos="1276"/>
          <w:tab w:val="right" w:pos="6804"/>
          <w:tab w:val="right" w:pos="7939"/>
        </w:tabs>
        <w:ind w:left="426" w:right="-22"/>
        <w:jc w:val="both"/>
        <w:rPr>
          <w:rFonts w:ascii="Verdana" w:hAnsi="Verdana" w:cs="Arial"/>
          <w:sz w:val="17"/>
          <w:szCs w:val="17"/>
        </w:rPr>
      </w:pPr>
      <w:r w:rsidRPr="00107B4D">
        <w:rPr>
          <w:rFonts w:ascii="Verdana" w:hAnsi="Verdana" w:cs="Arial"/>
          <w:sz w:val="17"/>
          <w:szCs w:val="17"/>
        </w:rPr>
        <w:t>No exercício de 202</w:t>
      </w:r>
      <w:r>
        <w:rPr>
          <w:rFonts w:ascii="Verdana" w:hAnsi="Verdana" w:cs="Arial"/>
          <w:sz w:val="17"/>
          <w:szCs w:val="17"/>
        </w:rPr>
        <w:t>5</w:t>
      </w:r>
      <w:r w:rsidRPr="00107B4D">
        <w:rPr>
          <w:rFonts w:ascii="Verdana" w:hAnsi="Verdana" w:cs="Arial"/>
          <w:sz w:val="17"/>
          <w:szCs w:val="17"/>
        </w:rPr>
        <w:t xml:space="preserve">, a Sociedade procedeu a </w:t>
      </w:r>
      <w:r w:rsidR="00E4697A">
        <w:rPr>
          <w:rFonts w:ascii="Verdana" w:hAnsi="Verdana" w:cs="Arial"/>
          <w:sz w:val="17"/>
          <w:szCs w:val="17"/>
        </w:rPr>
        <w:t>dois</w:t>
      </w:r>
      <w:r w:rsidRPr="00107B4D">
        <w:rPr>
          <w:rFonts w:ascii="Verdana" w:hAnsi="Verdana" w:cs="Arial"/>
          <w:sz w:val="17"/>
          <w:szCs w:val="17"/>
        </w:rPr>
        <w:t xml:space="preserve"> resgate</w:t>
      </w:r>
      <w:r w:rsidR="00E4697A">
        <w:rPr>
          <w:rFonts w:ascii="Verdana" w:hAnsi="Verdana" w:cs="Arial"/>
          <w:sz w:val="17"/>
          <w:szCs w:val="17"/>
        </w:rPr>
        <w:t>s</w:t>
      </w:r>
      <w:r w:rsidRPr="00107B4D">
        <w:rPr>
          <w:rFonts w:ascii="Verdana" w:hAnsi="Verdana" w:cs="Arial"/>
          <w:sz w:val="17"/>
          <w:szCs w:val="17"/>
        </w:rPr>
        <w:t xml:space="preserve"> da participação no </w:t>
      </w:r>
      <w:r w:rsidR="00E4697A">
        <w:rPr>
          <w:rFonts w:ascii="Verdana" w:hAnsi="Verdana" w:cs="Arial"/>
          <w:sz w:val="17"/>
          <w:szCs w:val="17"/>
        </w:rPr>
        <w:t>Fundo</w:t>
      </w:r>
      <w:r w:rsidR="00E4697A" w:rsidRPr="00107B4D">
        <w:rPr>
          <w:rFonts w:ascii="Verdana" w:hAnsi="Verdana" w:cs="Arial"/>
          <w:sz w:val="17"/>
          <w:szCs w:val="17"/>
        </w:rPr>
        <w:t xml:space="preserve"> </w:t>
      </w:r>
      <w:r w:rsidRPr="00107B4D">
        <w:rPr>
          <w:rFonts w:ascii="Verdana" w:hAnsi="Verdana" w:cs="Arial"/>
          <w:sz w:val="17"/>
          <w:szCs w:val="17"/>
        </w:rPr>
        <w:t xml:space="preserve">de Investimento Imobiliário Aberto </w:t>
      </w:r>
      <w:proofErr w:type="spellStart"/>
      <w:r w:rsidRPr="00107B4D">
        <w:rPr>
          <w:rFonts w:ascii="Verdana" w:hAnsi="Verdana" w:cs="Arial"/>
          <w:sz w:val="17"/>
          <w:szCs w:val="17"/>
        </w:rPr>
        <w:t>Imonegócios</w:t>
      </w:r>
      <w:proofErr w:type="spellEnd"/>
      <w:r w:rsidRPr="00107B4D">
        <w:rPr>
          <w:rFonts w:ascii="Verdana" w:hAnsi="Verdana" w:cs="Arial"/>
          <w:sz w:val="17"/>
          <w:szCs w:val="17"/>
        </w:rPr>
        <w:t xml:space="preserve"> no valor de</w:t>
      </w:r>
      <w:r>
        <w:rPr>
          <w:rFonts w:ascii="Verdana" w:hAnsi="Verdana" w:cs="Arial"/>
          <w:sz w:val="17"/>
          <w:szCs w:val="17"/>
        </w:rPr>
        <w:t xml:space="preserve"> 30</w:t>
      </w:r>
      <w:r w:rsidRPr="00107B4D">
        <w:rPr>
          <w:rFonts w:ascii="Verdana" w:hAnsi="Verdana" w:cs="Arial"/>
          <w:sz w:val="17"/>
          <w:szCs w:val="17"/>
        </w:rPr>
        <w:t>.</w:t>
      </w:r>
      <w:r w:rsidR="00E4697A">
        <w:rPr>
          <w:rFonts w:ascii="Verdana" w:hAnsi="Verdana" w:cs="Arial"/>
          <w:sz w:val="17"/>
          <w:szCs w:val="17"/>
        </w:rPr>
        <w:t>000</w:t>
      </w:r>
      <w:r w:rsidRPr="00107B4D">
        <w:rPr>
          <w:rFonts w:ascii="Verdana" w:hAnsi="Verdana" w:cs="Arial"/>
          <w:sz w:val="17"/>
          <w:szCs w:val="17"/>
        </w:rPr>
        <w:t xml:space="preserve"> </w:t>
      </w:r>
      <w:proofErr w:type="spellStart"/>
      <w:proofErr w:type="gramStart"/>
      <w:r w:rsidRPr="00107B4D">
        <w:rPr>
          <w:rFonts w:ascii="Verdana" w:hAnsi="Verdana" w:cs="Arial"/>
          <w:sz w:val="17"/>
          <w:szCs w:val="17"/>
        </w:rPr>
        <w:t>m.euros</w:t>
      </w:r>
      <w:proofErr w:type="spellEnd"/>
      <w:proofErr w:type="gramEnd"/>
      <w:r w:rsidRPr="00107B4D">
        <w:rPr>
          <w:rFonts w:ascii="Verdana" w:hAnsi="Verdana" w:cs="Arial"/>
          <w:sz w:val="17"/>
          <w:szCs w:val="17"/>
        </w:rPr>
        <w:t xml:space="preserve">. </w:t>
      </w:r>
    </w:p>
    <w:p w14:paraId="2670CDED" w14:textId="77777777" w:rsidR="00C82F0D" w:rsidRDefault="00C82F0D" w:rsidP="00375E8E">
      <w:pPr>
        <w:tabs>
          <w:tab w:val="left" w:pos="426"/>
          <w:tab w:val="left" w:pos="1276"/>
          <w:tab w:val="right" w:pos="6804"/>
          <w:tab w:val="right" w:pos="7939"/>
        </w:tabs>
        <w:ind w:left="426" w:right="-22"/>
        <w:jc w:val="both"/>
        <w:rPr>
          <w:rFonts w:ascii="Verdana" w:hAnsi="Verdana" w:cs="Arial"/>
          <w:sz w:val="17"/>
          <w:szCs w:val="17"/>
        </w:rPr>
      </w:pPr>
    </w:p>
    <w:p w14:paraId="5098C7CD" w14:textId="77777777" w:rsidR="00C82F0D" w:rsidRPr="00107B4D" w:rsidRDefault="00C82F0D" w:rsidP="00633A3B">
      <w:pPr>
        <w:tabs>
          <w:tab w:val="left" w:pos="426"/>
          <w:tab w:val="left" w:pos="1276"/>
          <w:tab w:val="right" w:pos="6804"/>
          <w:tab w:val="right" w:pos="7939"/>
        </w:tabs>
        <w:ind w:left="426" w:right="-22"/>
        <w:jc w:val="both"/>
        <w:rPr>
          <w:rFonts w:ascii="Verdana" w:hAnsi="Verdana" w:cs="Arial"/>
          <w:sz w:val="17"/>
          <w:szCs w:val="17"/>
        </w:rPr>
      </w:pPr>
      <w:r w:rsidRPr="00107B4D">
        <w:rPr>
          <w:rFonts w:ascii="Verdana" w:hAnsi="Verdana" w:cs="Arial"/>
          <w:sz w:val="17"/>
          <w:szCs w:val="17"/>
        </w:rPr>
        <w:t>Em 31 de dezembro de 202</w:t>
      </w:r>
      <w:r>
        <w:rPr>
          <w:rFonts w:ascii="Verdana" w:hAnsi="Verdana" w:cs="Arial"/>
          <w:sz w:val="17"/>
          <w:szCs w:val="17"/>
        </w:rPr>
        <w:t>5</w:t>
      </w:r>
      <w:r w:rsidRPr="00107B4D">
        <w:rPr>
          <w:rFonts w:ascii="Verdana" w:hAnsi="Verdana" w:cs="Arial"/>
          <w:sz w:val="17"/>
          <w:szCs w:val="17"/>
        </w:rPr>
        <w:t xml:space="preserve">, a rubrica “Participações financeiras” apresenta o seguinte detalhe: </w:t>
      </w:r>
    </w:p>
    <w:p w14:paraId="1035E0FD" w14:textId="77777777" w:rsidR="00C82F0D" w:rsidRPr="00107B4D" w:rsidRDefault="00C82F0D" w:rsidP="00633A3B">
      <w:pPr>
        <w:tabs>
          <w:tab w:val="left" w:pos="426"/>
          <w:tab w:val="left" w:pos="1276"/>
          <w:tab w:val="right" w:pos="6804"/>
          <w:tab w:val="right" w:pos="7939"/>
        </w:tabs>
        <w:ind w:left="426" w:right="-22"/>
        <w:jc w:val="both"/>
        <w:rPr>
          <w:rFonts w:ascii="Verdana" w:hAnsi="Verdana" w:cs="Arial"/>
          <w:sz w:val="17"/>
          <w:szCs w:val="17"/>
        </w:rPr>
      </w:pPr>
    </w:p>
    <w:p w14:paraId="7E04F165" w14:textId="77777777" w:rsidR="00C82F0D" w:rsidRPr="00107B4D" w:rsidRDefault="00C82F0D" w:rsidP="00633A3B">
      <w:pPr>
        <w:tabs>
          <w:tab w:val="left" w:pos="426"/>
          <w:tab w:val="left" w:pos="1276"/>
          <w:tab w:val="right" w:pos="6804"/>
          <w:tab w:val="right" w:pos="7939"/>
        </w:tabs>
        <w:ind w:left="426" w:right="-22"/>
        <w:jc w:val="both"/>
        <w:rPr>
          <w:rFonts w:ascii="Verdana" w:hAnsi="Verdana" w:cs="Arial"/>
          <w:sz w:val="17"/>
          <w:szCs w:val="17"/>
        </w:rPr>
      </w:pPr>
      <w:r w:rsidRPr="00984619">
        <w:rPr>
          <w:noProof/>
        </w:rPr>
        <w:drawing>
          <wp:inline distT="0" distB="0" distL="0" distR="0" wp14:anchorId="017671EE" wp14:editId="37FD5941">
            <wp:extent cx="5023757" cy="1343633"/>
            <wp:effectExtent l="0" t="0" r="5715" b="9525"/>
            <wp:docPr id="6156455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051438" cy="1351036"/>
                    </a:xfrm>
                    <a:prstGeom prst="rect">
                      <a:avLst/>
                    </a:prstGeom>
                    <a:noFill/>
                    <a:ln>
                      <a:noFill/>
                    </a:ln>
                  </pic:spPr>
                </pic:pic>
              </a:graphicData>
            </a:graphic>
          </wp:inline>
        </w:drawing>
      </w:r>
      <w:r w:rsidRPr="00107B4D">
        <w:rPr>
          <w:rFonts w:ascii="Verdana" w:hAnsi="Verdana" w:cs="Arial"/>
          <w:sz w:val="17"/>
          <w:szCs w:val="17"/>
        </w:rPr>
        <w:t xml:space="preserve"> </w:t>
      </w:r>
    </w:p>
    <w:p w14:paraId="1EADA555" w14:textId="77777777" w:rsidR="00C82F0D" w:rsidRPr="00107B4D" w:rsidRDefault="00C82F0D" w:rsidP="00633A3B">
      <w:pPr>
        <w:tabs>
          <w:tab w:val="left" w:pos="426"/>
          <w:tab w:val="left" w:pos="1276"/>
          <w:tab w:val="right" w:pos="6804"/>
          <w:tab w:val="right" w:pos="7939"/>
        </w:tabs>
        <w:ind w:left="426" w:right="-22"/>
        <w:jc w:val="both"/>
        <w:rPr>
          <w:rFonts w:ascii="Verdana" w:hAnsi="Verdana" w:cs="Arial"/>
          <w:sz w:val="17"/>
          <w:szCs w:val="17"/>
        </w:rPr>
      </w:pPr>
      <w:r w:rsidRPr="00107B4D">
        <w:rPr>
          <w:rFonts w:ascii="Verdana" w:hAnsi="Verdana" w:cs="Arial"/>
          <w:sz w:val="17"/>
          <w:szCs w:val="17"/>
        </w:rPr>
        <w:t xml:space="preserve"> </w:t>
      </w:r>
    </w:p>
    <w:p w14:paraId="06AC6840" w14:textId="77777777" w:rsidR="00C82F0D" w:rsidRPr="00107B4D" w:rsidRDefault="00C82F0D" w:rsidP="00633A3B">
      <w:pPr>
        <w:tabs>
          <w:tab w:val="left" w:pos="426"/>
          <w:tab w:val="left" w:pos="1276"/>
          <w:tab w:val="right" w:pos="6804"/>
          <w:tab w:val="right" w:pos="7939"/>
        </w:tabs>
        <w:ind w:left="426" w:right="-22"/>
        <w:jc w:val="both"/>
        <w:rPr>
          <w:rFonts w:ascii="Verdana" w:hAnsi="Verdana" w:cs="Arial"/>
          <w:sz w:val="17"/>
          <w:szCs w:val="17"/>
        </w:rPr>
      </w:pPr>
      <w:r w:rsidRPr="00107B4D">
        <w:rPr>
          <w:rFonts w:ascii="Verdana" w:hAnsi="Verdana" w:cs="Arial"/>
          <w:sz w:val="17"/>
          <w:szCs w:val="17"/>
        </w:rPr>
        <w:t>Em 31 de dezembro de 202</w:t>
      </w:r>
      <w:r>
        <w:rPr>
          <w:rFonts w:ascii="Verdana" w:hAnsi="Verdana" w:cs="Arial"/>
          <w:sz w:val="17"/>
          <w:szCs w:val="17"/>
        </w:rPr>
        <w:t>5</w:t>
      </w:r>
      <w:r w:rsidRPr="00107B4D">
        <w:rPr>
          <w:rFonts w:ascii="Verdana" w:hAnsi="Verdana" w:cs="Arial"/>
          <w:sz w:val="17"/>
          <w:szCs w:val="17"/>
        </w:rPr>
        <w:t xml:space="preserve"> e 202</w:t>
      </w:r>
      <w:r>
        <w:rPr>
          <w:rFonts w:ascii="Verdana" w:hAnsi="Verdana" w:cs="Arial"/>
          <w:sz w:val="17"/>
          <w:szCs w:val="17"/>
        </w:rPr>
        <w:t>4</w:t>
      </w:r>
      <w:r w:rsidRPr="00107B4D">
        <w:rPr>
          <w:rFonts w:ascii="Verdana" w:hAnsi="Verdana" w:cs="Arial"/>
          <w:sz w:val="17"/>
          <w:szCs w:val="17"/>
        </w:rPr>
        <w:t xml:space="preserve">, o valor das participações do Fundo </w:t>
      </w:r>
      <w:proofErr w:type="spellStart"/>
      <w:r w:rsidRPr="00107B4D">
        <w:rPr>
          <w:rFonts w:ascii="Verdana" w:hAnsi="Verdana" w:cs="Arial"/>
          <w:sz w:val="17"/>
          <w:szCs w:val="17"/>
        </w:rPr>
        <w:t>Imonegócios</w:t>
      </w:r>
      <w:proofErr w:type="spellEnd"/>
      <w:r w:rsidRPr="00107B4D">
        <w:rPr>
          <w:rFonts w:ascii="Verdana" w:hAnsi="Verdana" w:cs="Arial"/>
          <w:sz w:val="17"/>
          <w:szCs w:val="17"/>
        </w:rPr>
        <w:t xml:space="preserve">, Vega e do Fundo </w:t>
      </w:r>
      <w:proofErr w:type="spellStart"/>
      <w:r w:rsidRPr="00107B4D">
        <w:rPr>
          <w:rFonts w:ascii="Verdana" w:hAnsi="Verdana" w:cs="Arial"/>
          <w:sz w:val="17"/>
          <w:szCs w:val="17"/>
        </w:rPr>
        <w:t>Aquarius</w:t>
      </w:r>
      <w:proofErr w:type="spellEnd"/>
      <w:r w:rsidRPr="00107B4D">
        <w:rPr>
          <w:rFonts w:ascii="Verdana" w:hAnsi="Verdana" w:cs="Arial"/>
          <w:sz w:val="17"/>
          <w:szCs w:val="17"/>
        </w:rPr>
        <w:t xml:space="preserve"> refletem integralmente o valor do NAV calculado pelas sociedades gestoras.</w:t>
      </w:r>
    </w:p>
    <w:p w14:paraId="1F2825D6" w14:textId="77777777" w:rsidR="00C82F0D" w:rsidRPr="00107B4D" w:rsidRDefault="00C82F0D" w:rsidP="00633A3B">
      <w:pPr>
        <w:tabs>
          <w:tab w:val="left" w:pos="426"/>
          <w:tab w:val="left" w:pos="1276"/>
          <w:tab w:val="right" w:pos="6804"/>
          <w:tab w:val="right" w:pos="7939"/>
        </w:tabs>
        <w:ind w:left="426" w:right="-22"/>
        <w:jc w:val="both"/>
        <w:rPr>
          <w:rFonts w:ascii="Verdana" w:hAnsi="Verdana" w:cs="Arial"/>
          <w:sz w:val="17"/>
          <w:szCs w:val="17"/>
        </w:rPr>
      </w:pPr>
    </w:p>
    <w:p w14:paraId="62403A43" w14:textId="77777777" w:rsidR="00C82F0D" w:rsidRPr="00EC51C7" w:rsidRDefault="00C82F0D" w:rsidP="00EC51C7">
      <w:pPr>
        <w:tabs>
          <w:tab w:val="left" w:pos="426"/>
          <w:tab w:val="left" w:pos="1276"/>
          <w:tab w:val="right" w:pos="6804"/>
          <w:tab w:val="right" w:pos="7939"/>
        </w:tabs>
        <w:ind w:left="426" w:right="-22"/>
        <w:jc w:val="both"/>
        <w:rPr>
          <w:rFonts w:ascii="Verdana" w:hAnsi="Verdana"/>
          <w:sz w:val="17"/>
          <w:szCs w:val="17"/>
        </w:rPr>
      </w:pPr>
      <w:r w:rsidRPr="00107B4D">
        <w:rPr>
          <w:rFonts w:ascii="Verdana" w:hAnsi="Verdana"/>
          <w:sz w:val="17"/>
          <w:szCs w:val="17"/>
        </w:rPr>
        <w:t>Em 31 de dezembro de 202</w:t>
      </w:r>
      <w:r>
        <w:rPr>
          <w:rFonts w:ascii="Verdana" w:hAnsi="Verdana"/>
          <w:sz w:val="17"/>
          <w:szCs w:val="17"/>
        </w:rPr>
        <w:t>5</w:t>
      </w:r>
      <w:r w:rsidRPr="00107B4D">
        <w:rPr>
          <w:rFonts w:ascii="Verdana" w:hAnsi="Verdana"/>
          <w:sz w:val="17"/>
          <w:szCs w:val="17"/>
        </w:rPr>
        <w:t xml:space="preserve"> e 202</w:t>
      </w:r>
      <w:r>
        <w:rPr>
          <w:rFonts w:ascii="Verdana" w:hAnsi="Verdana"/>
          <w:sz w:val="17"/>
          <w:szCs w:val="17"/>
        </w:rPr>
        <w:t>4</w:t>
      </w:r>
      <w:r w:rsidRPr="00107B4D">
        <w:rPr>
          <w:rFonts w:ascii="Verdana" w:hAnsi="Verdana"/>
          <w:sz w:val="17"/>
          <w:szCs w:val="17"/>
        </w:rPr>
        <w:t xml:space="preserve">, o justo valor das unidades de participação detidas na </w:t>
      </w:r>
      <w:proofErr w:type="spellStart"/>
      <w:r w:rsidRPr="00107B4D">
        <w:rPr>
          <w:rFonts w:ascii="Verdana" w:hAnsi="Verdana"/>
          <w:sz w:val="17"/>
          <w:szCs w:val="17"/>
        </w:rPr>
        <w:t>Nexponor</w:t>
      </w:r>
      <w:proofErr w:type="spellEnd"/>
      <w:r w:rsidRPr="00107B4D">
        <w:rPr>
          <w:rFonts w:ascii="Verdana" w:hAnsi="Verdana"/>
          <w:sz w:val="17"/>
          <w:szCs w:val="17"/>
        </w:rPr>
        <w:t xml:space="preserve"> foi determinado com base no valor por unidade auditado e divulgado àquelas datas, </w:t>
      </w:r>
      <w:r w:rsidRPr="00EC51C7">
        <w:rPr>
          <w:rFonts w:ascii="Verdana" w:hAnsi="Verdana"/>
          <w:sz w:val="17"/>
          <w:szCs w:val="17"/>
        </w:rPr>
        <w:t xml:space="preserve">tendo, no caso de 2024, sido aplicado um </w:t>
      </w:r>
      <w:proofErr w:type="spellStart"/>
      <w:r w:rsidRPr="00EC51C7">
        <w:rPr>
          <w:rFonts w:ascii="Verdana" w:hAnsi="Verdana"/>
          <w:sz w:val="17"/>
          <w:szCs w:val="17"/>
        </w:rPr>
        <w:t>haircut</w:t>
      </w:r>
      <w:proofErr w:type="spellEnd"/>
      <w:r w:rsidRPr="00EC51C7">
        <w:rPr>
          <w:rFonts w:ascii="Verdana" w:hAnsi="Verdana"/>
          <w:sz w:val="17"/>
          <w:szCs w:val="17"/>
        </w:rPr>
        <w:t xml:space="preserve"> de 50%.</w:t>
      </w:r>
    </w:p>
    <w:p w14:paraId="55080D08" w14:textId="77777777" w:rsidR="00C82F0D" w:rsidRPr="00107B4D" w:rsidRDefault="00C82F0D" w:rsidP="00633A3B">
      <w:pPr>
        <w:tabs>
          <w:tab w:val="left" w:pos="426"/>
          <w:tab w:val="left" w:pos="1276"/>
          <w:tab w:val="right" w:pos="6804"/>
          <w:tab w:val="right" w:pos="7939"/>
        </w:tabs>
        <w:ind w:left="426" w:right="-22"/>
        <w:jc w:val="both"/>
        <w:rPr>
          <w:rFonts w:ascii="Verdana" w:hAnsi="Verdana"/>
          <w:sz w:val="17"/>
          <w:szCs w:val="17"/>
        </w:rPr>
      </w:pPr>
    </w:p>
    <w:p w14:paraId="30E8CCF1" w14:textId="77777777" w:rsidR="00C82F0D" w:rsidRPr="00107B4D" w:rsidRDefault="00C82F0D" w:rsidP="00633A3B">
      <w:pPr>
        <w:tabs>
          <w:tab w:val="left" w:pos="426"/>
          <w:tab w:val="left" w:pos="1276"/>
          <w:tab w:val="right" w:pos="6804"/>
          <w:tab w:val="right" w:pos="7939"/>
        </w:tabs>
        <w:ind w:left="426" w:right="-22"/>
        <w:jc w:val="both"/>
        <w:rPr>
          <w:rFonts w:ascii="Verdana" w:hAnsi="Verdana" w:cs="Arial"/>
          <w:sz w:val="17"/>
          <w:szCs w:val="17"/>
        </w:rPr>
      </w:pPr>
      <w:r w:rsidRPr="00107B4D">
        <w:rPr>
          <w:rFonts w:ascii="Verdana" w:hAnsi="Verdana" w:cs="Arial"/>
          <w:sz w:val="17"/>
          <w:szCs w:val="17"/>
        </w:rPr>
        <w:t xml:space="preserve">Em 8 de outubro de 2024, foram atribuídas à Parvalorem, por via de emissão de ações bónus, 200.366 ações adicionais do fundo </w:t>
      </w:r>
      <w:proofErr w:type="spellStart"/>
      <w:r w:rsidRPr="00107B4D">
        <w:rPr>
          <w:rFonts w:ascii="Verdana" w:hAnsi="Verdana" w:cs="Arial"/>
          <w:sz w:val="17"/>
          <w:szCs w:val="17"/>
        </w:rPr>
        <w:t>Mindteck</w:t>
      </w:r>
      <w:proofErr w:type="spellEnd"/>
      <w:r w:rsidRPr="00107B4D">
        <w:rPr>
          <w:rFonts w:ascii="Verdana" w:hAnsi="Verdana" w:cs="Arial"/>
          <w:sz w:val="17"/>
          <w:szCs w:val="17"/>
        </w:rPr>
        <w:t xml:space="preserve"> (India) </w:t>
      </w:r>
      <w:proofErr w:type="spellStart"/>
      <w:r w:rsidRPr="00107B4D">
        <w:rPr>
          <w:rFonts w:ascii="Verdana" w:hAnsi="Verdana" w:cs="Arial"/>
          <w:sz w:val="17"/>
          <w:szCs w:val="17"/>
        </w:rPr>
        <w:t>Limited</w:t>
      </w:r>
      <w:proofErr w:type="spellEnd"/>
      <w:r w:rsidRPr="00107B4D">
        <w:rPr>
          <w:rFonts w:ascii="Verdana" w:hAnsi="Verdana" w:cs="Arial"/>
          <w:sz w:val="17"/>
          <w:szCs w:val="17"/>
        </w:rPr>
        <w:t>, passando esta a deter um total de 1.001.833 ações.</w:t>
      </w:r>
    </w:p>
    <w:p w14:paraId="6E0AF5A4" w14:textId="77777777" w:rsidR="00C82F0D" w:rsidRPr="00107B4D" w:rsidRDefault="00C82F0D" w:rsidP="00633A3B">
      <w:pPr>
        <w:tabs>
          <w:tab w:val="left" w:pos="426"/>
          <w:tab w:val="left" w:pos="1276"/>
          <w:tab w:val="right" w:pos="6804"/>
          <w:tab w:val="right" w:pos="7939"/>
        </w:tabs>
        <w:ind w:left="426" w:right="-22"/>
        <w:jc w:val="both"/>
        <w:rPr>
          <w:rFonts w:ascii="Verdana" w:hAnsi="Verdana" w:cs="Arial"/>
          <w:sz w:val="17"/>
          <w:szCs w:val="17"/>
        </w:rPr>
      </w:pPr>
    </w:p>
    <w:p w14:paraId="357E8858" w14:textId="77777777" w:rsidR="00C82F0D" w:rsidRPr="00107B4D" w:rsidRDefault="00C82F0D" w:rsidP="000A1737">
      <w:pPr>
        <w:tabs>
          <w:tab w:val="left" w:pos="426"/>
          <w:tab w:val="left" w:pos="1276"/>
          <w:tab w:val="right" w:pos="6804"/>
          <w:tab w:val="right" w:pos="7939"/>
        </w:tabs>
        <w:ind w:left="426" w:right="-22"/>
        <w:jc w:val="both"/>
        <w:rPr>
          <w:rFonts w:ascii="Verdana" w:hAnsi="Verdana" w:cs="Arial"/>
          <w:sz w:val="17"/>
          <w:szCs w:val="17"/>
        </w:rPr>
      </w:pPr>
      <w:r w:rsidRPr="00107B4D">
        <w:rPr>
          <w:rFonts w:ascii="Verdana" w:hAnsi="Verdana" w:cs="Arial"/>
          <w:sz w:val="17"/>
          <w:szCs w:val="17"/>
        </w:rPr>
        <w:t>Em 31 de dezembro de 202</w:t>
      </w:r>
      <w:r>
        <w:rPr>
          <w:rFonts w:ascii="Verdana" w:hAnsi="Verdana" w:cs="Arial"/>
          <w:sz w:val="17"/>
          <w:szCs w:val="17"/>
        </w:rPr>
        <w:t>5 e 2024</w:t>
      </w:r>
      <w:r w:rsidRPr="00107B4D">
        <w:rPr>
          <w:rFonts w:ascii="Verdana" w:hAnsi="Verdana" w:cs="Arial"/>
          <w:sz w:val="17"/>
          <w:szCs w:val="17"/>
        </w:rPr>
        <w:t>, o justo valor das unidades de participação do Fundo de Compensação do Trabalho foi apurado com base no valor por unidade de participação divulgado no folheto informativo de 31 de dezembro de 202</w:t>
      </w:r>
      <w:r>
        <w:rPr>
          <w:rFonts w:ascii="Verdana" w:hAnsi="Verdana" w:cs="Arial"/>
          <w:sz w:val="17"/>
          <w:szCs w:val="17"/>
        </w:rPr>
        <w:t>5 e 2024</w:t>
      </w:r>
      <w:r w:rsidRPr="00107B4D">
        <w:rPr>
          <w:rFonts w:ascii="Verdana" w:hAnsi="Verdana" w:cs="Arial"/>
          <w:sz w:val="17"/>
          <w:szCs w:val="17"/>
        </w:rPr>
        <w:t>.</w:t>
      </w:r>
    </w:p>
    <w:p w14:paraId="524163DF" w14:textId="77777777" w:rsidR="00C82F0D" w:rsidRPr="00107B4D" w:rsidRDefault="00C82F0D" w:rsidP="00633A3B">
      <w:pPr>
        <w:ind w:left="426" w:right="-22"/>
        <w:jc w:val="both"/>
        <w:rPr>
          <w:rFonts w:ascii="Verdana" w:hAnsi="Verdana" w:cs="Arial"/>
          <w:sz w:val="17"/>
          <w:szCs w:val="17"/>
        </w:rPr>
      </w:pPr>
    </w:p>
    <w:p w14:paraId="31A13BED" w14:textId="77777777" w:rsidR="00C82F0D" w:rsidRPr="00107B4D" w:rsidRDefault="00C82F0D" w:rsidP="00D84952">
      <w:pPr>
        <w:pStyle w:val="Ttulo1"/>
        <w:keepNext w:val="0"/>
        <w:keepLines w:val="0"/>
        <w:numPr>
          <w:ilvl w:val="0"/>
          <w:numId w:val="3"/>
        </w:numPr>
        <w:tabs>
          <w:tab w:val="left" w:pos="426"/>
        </w:tabs>
        <w:spacing w:before="0"/>
        <w:ind w:right="-22"/>
        <w:jc w:val="both"/>
        <w:rPr>
          <w:rFonts w:ascii="Verdana" w:eastAsia="Times New Roman" w:hAnsi="Verdana" w:cs="Arial"/>
          <w:b w:val="0"/>
          <w:bCs w:val="0"/>
          <w:color w:val="auto"/>
          <w:sz w:val="17"/>
          <w:szCs w:val="17"/>
          <w:u w:val="single"/>
          <w:lang w:eastAsia="en-US"/>
        </w:rPr>
      </w:pPr>
      <w:r w:rsidRPr="00107B4D">
        <w:rPr>
          <w:rFonts w:ascii="Verdana" w:eastAsia="Times New Roman" w:hAnsi="Verdana" w:cs="Arial"/>
          <w:b w:val="0"/>
          <w:bCs w:val="0"/>
          <w:color w:val="auto"/>
          <w:sz w:val="17"/>
          <w:szCs w:val="17"/>
          <w:u w:val="single"/>
          <w:lang w:eastAsia="en-US"/>
        </w:rPr>
        <w:t xml:space="preserve">CLIENTES </w:t>
      </w:r>
    </w:p>
    <w:p w14:paraId="1184CBBE" w14:textId="77777777" w:rsidR="00C82F0D" w:rsidRPr="00107B4D" w:rsidRDefault="00C82F0D" w:rsidP="00633A3B">
      <w:pPr>
        <w:tabs>
          <w:tab w:val="left" w:pos="426"/>
          <w:tab w:val="left" w:pos="1276"/>
          <w:tab w:val="right" w:pos="6804"/>
          <w:tab w:val="right" w:pos="7939"/>
        </w:tabs>
        <w:ind w:right="-22"/>
        <w:jc w:val="both"/>
        <w:rPr>
          <w:rFonts w:ascii="Verdana" w:hAnsi="Verdana" w:cs="Arial"/>
          <w:sz w:val="17"/>
          <w:szCs w:val="17"/>
        </w:rPr>
      </w:pPr>
    </w:p>
    <w:p w14:paraId="2E88E6EE" w14:textId="77777777" w:rsidR="00C82F0D" w:rsidRPr="00107B4D" w:rsidRDefault="00C82F0D" w:rsidP="00337393">
      <w:pPr>
        <w:tabs>
          <w:tab w:val="left" w:pos="426"/>
          <w:tab w:val="left" w:pos="1276"/>
          <w:tab w:val="right" w:pos="6804"/>
          <w:tab w:val="right" w:pos="7939"/>
        </w:tabs>
        <w:ind w:left="426" w:right="-22"/>
        <w:jc w:val="both"/>
        <w:rPr>
          <w:rFonts w:ascii="Verdana" w:hAnsi="Verdana" w:cs="Arial"/>
          <w:sz w:val="17"/>
          <w:szCs w:val="17"/>
          <w:u w:val="single"/>
        </w:rPr>
      </w:pPr>
      <w:r w:rsidRPr="00107B4D">
        <w:rPr>
          <w:rFonts w:ascii="Verdana" w:hAnsi="Verdana" w:cs="Arial"/>
          <w:sz w:val="17"/>
          <w:szCs w:val="17"/>
        </w:rPr>
        <w:t>Em 31 de dezembro de 202</w:t>
      </w:r>
      <w:r>
        <w:rPr>
          <w:rFonts w:ascii="Verdana" w:hAnsi="Verdana" w:cs="Arial"/>
          <w:sz w:val="17"/>
          <w:szCs w:val="17"/>
        </w:rPr>
        <w:t>5</w:t>
      </w:r>
      <w:r w:rsidRPr="00107B4D">
        <w:rPr>
          <w:rFonts w:ascii="Verdana" w:hAnsi="Verdana" w:cs="Arial"/>
          <w:sz w:val="17"/>
          <w:szCs w:val="17"/>
        </w:rPr>
        <w:t xml:space="preserve"> e 202</w:t>
      </w:r>
      <w:r>
        <w:rPr>
          <w:rFonts w:ascii="Verdana" w:hAnsi="Verdana" w:cs="Arial"/>
          <w:sz w:val="17"/>
          <w:szCs w:val="17"/>
        </w:rPr>
        <w:t>4</w:t>
      </w:r>
      <w:r w:rsidRPr="00107B4D">
        <w:rPr>
          <w:rFonts w:ascii="Verdana" w:hAnsi="Verdana" w:cs="Arial"/>
          <w:sz w:val="17"/>
          <w:szCs w:val="17"/>
        </w:rPr>
        <w:t xml:space="preserve"> o saldo desta rubrica corresponde, essencialmente, a valores a receber relativos a rendas de imóveis e a </w:t>
      </w:r>
      <w:proofErr w:type="spellStart"/>
      <w:r w:rsidRPr="00107B4D">
        <w:rPr>
          <w:rFonts w:ascii="Verdana" w:hAnsi="Verdana" w:cs="Arial"/>
          <w:sz w:val="17"/>
          <w:szCs w:val="17"/>
        </w:rPr>
        <w:t>refaturação</w:t>
      </w:r>
      <w:proofErr w:type="spellEnd"/>
      <w:r w:rsidRPr="00107B4D">
        <w:rPr>
          <w:rFonts w:ascii="Verdana" w:hAnsi="Verdana" w:cs="Arial"/>
          <w:sz w:val="17"/>
          <w:szCs w:val="17"/>
        </w:rPr>
        <w:t xml:space="preserve"> de gastos.</w:t>
      </w:r>
    </w:p>
    <w:p w14:paraId="5510070F" w14:textId="77777777" w:rsidR="00C82F0D" w:rsidRPr="00107B4D" w:rsidRDefault="00C82F0D">
      <w:pPr>
        <w:rPr>
          <w:rFonts w:ascii="Verdana" w:hAnsi="Verdana" w:cs="Arial"/>
          <w:sz w:val="17"/>
          <w:szCs w:val="17"/>
          <w:u w:val="single"/>
        </w:rPr>
      </w:pPr>
    </w:p>
    <w:p w14:paraId="62EBB90B" w14:textId="77777777" w:rsidR="00C82F0D" w:rsidRPr="00107B4D" w:rsidRDefault="00C82F0D" w:rsidP="00D84952">
      <w:pPr>
        <w:pStyle w:val="Ttulo1"/>
        <w:keepNext w:val="0"/>
        <w:keepLines w:val="0"/>
        <w:numPr>
          <w:ilvl w:val="0"/>
          <w:numId w:val="3"/>
        </w:numPr>
        <w:tabs>
          <w:tab w:val="left" w:pos="426"/>
        </w:tabs>
        <w:spacing w:before="0"/>
        <w:ind w:right="-22"/>
        <w:jc w:val="both"/>
        <w:rPr>
          <w:rFonts w:ascii="Verdana" w:eastAsia="Times New Roman" w:hAnsi="Verdana" w:cs="Arial"/>
          <w:b w:val="0"/>
          <w:bCs w:val="0"/>
          <w:color w:val="auto"/>
          <w:sz w:val="17"/>
          <w:szCs w:val="17"/>
          <w:u w:val="single"/>
          <w:lang w:eastAsia="en-US"/>
        </w:rPr>
      </w:pPr>
      <w:r w:rsidRPr="00107B4D">
        <w:rPr>
          <w:rFonts w:ascii="Verdana" w:eastAsia="Times New Roman" w:hAnsi="Verdana" w:cs="Arial"/>
          <w:b w:val="0"/>
          <w:bCs w:val="0"/>
          <w:color w:val="auto"/>
          <w:sz w:val="17"/>
          <w:szCs w:val="17"/>
          <w:u w:val="single"/>
          <w:lang w:eastAsia="en-US"/>
        </w:rPr>
        <w:t>INVENTÁRIOS</w:t>
      </w:r>
    </w:p>
    <w:p w14:paraId="0826B8BC" w14:textId="77777777" w:rsidR="00C82F0D" w:rsidRPr="00107B4D" w:rsidRDefault="00C82F0D" w:rsidP="00633A3B">
      <w:pPr>
        <w:tabs>
          <w:tab w:val="left" w:pos="426"/>
          <w:tab w:val="left" w:pos="1276"/>
          <w:tab w:val="right" w:pos="6804"/>
          <w:tab w:val="right" w:pos="7939"/>
        </w:tabs>
        <w:ind w:left="426" w:right="-22" w:hanging="426"/>
        <w:jc w:val="both"/>
        <w:rPr>
          <w:rFonts w:ascii="Verdana" w:hAnsi="Verdana" w:cs="Arial"/>
          <w:sz w:val="17"/>
          <w:szCs w:val="17"/>
        </w:rPr>
      </w:pPr>
    </w:p>
    <w:p w14:paraId="5089C0B0" w14:textId="77777777" w:rsidR="00C82F0D" w:rsidRPr="00107B4D" w:rsidRDefault="00C82F0D" w:rsidP="00633A3B">
      <w:pPr>
        <w:tabs>
          <w:tab w:val="left" w:pos="426"/>
          <w:tab w:val="left" w:pos="1276"/>
          <w:tab w:val="right" w:pos="6804"/>
          <w:tab w:val="right" w:pos="7939"/>
        </w:tabs>
        <w:ind w:left="426" w:right="-22" w:hanging="426"/>
        <w:jc w:val="both"/>
        <w:rPr>
          <w:rFonts w:ascii="Verdana" w:hAnsi="Verdana" w:cs="Arial"/>
          <w:sz w:val="17"/>
          <w:szCs w:val="17"/>
        </w:rPr>
      </w:pPr>
      <w:r w:rsidRPr="00107B4D">
        <w:rPr>
          <w:rFonts w:ascii="Verdana" w:hAnsi="Verdana" w:cs="Arial"/>
          <w:sz w:val="17"/>
          <w:szCs w:val="17"/>
        </w:rPr>
        <w:tab/>
        <w:t>Em 31 de dezembro de 202</w:t>
      </w:r>
      <w:r>
        <w:rPr>
          <w:rFonts w:ascii="Verdana" w:hAnsi="Verdana" w:cs="Arial"/>
          <w:sz w:val="17"/>
          <w:szCs w:val="17"/>
        </w:rPr>
        <w:t>5</w:t>
      </w:r>
      <w:r w:rsidRPr="00107B4D">
        <w:rPr>
          <w:rFonts w:ascii="Verdana" w:hAnsi="Verdana" w:cs="Arial"/>
          <w:sz w:val="17"/>
          <w:szCs w:val="17"/>
        </w:rPr>
        <w:t xml:space="preserve"> e 202</w:t>
      </w:r>
      <w:r>
        <w:rPr>
          <w:rFonts w:ascii="Verdana" w:hAnsi="Verdana" w:cs="Arial"/>
          <w:sz w:val="17"/>
          <w:szCs w:val="17"/>
        </w:rPr>
        <w:t>4</w:t>
      </w:r>
      <w:r w:rsidRPr="00107B4D">
        <w:rPr>
          <w:rFonts w:ascii="Verdana" w:hAnsi="Verdana" w:cs="Arial"/>
          <w:sz w:val="17"/>
          <w:szCs w:val="17"/>
        </w:rPr>
        <w:t xml:space="preserve">, esta rubrica corresponde a imóveis adquiridos no seguimento de processos de execução, bem como recebidos em dação por recuperação de créditos adquiridos pela Sociedade e ainda por mobiliário diverso adquirido ao BPN no âmbito do processo de reprivatização do mesmo, de acordo com o seguinte detalhe: </w:t>
      </w:r>
    </w:p>
    <w:p w14:paraId="4FB20936" w14:textId="77777777" w:rsidR="00C82F0D" w:rsidRPr="00107B4D" w:rsidRDefault="00C82F0D" w:rsidP="00633A3B">
      <w:pPr>
        <w:tabs>
          <w:tab w:val="left" w:pos="426"/>
          <w:tab w:val="left" w:pos="1276"/>
          <w:tab w:val="right" w:pos="6804"/>
          <w:tab w:val="right" w:pos="7939"/>
        </w:tabs>
        <w:ind w:left="426" w:right="-22" w:hanging="426"/>
        <w:jc w:val="both"/>
        <w:rPr>
          <w:rFonts w:ascii="Verdana" w:hAnsi="Verdana" w:cs="Arial"/>
          <w:sz w:val="17"/>
          <w:szCs w:val="17"/>
        </w:rPr>
      </w:pPr>
    </w:p>
    <w:p w14:paraId="7C183E52" w14:textId="77777777" w:rsidR="00C82F0D" w:rsidRPr="00107B4D" w:rsidRDefault="00C82F0D" w:rsidP="00633A3B">
      <w:pPr>
        <w:tabs>
          <w:tab w:val="left" w:pos="426"/>
          <w:tab w:val="left" w:pos="1276"/>
          <w:tab w:val="right" w:pos="6804"/>
          <w:tab w:val="right" w:pos="7939"/>
        </w:tabs>
        <w:ind w:left="852" w:right="-22" w:hanging="426"/>
        <w:jc w:val="both"/>
        <w:rPr>
          <w:rFonts w:ascii="Verdana" w:hAnsi="Verdana" w:cs="Arial"/>
          <w:sz w:val="17"/>
          <w:szCs w:val="17"/>
        </w:rPr>
      </w:pPr>
      <w:r w:rsidRPr="001F13B4">
        <w:rPr>
          <w:noProof/>
        </w:rPr>
        <w:drawing>
          <wp:inline distT="0" distB="0" distL="0" distR="0" wp14:anchorId="0D55E963" wp14:editId="33E72094">
            <wp:extent cx="5026646" cy="5555673"/>
            <wp:effectExtent l="0" t="0" r="3175" b="0"/>
            <wp:docPr id="11647815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045494" cy="5576505"/>
                    </a:xfrm>
                    <a:prstGeom prst="rect">
                      <a:avLst/>
                    </a:prstGeom>
                    <a:noFill/>
                    <a:ln>
                      <a:noFill/>
                    </a:ln>
                  </pic:spPr>
                </pic:pic>
              </a:graphicData>
            </a:graphic>
          </wp:inline>
        </w:drawing>
      </w:r>
    </w:p>
    <w:p w14:paraId="491BCA99" w14:textId="77777777" w:rsidR="00C82F0D" w:rsidRPr="00107B4D" w:rsidRDefault="00C82F0D" w:rsidP="00633A3B">
      <w:pPr>
        <w:tabs>
          <w:tab w:val="left" w:pos="426"/>
          <w:tab w:val="left" w:pos="1276"/>
          <w:tab w:val="right" w:pos="6804"/>
          <w:tab w:val="right" w:pos="7939"/>
        </w:tabs>
        <w:ind w:left="852" w:right="-22" w:hanging="426"/>
        <w:jc w:val="both"/>
        <w:rPr>
          <w:rFonts w:ascii="Verdana" w:hAnsi="Verdana" w:cs="Arial"/>
          <w:sz w:val="17"/>
          <w:szCs w:val="17"/>
        </w:rPr>
      </w:pPr>
    </w:p>
    <w:p w14:paraId="4A381E55" w14:textId="77777777" w:rsidR="00C82F0D" w:rsidRDefault="00C82F0D" w:rsidP="00AA616A">
      <w:pPr>
        <w:tabs>
          <w:tab w:val="left" w:pos="450"/>
          <w:tab w:val="left" w:pos="1276"/>
          <w:tab w:val="right" w:pos="6804"/>
          <w:tab w:val="right" w:pos="7939"/>
        </w:tabs>
        <w:ind w:left="426" w:right="-22"/>
        <w:jc w:val="both"/>
        <w:rPr>
          <w:rFonts w:ascii="Verdana" w:hAnsi="Verdana" w:cs="Arial"/>
          <w:sz w:val="17"/>
          <w:szCs w:val="17"/>
        </w:rPr>
      </w:pPr>
    </w:p>
    <w:p w14:paraId="65F0790B" w14:textId="77777777" w:rsidR="00C82F0D" w:rsidRPr="00802F38" w:rsidRDefault="00C82F0D" w:rsidP="00802F38">
      <w:pPr>
        <w:tabs>
          <w:tab w:val="left" w:pos="450"/>
          <w:tab w:val="left" w:pos="1276"/>
          <w:tab w:val="right" w:pos="6804"/>
          <w:tab w:val="right" w:pos="7939"/>
        </w:tabs>
        <w:ind w:left="426" w:right="-22"/>
        <w:jc w:val="both"/>
        <w:rPr>
          <w:rFonts w:ascii="Verdana" w:hAnsi="Verdana" w:cs="Arial"/>
          <w:sz w:val="17"/>
          <w:szCs w:val="17"/>
        </w:rPr>
      </w:pPr>
      <w:r w:rsidRPr="00802F38">
        <w:rPr>
          <w:rFonts w:ascii="Verdana" w:hAnsi="Verdana" w:cs="Arial"/>
          <w:sz w:val="17"/>
          <w:szCs w:val="17"/>
        </w:rPr>
        <w:t>Os imóveis encontram-se valorizados ao menor entre o custo de aquisição e o valor realizável líquido. No âmbito do processo de liquidação da Sociedade, que se encontra em curso, o valor realizável líquido passou a ser baseado no valor de mercado, sendo este determinado com base no preço expectável de venda obtido através de avaliações por peritos externos acreditados junto da CMVM. No caso dos imóveis com contrato promessa de compra e venda já formalizado, o valor líquido de balanço é ajustado para o respetivo valor prometido, quando este último for inferior ao valor de aquisição.</w:t>
      </w:r>
    </w:p>
    <w:p w14:paraId="556096DA" w14:textId="77777777" w:rsidR="00C82F0D" w:rsidRPr="00AA616A" w:rsidRDefault="00C82F0D" w:rsidP="00AA616A">
      <w:pPr>
        <w:tabs>
          <w:tab w:val="left" w:pos="450"/>
          <w:tab w:val="left" w:pos="1276"/>
          <w:tab w:val="right" w:pos="6804"/>
          <w:tab w:val="right" w:pos="7939"/>
        </w:tabs>
        <w:ind w:left="426" w:right="-22"/>
        <w:jc w:val="both"/>
        <w:rPr>
          <w:rFonts w:ascii="Verdana" w:hAnsi="Verdana" w:cs="Arial"/>
          <w:sz w:val="17"/>
          <w:szCs w:val="17"/>
        </w:rPr>
      </w:pPr>
    </w:p>
    <w:p w14:paraId="75880CB2" w14:textId="77777777" w:rsidR="00C82F0D" w:rsidRDefault="00C82F0D" w:rsidP="00375E8E">
      <w:pPr>
        <w:tabs>
          <w:tab w:val="left" w:pos="450"/>
          <w:tab w:val="left" w:pos="1276"/>
          <w:tab w:val="right" w:pos="6804"/>
          <w:tab w:val="right" w:pos="7939"/>
        </w:tabs>
        <w:ind w:left="426" w:right="-22"/>
        <w:jc w:val="both"/>
        <w:rPr>
          <w:rFonts w:ascii="Verdana" w:hAnsi="Verdana" w:cs="Arial"/>
          <w:sz w:val="17"/>
          <w:szCs w:val="17"/>
        </w:rPr>
      </w:pPr>
      <w:r>
        <w:rPr>
          <w:rFonts w:ascii="Verdana" w:hAnsi="Verdana" w:cs="Arial"/>
          <w:sz w:val="17"/>
          <w:szCs w:val="17"/>
        </w:rPr>
        <w:br w:type="page"/>
      </w:r>
    </w:p>
    <w:p w14:paraId="7F5C1141" w14:textId="77777777" w:rsidR="00C82F0D" w:rsidRPr="00107B4D" w:rsidRDefault="00C82F0D" w:rsidP="00633A3B">
      <w:pPr>
        <w:tabs>
          <w:tab w:val="left" w:pos="450"/>
          <w:tab w:val="left" w:pos="1276"/>
          <w:tab w:val="right" w:pos="6804"/>
          <w:tab w:val="right" w:pos="7939"/>
        </w:tabs>
        <w:ind w:left="426" w:right="-22"/>
        <w:jc w:val="both"/>
        <w:rPr>
          <w:rFonts w:ascii="Verdana" w:hAnsi="Verdana" w:cs="Arial"/>
          <w:sz w:val="17"/>
          <w:szCs w:val="17"/>
        </w:rPr>
      </w:pPr>
      <w:r w:rsidRPr="00107B4D">
        <w:rPr>
          <w:rFonts w:ascii="Verdana" w:hAnsi="Verdana" w:cs="Arial"/>
          <w:sz w:val="17"/>
          <w:szCs w:val="17"/>
        </w:rPr>
        <w:lastRenderedPageBreak/>
        <w:t>Durante os exercícios de 202</w:t>
      </w:r>
      <w:r>
        <w:rPr>
          <w:rFonts w:ascii="Verdana" w:hAnsi="Verdana" w:cs="Arial"/>
          <w:sz w:val="17"/>
          <w:szCs w:val="17"/>
        </w:rPr>
        <w:t>5</w:t>
      </w:r>
      <w:r w:rsidRPr="00107B4D">
        <w:rPr>
          <w:rFonts w:ascii="Verdana" w:hAnsi="Verdana" w:cs="Arial"/>
          <w:sz w:val="17"/>
          <w:szCs w:val="17"/>
        </w:rPr>
        <w:t xml:space="preserve"> e 202</w:t>
      </w:r>
      <w:r>
        <w:rPr>
          <w:rFonts w:ascii="Verdana" w:hAnsi="Verdana" w:cs="Arial"/>
          <w:sz w:val="17"/>
          <w:szCs w:val="17"/>
        </w:rPr>
        <w:t>4</w:t>
      </w:r>
      <w:r w:rsidRPr="00107B4D">
        <w:rPr>
          <w:rFonts w:ascii="Verdana" w:hAnsi="Verdana" w:cs="Arial"/>
          <w:sz w:val="17"/>
          <w:szCs w:val="17"/>
        </w:rPr>
        <w:t xml:space="preserve">, a Sociedade procedeu à alienação dos seguintes inventários: </w:t>
      </w:r>
    </w:p>
    <w:p w14:paraId="0A0EEFEA" w14:textId="77777777" w:rsidR="00C82F0D" w:rsidRPr="00107B4D" w:rsidRDefault="00C82F0D" w:rsidP="00633A3B">
      <w:pPr>
        <w:tabs>
          <w:tab w:val="left" w:pos="450"/>
          <w:tab w:val="left" w:pos="1276"/>
          <w:tab w:val="right" w:pos="6804"/>
          <w:tab w:val="right" w:pos="7939"/>
        </w:tabs>
        <w:ind w:left="426" w:right="-22"/>
        <w:jc w:val="both"/>
        <w:rPr>
          <w:rFonts w:ascii="Verdana" w:hAnsi="Verdana" w:cs="Arial"/>
          <w:sz w:val="17"/>
          <w:szCs w:val="17"/>
        </w:rPr>
      </w:pPr>
    </w:p>
    <w:p w14:paraId="7A169CE0" w14:textId="77777777" w:rsidR="00C82F0D" w:rsidRDefault="00C82F0D" w:rsidP="00633A3B">
      <w:pPr>
        <w:tabs>
          <w:tab w:val="left" w:pos="450"/>
          <w:tab w:val="left" w:pos="1276"/>
          <w:tab w:val="right" w:pos="6804"/>
          <w:tab w:val="right" w:pos="7939"/>
        </w:tabs>
        <w:ind w:left="426" w:right="-22"/>
        <w:jc w:val="both"/>
        <w:rPr>
          <w:rFonts w:ascii="Verdana" w:hAnsi="Verdana" w:cs="Arial"/>
          <w:sz w:val="17"/>
          <w:szCs w:val="17"/>
        </w:rPr>
      </w:pPr>
      <w:r w:rsidRPr="001F13B4">
        <w:rPr>
          <w:noProof/>
        </w:rPr>
        <w:drawing>
          <wp:inline distT="0" distB="0" distL="0" distR="0" wp14:anchorId="44D9AEA6" wp14:editId="6E0DEAD2">
            <wp:extent cx="5077691" cy="1411531"/>
            <wp:effectExtent l="0" t="0" r="0" b="0"/>
            <wp:docPr id="9712202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111936" cy="1421051"/>
                    </a:xfrm>
                    <a:prstGeom prst="rect">
                      <a:avLst/>
                    </a:prstGeom>
                    <a:noFill/>
                    <a:ln>
                      <a:noFill/>
                    </a:ln>
                  </pic:spPr>
                </pic:pic>
              </a:graphicData>
            </a:graphic>
          </wp:inline>
        </w:drawing>
      </w:r>
    </w:p>
    <w:p w14:paraId="508D3868" w14:textId="77777777" w:rsidR="00C82F0D" w:rsidRPr="00107B4D" w:rsidRDefault="00C82F0D" w:rsidP="00633A3B">
      <w:pPr>
        <w:tabs>
          <w:tab w:val="left" w:pos="450"/>
          <w:tab w:val="left" w:pos="1276"/>
          <w:tab w:val="right" w:pos="6804"/>
          <w:tab w:val="right" w:pos="7939"/>
        </w:tabs>
        <w:ind w:left="426" w:right="-22"/>
        <w:jc w:val="both"/>
        <w:rPr>
          <w:rFonts w:ascii="Verdana" w:hAnsi="Verdana" w:cs="Arial"/>
          <w:sz w:val="17"/>
          <w:szCs w:val="17"/>
        </w:rPr>
      </w:pPr>
    </w:p>
    <w:p w14:paraId="54B9D183" w14:textId="77777777" w:rsidR="00C82F0D" w:rsidRPr="00107B4D" w:rsidRDefault="00C82F0D" w:rsidP="00633A3B">
      <w:pPr>
        <w:tabs>
          <w:tab w:val="left" w:pos="450"/>
          <w:tab w:val="left" w:pos="1276"/>
          <w:tab w:val="right" w:pos="6804"/>
          <w:tab w:val="right" w:pos="7939"/>
        </w:tabs>
        <w:ind w:left="426" w:right="-22"/>
        <w:jc w:val="both"/>
        <w:rPr>
          <w:rFonts w:ascii="Verdana" w:hAnsi="Verdana" w:cs="Arial"/>
          <w:sz w:val="17"/>
          <w:szCs w:val="17"/>
        </w:rPr>
      </w:pPr>
      <w:r w:rsidRPr="001F13B4">
        <w:rPr>
          <w:noProof/>
        </w:rPr>
        <w:drawing>
          <wp:inline distT="0" distB="0" distL="0" distR="0" wp14:anchorId="26F6764C" wp14:editId="58250CC3">
            <wp:extent cx="5077460" cy="1574466"/>
            <wp:effectExtent l="0" t="0" r="0" b="6985"/>
            <wp:docPr id="4241014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115289" cy="1586196"/>
                    </a:xfrm>
                    <a:prstGeom prst="rect">
                      <a:avLst/>
                    </a:prstGeom>
                    <a:noFill/>
                    <a:ln>
                      <a:noFill/>
                    </a:ln>
                  </pic:spPr>
                </pic:pic>
              </a:graphicData>
            </a:graphic>
          </wp:inline>
        </w:drawing>
      </w:r>
    </w:p>
    <w:p w14:paraId="77A75F5C" w14:textId="77777777" w:rsidR="00C82F0D" w:rsidRPr="00107B4D" w:rsidRDefault="00C82F0D" w:rsidP="00633A3B">
      <w:pPr>
        <w:tabs>
          <w:tab w:val="left" w:pos="450"/>
          <w:tab w:val="left" w:pos="1276"/>
          <w:tab w:val="right" w:pos="6804"/>
          <w:tab w:val="right" w:pos="7939"/>
        </w:tabs>
        <w:ind w:left="426" w:right="-22"/>
        <w:jc w:val="both"/>
        <w:rPr>
          <w:rFonts w:ascii="Verdana" w:hAnsi="Verdana" w:cs="Arial"/>
          <w:sz w:val="17"/>
          <w:szCs w:val="17"/>
        </w:rPr>
      </w:pPr>
    </w:p>
    <w:p w14:paraId="6B024547" w14:textId="77777777" w:rsidR="00C82F0D" w:rsidRPr="00107B4D" w:rsidRDefault="00C82F0D" w:rsidP="00633A3B">
      <w:pPr>
        <w:ind w:left="426"/>
        <w:jc w:val="both"/>
        <w:rPr>
          <w:rFonts w:ascii="Verdana" w:hAnsi="Verdana" w:cs="Arial"/>
          <w:sz w:val="17"/>
          <w:szCs w:val="17"/>
        </w:rPr>
      </w:pPr>
    </w:p>
    <w:p w14:paraId="5128B48C" w14:textId="77777777" w:rsidR="00C82F0D" w:rsidRDefault="00C82F0D" w:rsidP="00633A3B">
      <w:pPr>
        <w:ind w:left="426"/>
        <w:jc w:val="both"/>
        <w:rPr>
          <w:rFonts w:ascii="Verdana" w:hAnsi="Verdana" w:cs="Arial"/>
          <w:color w:val="000000" w:themeColor="text1"/>
          <w:sz w:val="17"/>
          <w:szCs w:val="17"/>
        </w:rPr>
      </w:pPr>
      <w:r w:rsidRPr="00107B4D">
        <w:rPr>
          <w:rFonts w:ascii="Verdana" w:hAnsi="Verdana" w:cs="Arial"/>
          <w:sz w:val="17"/>
          <w:szCs w:val="17"/>
        </w:rPr>
        <w:t xml:space="preserve">Em 31 de dezembro de </w:t>
      </w:r>
      <w:r>
        <w:rPr>
          <w:rFonts w:ascii="Verdana" w:hAnsi="Verdana" w:cs="Arial"/>
          <w:sz w:val="17"/>
          <w:szCs w:val="17"/>
        </w:rPr>
        <w:t xml:space="preserve">2025 e </w:t>
      </w:r>
      <w:r w:rsidRPr="00107B4D">
        <w:rPr>
          <w:rFonts w:ascii="Verdana" w:hAnsi="Verdana" w:cs="Arial"/>
          <w:sz w:val="17"/>
          <w:szCs w:val="17"/>
        </w:rPr>
        <w:t xml:space="preserve">2024, não existiam </w:t>
      </w:r>
      <w:r w:rsidRPr="00107B4D">
        <w:rPr>
          <w:rFonts w:ascii="Verdana" w:hAnsi="Verdana" w:cs="Arial"/>
          <w:color w:val="000000" w:themeColor="text1"/>
          <w:sz w:val="17"/>
          <w:szCs w:val="17"/>
        </w:rPr>
        <w:t>contratos promessa de compra e venda assinados para os quais foram efetuados adiantamentos.</w:t>
      </w:r>
    </w:p>
    <w:p w14:paraId="21A32D29" w14:textId="77777777" w:rsidR="00C82F0D" w:rsidRPr="00107B4D" w:rsidRDefault="00C82F0D" w:rsidP="00D74627">
      <w:pPr>
        <w:jc w:val="both"/>
        <w:rPr>
          <w:rFonts w:ascii="Verdana" w:hAnsi="Verdana" w:cs="Arial"/>
          <w:sz w:val="17"/>
          <w:szCs w:val="17"/>
        </w:rPr>
      </w:pPr>
    </w:p>
    <w:p w14:paraId="0C08509E" w14:textId="77777777" w:rsidR="00C82F0D" w:rsidRPr="00107B4D" w:rsidRDefault="00C82F0D" w:rsidP="00633A3B">
      <w:pPr>
        <w:ind w:left="426"/>
        <w:jc w:val="both"/>
        <w:rPr>
          <w:rFonts w:ascii="Verdana" w:hAnsi="Verdana" w:cs="Arial"/>
          <w:sz w:val="17"/>
          <w:szCs w:val="17"/>
        </w:rPr>
      </w:pPr>
    </w:p>
    <w:p w14:paraId="36098541" w14:textId="77777777" w:rsidR="00C82F0D" w:rsidRPr="00107B4D" w:rsidRDefault="00C82F0D" w:rsidP="00D84952">
      <w:pPr>
        <w:pStyle w:val="Ttulo1"/>
        <w:keepNext w:val="0"/>
        <w:keepLines w:val="0"/>
        <w:numPr>
          <w:ilvl w:val="0"/>
          <w:numId w:val="3"/>
        </w:numPr>
        <w:tabs>
          <w:tab w:val="left" w:pos="426"/>
        </w:tabs>
        <w:spacing w:before="0"/>
        <w:ind w:right="-22"/>
        <w:jc w:val="both"/>
        <w:rPr>
          <w:rFonts w:ascii="Verdana" w:eastAsia="Times New Roman" w:hAnsi="Verdana" w:cs="Arial"/>
          <w:b w:val="0"/>
          <w:bCs w:val="0"/>
          <w:color w:val="auto"/>
          <w:sz w:val="17"/>
          <w:szCs w:val="17"/>
          <w:u w:val="single"/>
          <w:lang w:eastAsia="en-US"/>
        </w:rPr>
      </w:pPr>
      <w:r w:rsidRPr="00107B4D">
        <w:rPr>
          <w:rFonts w:ascii="Verdana" w:eastAsia="Times New Roman" w:hAnsi="Verdana" w:cs="Arial"/>
          <w:b w:val="0"/>
          <w:bCs w:val="0"/>
          <w:color w:val="auto"/>
          <w:sz w:val="17"/>
          <w:szCs w:val="17"/>
          <w:u w:val="single"/>
          <w:lang w:eastAsia="en-US"/>
        </w:rPr>
        <w:t>ADIANTAMENTOS A FORNECEDORES</w:t>
      </w:r>
    </w:p>
    <w:p w14:paraId="2649EFDF" w14:textId="77777777" w:rsidR="00C82F0D" w:rsidRPr="00107B4D" w:rsidRDefault="00C82F0D" w:rsidP="00633A3B">
      <w:pPr>
        <w:tabs>
          <w:tab w:val="left" w:pos="426"/>
          <w:tab w:val="left" w:pos="1276"/>
          <w:tab w:val="right" w:pos="6804"/>
          <w:tab w:val="right" w:pos="7939"/>
        </w:tabs>
        <w:ind w:right="-22"/>
        <w:jc w:val="both"/>
        <w:rPr>
          <w:rFonts w:ascii="Verdana" w:hAnsi="Verdana" w:cs="Arial"/>
          <w:sz w:val="17"/>
          <w:szCs w:val="17"/>
        </w:rPr>
      </w:pPr>
    </w:p>
    <w:p w14:paraId="7D840F01" w14:textId="77777777" w:rsidR="00C82F0D" w:rsidRPr="00107B4D" w:rsidRDefault="00C82F0D" w:rsidP="00633A3B">
      <w:pPr>
        <w:tabs>
          <w:tab w:val="left" w:pos="426"/>
        </w:tabs>
        <w:ind w:left="450" w:right="-22"/>
        <w:jc w:val="both"/>
        <w:rPr>
          <w:rFonts w:ascii="Verdana" w:hAnsi="Verdana" w:cs="Arial"/>
          <w:sz w:val="17"/>
          <w:szCs w:val="17"/>
        </w:rPr>
      </w:pPr>
      <w:r w:rsidRPr="00107B4D">
        <w:rPr>
          <w:rFonts w:ascii="Verdana" w:hAnsi="Verdana" w:cs="Arial"/>
          <w:sz w:val="17"/>
          <w:szCs w:val="17"/>
        </w:rPr>
        <w:t xml:space="preserve">Esta rubrica apresenta a seguinte composição: </w:t>
      </w:r>
    </w:p>
    <w:p w14:paraId="4E40A721" w14:textId="77777777" w:rsidR="00C82F0D" w:rsidRPr="00107B4D" w:rsidRDefault="00C82F0D" w:rsidP="00633A3B">
      <w:pPr>
        <w:tabs>
          <w:tab w:val="left" w:pos="426"/>
        </w:tabs>
        <w:ind w:right="-22"/>
        <w:jc w:val="both"/>
        <w:rPr>
          <w:rFonts w:ascii="Verdana" w:hAnsi="Verdana" w:cs="Arial"/>
          <w:sz w:val="17"/>
          <w:szCs w:val="17"/>
        </w:rPr>
      </w:pPr>
    </w:p>
    <w:p w14:paraId="215869F1" w14:textId="77777777" w:rsidR="00C82F0D" w:rsidRPr="00107B4D" w:rsidRDefault="00C82F0D" w:rsidP="00633A3B">
      <w:pPr>
        <w:tabs>
          <w:tab w:val="left" w:pos="426"/>
        </w:tabs>
        <w:ind w:left="426" w:right="-22"/>
        <w:jc w:val="both"/>
        <w:rPr>
          <w:rFonts w:ascii="Verdana" w:hAnsi="Verdana" w:cs="Arial"/>
          <w:sz w:val="17"/>
          <w:szCs w:val="17"/>
        </w:rPr>
      </w:pPr>
      <w:r w:rsidRPr="00376FBA">
        <w:rPr>
          <w:noProof/>
        </w:rPr>
        <w:drawing>
          <wp:inline distT="0" distB="0" distL="0" distR="0" wp14:anchorId="206775CD" wp14:editId="3C1EEE99">
            <wp:extent cx="5077460" cy="601844"/>
            <wp:effectExtent l="0" t="0" r="0" b="0"/>
            <wp:docPr id="204700455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127859" cy="607818"/>
                    </a:xfrm>
                    <a:prstGeom prst="rect">
                      <a:avLst/>
                    </a:prstGeom>
                    <a:noFill/>
                    <a:ln>
                      <a:noFill/>
                    </a:ln>
                  </pic:spPr>
                </pic:pic>
              </a:graphicData>
            </a:graphic>
          </wp:inline>
        </w:drawing>
      </w:r>
    </w:p>
    <w:p w14:paraId="57E50AEE" w14:textId="77777777" w:rsidR="00C82F0D" w:rsidRPr="00107B4D" w:rsidRDefault="00C82F0D" w:rsidP="00633A3B">
      <w:pPr>
        <w:tabs>
          <w:tab w:val="left" w:pos="426"/>
        </w:tabs>
        <w:ind w:left="426" w:right="-22"/>
        <w:jc w:val="both"/>
        <w:rPr>
          <w:rFonts w:ascii="Verdana" w:hAnsi="Verdana" w:cs="Arial"/>
          <w:sz w:val="17"/>
          <w:szCs w:val="17"/>
        </w:rPr>
      </w:pPr>
    </w:p>
    <w:p w14:paraId="08E13823" w14:textId="1FE7BE0E" w:rsidR="00C82F0D" w:rsidRPr="00107B4D" w:rsidRDefault="00C82F0D" w:rsidP="00C124E2">
      <w:pPr>
        <w:tabs>
          <w:tab w:val="left" w:pos="426"/>
        </w:tabs>
        <w:ind w:left="426" w:right="-22"/>
        <w:jc w:val="both"/>
        <w:rPr>
          <w:rFonts w:ascii="Verdana" w:hAnsi="Verdana" w:cs="Arial"/>
          <w:sz w:val="17"/>
          <w:szCs w:val="17"/>
        </w:rPr>
      </w:pPr>
      <w:r w:rsidRPr="00107B4D">
        <w:rPr>
          <w:rFonts w:ascii="Verdana" w:hAnsi="Verdana" w:cs="Arial"/>
          <w:sz w:val="17"/>
          <w:szCs w:val="17"/>
        </w:rPr>
        <w:t>Em 31 de dezembro de 202</w:t>
      </w:r>
      <w:r>
        <w:rPr>
          <w:rFonts w:ascii="Verdana" w:hAnsi="Verdana" w:cs="Arial"/>
          <w:sz w:val="17"/>
          <w:szCs w:val="17"/>
        </w:rPr>
        <w:t>5</w:t>
      </w:r>
      <w:r w:rsidRPr="00107B4D">
        <w:rPr>
          <w:rFonts w:ascii="Verdana" w:hAnsi="Verdana" w:cs="Arial"/>
          <w:sz w:val="17"/>
          <w:szCs w:val="17"/>
        </w:rPr>
        <w:t xml:space="preserve"> e 202</w:t>
      </w:r>
      <w:r>
        <w:rPr>
          <w:rFonts w:ascii="Verdana" w:hAnsi="Verdana" w:cs="Arial"/>
          <w:sz w:val="17"/>
          <w:szCs w:val="17"/>
        </w:rPr>
        <w:t>4</w:t>
      </w:r>
      <w:r w:rsidRPr="00107B4D">
        <w:rPr>
          <w:rFonts w:ascii="Verdana" w:hAnsi="Verdana" w:cs="Arial"/>
          <w:sz w:val="17"/>
          <w:szCs w:val="17"/>
        </w:rPr>
        <w:t xml:space="preserve">, a rubrica “Cessão de créditos” diz respeito essencialmente a adiantamentos pagos ao Banco </w:t>
      </w:r>
      <w:proofErr w:type="spellStart"/>
      <w:r w:rsidRPr="00107B4D">
        <w:rPr>
          <w:rFonts w:ascii="Verdana" w:hAnsi="Verdana" w:cs="Arial"/>
          <w:sz w:val="17"/>
          <w:szCs w:val="17"/>
        </w:rPr>
        <w:t>Efisa</w:t>
      </w:r>
      <w:proofErr w:type="spellEnd"/>
      <w:r w:rsidRPr="00107B4D">
        <w:rPr>
          <w:rFonts w:ascii="Verdana" w:hAnsi="Verdana" w:cs="Arial"/>
          <w:sz w:val="17"/>
          <w:szCs w:val="17"/>
        </w:rPr>
        <w:t xml:space="preserve">, S.A., e ao </w:t>
      </w:r>
      <w:r w:rsidR="00F04ECD">
        <w:rPr>
          <w:rFonts w:ascii="Verdana" w:hAnsi="Verdana" w:cs="Arial"/>
          <w:sz w:val="17"/>
          <w:szCs w:val="17"/>
        </w:rPr>
        <w:t>Abanca Portugal</w:t>
      </w:r>
      <w:r w:rsidRPr="00107B4D">
        <w:rPr>
          <w:rFonts w:ascii="Verdana" w:hAnsi="Verdana" w:cs="Arial"/>
          <w:sz w:val="17"/>
          <w:szCs w:val="17"/>
        </w:rPr>
        <w:t>, S.A., para aquisição de operações de crédito que ainda não foram transferidos para a gestão da Sociedade.</w:t>
      </w:r>
    </w:p>
    <w:p w14:paraId="43334ADD" w14:textId="77777777" w:rsidR="00C82F0D" w:rsidRPr="00107B4D" w:rsidRDefault="00C82F0D" w:rsidP="00236EE1">
      <w:pPr>
        <w:tabs>
          <w:tab w:val="left" w:pos="426"/>
        </w:tabs>
        <w:ind w:right="-22"/>
        <w:jc w:val="both"/>
        <w:rPr>
          <w:rFonts w:ascii="Verdana" w:hAnsi="Verdana" w:cs="Arial"/>
          <w:sz w:val="17"/>
          <w:szCs w:val="17"/>
        </w:rPr>
      </w:pPr>
    </w:p>
    <w:p w14:paraId="21CBEA50" w14:textId="07949508" w:rsidR="00C82F0D" w:rsidRPr="00107B4D" w:rsidRDefault="00C82F0D" w:rsidP="00C124E2">
      <w:pPr>
        <w:tabs>
          <w:tab w:val="left" w:pos="426"/>
        </w:tabs>
        <w:ind w:left="426" w:right="-22"/>
        <w:jc w:val="both"/>
        <w:rPr>
          <w:rFonts w:ascii="Verdana" w:hAnsi="Verdana" w:cs="Arial"/>
          <w:sz w:val="17"/>
          <w:szCs w:val="17"/>
        </w:rPr>
      </w:pPr>
      <w:r w:rsidRPr="00107B4D">
        <w:rPr>
          <w:rFonts w:ascii="Verdana" w:hAnsi="Verdana" w:cs="Arial"/>
          <w:sz w:val="17"/>
          <w:szCs w:val="17"/>
        </w:rPr>
        <w:t xml:space="preserve">Os adiantamentos ao </w:t>
      </w:r>
      <w:r w:rsidR="00F04ECD">
        <w:rPr>
          <w:rFonts w:ascii="Verdana" w:hAnsi="Verdana" w:cs="Arial"/>
          <w:sz w:val="17"/>
          <w:szCs w:val="17"/>
        </w:rPr>
        <w:t>Abanca Portugal</w:t>
      </w:r>
      <w:r w:rsidR="00F04ECD" w:rsidRPr="00107B4D">
        <w:rPr>
          <w:rFonts w:ascii="Verdana" w:hAnsi="Verdana" w:cs="Arial"/>
          <w:sz w:val="17"/>
          <w:szCs w:val="17"/>
        </w:rPr>
        <w:t>, S.A.</w:t>
      </w:r>
      <w:r w:rsidRPr="00107B4D">
        <w:rPr>
          <w:rFonts w:ascii="Verdana" w:hAnsi="Verdana" w:cs="Arial"/>
          <w:sz w:val="17"/>
          <w:szCs w:val="17"/>
        </w:rPr>
        <w:t xml:space="preserve">, incluem adiantamentos efetuados nos exercícios de 2010 e 2012 e no exercício de 2021. Os adiantamentos efetuados em 2010 e 2012 respeitavam a créditos que, por razões várias, não eram passíveis de transferência imediata para a esfera da Sociedade e que se mantiveram em promessas até 2020. Por via de um Acordo Global celebrado em 2021 entre a Sociedade e o </w:t>
      </w:r>
      <w:r w:rsidR="00F04ECD">
        <w:rPr>
          <w:rFonts w:ascii="Verdana" w:hAnsi="Verdana" w:cs="Arial"/>
          <w:sz w:val="17"/>
          <w:szCs w:val="17"/>
        </w:rPr>
        <w:t>Abanca Portugal</w:t>
      </w:r>
      <w:r w:rsidR="00F04ECD" w:rsidRPr="00107B4D">
        <w:rPr>
          <w:rFonts w:ascii="Verdana" w:hAnsi="Verdana" w:cs="Arial"/>
          <w:sz w:val="17"/>
          <w:szCs w:val="17"/>
        </w:rPr>
        <w:t>, S.A.</w:t>
      </w:r>
      <w:r w:rsidRPr="00107B4D">
        <w:rPr>
          <w:rFonts w:ascii="Verdana" w:hAnsi="Verdana" w:cs="Arial"/>
          <w:sz w:val="17"/>
          <w:szCs w:val="17"/>
        </w:rPr>
        <w:t>, essas situações foram regularizadas, tendo este recomprado a quase totalidade dos créditos que tinham sido objeto desses adiantamentos. Desta forma, em 2024</w:t>
      </w:r>
      <w:r>
        <w:rPr>
          <w:rFonts w:ascii="Verdana" w:hAnsi="Verdana" w:cs="Arial"/>
          <w:sz w:val="17"/>
          <w:szCs w:val="17"/>
        </w:rPr>
        <w:t xml:space="preserve"> e 2025</w:t>
      </w:r>
      <w:r w:rsidRPr="00107B4D">
        <w:rPr>
          <w:rFonts w:ascii="Verdana" w:hAnsi="Verdana" w:cs="Arial"/>
          <w:sz w:val="17"/>
          <w:szCs w:val="17"/>
        </w:rPr>
        <w:t xml:space="preserve"> registou-se o correspondente ajustamento nesta rubrica e nas imparidades, que tinham, entretanto, sido constituídas pela Sociedade, ficando por transferir um número muito limitado de créditos. </w:t>
      </w:r>
    </w:p>
    <w:p w14:paraId="26E8B35D" w14:textId="77777777" w:rsidR="00C82F0D" w:rsidRPr="00107B4D" w:rsidRDefault="00C82F0D" w:rsidP="00236EE1">
      <w:pPr>
        <w:tabs>
          <w:tab w:val="left" w:pos="426"/>
        </w:tabs>
        <w:ind w:right="-22"/>
        <w:jc w:val="both"/>
        <w:rPr>
          <w:rFonts w:ascii="Verdana" w:hAnsi="Verdana" w:cs="Arial"/>
          <w:sz w:val="17"/>
          <w:szCs w:val="17"/>
        </w:rPr>
      </w:pPr>
    </w:p>
    <w:p w14:paraId="4835C862" w14:textId="50FBA081" w:rsidR="00C82F0D" w:rsidRPr="00107B4D" w:rsidRDefault="00C82F0D" w:rsidP="00C124E2">
      <w:pPr>
        <w:tabs>
          <w:tab w:val="left" w:pos="426"/>
        </w:tabs>
        <w:ind w:left="426" w:right="-22"/>
        <w:jc w:val="both"/>
        <w:rPr>
          <w:rFonts w:ascii="Verdana" w:hAnsi="Verdana" w:cs="Arial"/>
          <w:sz w:val="17"/>
          <w:szCs w:val="17"/>
        </w:rPr>
      </w:pPr>
      <w:r w:rsidRPr="00107B4D">
        <w:rPr>
          <w:rFonts w:ascii="Verdana" w:hAnsi="Verdana" w:cs="Arial"/>
          <w:sz w:val="17"/>
          <w:szCs w:val="17"/>
        </w:rPr>
        <w:t xml:space="preserve">Tendo o Tribunal considerado, em 2021, como extintos, um determinado conjunto de créditos prometidos transmitir em 2010 pelo </w:t>
      </w:r>
      <w:r w:rsidR="00F04ECD">
        <w:rPr>
          <w:rFonts w:ascii="Verdana" w:hAnsi="Verdana" w:cs="Arial"/>
          <w:sz w:val="17"/>
          <w:szCs w:val="17"/>
        </w:rPr>
        <w:t>Abanca Portugal</w:t>
      </w:r>
      <w:r w:rsidR="00F04ECD" w:rsidRPr="00107B4D">
        <w:rPr>
          <w:rFonts w:ascii="Verdana" w:hAnsi="Verdana" w:cs="Arial"/>
          <w:sz w:val="17"/>
          <w:szCs w:val="17"/>
        </w:rPr>
        <w:t>, S.A.</w:t>
      </w:r>
      <w:r w:rsidRPr="00107B4D">
        <w:rPr>
          <w:rFonts w:ascii="Verdana" w:hAnsi="Verdana" w:cs="Arial"/>
          <w:sz w:val="17"/>
          <w:szCs w:val="17"/>
        </w:rPr>
        <w:t xml:space="preserve">, foi celebrado um Acordo Tripartido em 2021 entre a Sociedade, o </w:t>
      </w:r>
      <w:r w:rsidR="00F04ECD">
        <w:rPr>
          <w:rFonts w:ascii="Verdana" w:hAnsi="Verdana" w:cs="Arial"/>
          <w:sz w:val="17"/>
          <w:szCs w:val="17"/>
        </w:rPr>
        <w:t>Abanca Portugal</w:t>
      </w:r>
      <w:r w:rsidR="00F04ECD" w:rsidRPr="00107B4D">
        <w:rPr>
          <w:rFonts w:ascii="Verdana" w:hAnsi="Verdana" w:cs="Arial"/>
          <w:sz w:val="17"/>
          <w:szCs w:val="17"/>
        </w:rPr>
        <w:t>, S.A.</w:t>
      </w:r>
      <w:r w:rsidRPr="00107B4D">
        <w:rPr>
          <w:rFonts w:ascii="Verdana" w:hAnsi="Verdana" w:cs="Arial"/>
          <w:sz w:val="17"/>
          <w:szCs w:val="17"/>
        </w:rPr>
        <w:t xml:space="preserve">, e o Estado Português pelo qual este compensou a Sociedade pelos adiantamentos efetuados nessa data através da transferência de um conjunto de outros créditos e da redução de uma parcela da dívida da Sociedade à </w:t>
      </w:r>
      <w:r>
        <w:rPr>
          <w:rFonts w:ascii="Verdana" w:hAnsi="Verdana" w:cs="Arial"/>
          <w:sz w:val="17"/>
          <w:szCs w:val="17"/>
        </w:rPr>
        <w:t>ETF</w:t>
      </w:r>
      <w:r w:rsidRPr="00107B4D">
        <w:rPr>
          <w:rFonts w:ascii="Verdana" w:hAnsi="Verdana" w:cs="Arial"/>
          <w:sz w:val="17"/>
          <w:szCs w:val="17"/>
        </w:rPr>
        <w:t xml:space="preserve"> (Nota 1</w:t>
      </w:r>
      <w:r>
        <w:rPr>
          <w:rFonts w:ascii="Verdana" w:hAnsi="Verdana" w:cs="Arial"/>
          <w:sz w:val="17"/>
          <w:szCs w:val="17"/>
        </w:rPr>
        <w:t>5</w:t>
      </w:r>
      <w:r w:rsidRPr="00107B4D">
        <w:rPr>
          <w:rFonts w:ascii="Verdana" w:hAnsi="Verdana" w:cs="Arial"/>
          <w:sz w:val="17"/>
          <w:szCs w:val="17"/>
        </w:rPr>
        <w:t>). A transferência desses créditos ocorreu em 2022.</w:t>
      </w:r>
    </w:p>
    <w:p w14:paraId="52552A06" w14:textId="77777777" w:rsidR="00C82F0D" w:rsidRPr="00107B4D" w:rsidRDefault="00C82F0D" w:rsidP="00C124E2">
      <w:pPr>
        <w:tabs>
          <w:tab w:val="left" w:pos="426"/>
        </w:tabs>
        <w:ind w:left="426" w:right="-22"/>
        <w:jc w:val="both"/>
        <w:rPr>
          <w:rFonts w:ascii="Verdana" w:hAnsi="Verdana" w:cs="Arial"/>
          <w:sz w:val="17"/>
          <w:szCs w:val="17"/>
        </w:rPr>
      </w:pPr>
    </w:p>
    <w:p w14:paraId="2839FA87" w14:textId="604956DE" w:rsidR="00C82F0D" w:rsidRPr="00D74627" w:rsidRDefault="00C82F0D" w:rsidP="00236EE1">
      <w:pPr>
        <w:ind w:left="426"/>
        <w:jc w:val="both"/>
        <w:rPr>
          <w:rFonts w:ascii="Verdana" w:hAnsi="Verdana" w:cs="Arial"/>
          <w:sz w:val="17"/>
          <w:szCs w:val="17"/>
        </w:rPr>
      </w:pPr>
      <w:r w:rsidRPr="00107B4D">
        <w:rPr>
          <w:rFonts w:ascii="Verdana" w:hAnsi="Verdana" w:cs="Arial"/>
          <w:sz w:val="17"/>
          <w:szCs w:val="17"/>
        </w:rPr>
        <w:t xml:space="preserve">No âmbito do contrato celebrado com o </w:t>
      </w:r>
      <w:r w:rsidR="00F04ECD">
        <w:rPr>
          <w:rFonts w:ascii="Verdana" w:hAnsi="Verdana" w:cs="Arial"/>
          <w:sz w:val="17"/>
          <w:szCs w:val="17"/>
        </w:rPr>
        <w:t>Abanca Portugal</w:t>
      </w:r>
      <w:r w:rsidR="00F04ECD" w:rsidRPr="00107B4D">
        <w:rPr>
          <w:rFonts w:ascii="Verdana" w:hAnsi="Verdana" w:cs="Arial"/>
          <w:sz w:val="17"/>
          <w:szCs w:val="17"/>
        </w:rPr>
        <w:t>, S.A.</w:t>
      </w:r>
      <w:r w:rsidR="00F04ECD">
        <w:rPr>
          <w:rFonts w:ascii="Verdana" w:hAnsi="Verdana" w:cs="Arial"/>
          <w:sz w:val="17"/>
          <w:szCs w:val="17"/>
        </w:rPr>
        <w:t>,</w:t>
      </w:r>
      <w:r w:rsidRPr="00107B4D">
        <w:rPr>
          <w:rFonts w:ascii="Verdana" w:hAnsi="Verdana" w:cs="Arial"/>
          <w:sz w:val="17"/>
          <w:szCs w:val="17"/>
        </w:rPr>
        <w:t xml:space="preserve"> a transferência das operações para a Sociedade verificar-se-ia, entre outras situações, quando ocorresse o incumprimento contratual que originasse a resolução do financiamento, caso em que o crédito, depois de </w:t>
      </w:r>
      <w:r w:rsidRPr="00107B4D">
        <w:rPr>
          <w:rFonts w:ascii="Verdana" w:hAnsi="Verdana" w:cs="Arial"/>
          <w:sz w:val="17"/>
          <w:szCs w:val="17"/>
        </w:rPr>
        <w:lastRenderedPageBreak/>
        <w:t xml:space="preserve">convertido em dívida, seria passível de cessão definitiva, sendo nesse momento transferidas para “Outras contas a receber”.  Deveriam igualmente ser transferidos os valores relativos às prestações de capital e juros, entretanto recebidas, pelo Cedente relativamente às </w:t>
      </w:r>
      <w:r w:rsidRPr="00D74627">
        <w:rPr>
          <w:rFonts w:ascii="Verdana" w:hAnsi="Verdana" w:cs="Arial"/>
          <w:sz w:val="17"/>
          <w:szCs w:val="17"/>
        </w:rPr>
        <w:t>dívidas cedidas ou os créditos entretanto liquidados.</w:t>
      </w:r>
    </w:p>
    <w:p w14:paraId="534CD86C" w14:textId="77777777" w:rsidR="00C82F0D" w:rsidRPr="00D74627" w:rsidRDefault="00C82F0D" w:rsidP="00633A3B">
      <w:pPr>
        <w:tabs>
          <w:tab w:val="left" w:pos="426"/>
        </w:tabs>
        <w:ind w:left="426" w:right="-22"/>
        <w:jc w:val="both"/>
        <w:rPr>
          <w:rFonts w:ascii="Verdana" w:hAnsi="Verdana" w:cs="Arial"/>
          <w:sz w:val="17"/>
          <w:szCs w:val="17"/>
        </w:rPr>
      </w:pPr>
    </w:p>
    <w:p w14:paraId="461776BC" w14:textId="77777777" w:rsidR="00C82F0D" w:rsidRPr="00D74627" w:rsidRDefault="00C82F0D" w:rsidP="00633A3B">
      <w:pPr>
        <w:tabs>
          <w:tab w:val="left" w:pos="426"/>
        </w:tabs>
        <w:ind w:left="426" w:right="-22"/>
        <w:jc w:val="both"/>
        <w:rPr>
          <w:rFonts w:ascii="Verdana" w:hAnsi="Verdana" w:cs="Arial"/>
          <w:sz w:val="17"/>
          <w:szCs w:val="17"/>
        </w:rPr>
      </w:pPr>
      <w:r w:rsidRPr="00D74627">
        <w:rPr>
          <w:rFonts w:ascii="Verdana" w:hAnsi="Verdana" w:cs="Arial"/>
          <w:sz w:val="17"/>
          <w:szCs w:val="17"/>
        </w:rPr>
        <w:t>Face ao contexto referido no parágrafo anterior, a Sociedade dispunha de reduzida informação atualizada sobre os créditos objeto do contrato celebrado, tendo as perdas por imparidade para adiantamentos a fornecedores sido estimadas da seguinte forma:</w:t>
      </w:r>
    </w:p>
    <w:p w14:paraId="0D32D96D" w14:textId="77777777" w:rsidR="00C82F0D" w:rsidRPr="00D74627" w:rsidRDefault="00C82F0D" w:rsidP="00633A3B">
      <w:pPr>
        <w:tabs>
          <w:tab w:val="left" w:pos="426"/>
        </w:tabs>
        <w:ind w:left="426" w:right="-22"/>
        <w:jc w:val="both"/>
        <w:rPr>
          <w:rFonts w:ascii="Verdana" w:hAnsi="Verdana" w:cs="Arial"/>
          <w:sz w:val="17"/>
          <w:szCs w:val="17"/>
        </w:rPr>
      </w:pPr>
    </w:p>
    <w:p w14:paraId="72CBD6E1" w14:textId="77777777" w:rsidR="00C82F0D" w:rsidRPr="00D74627" w:rsidRDefault="00C82F0D" w:rsidP="00D84952">
      <w:pPr>
        <w:pStyle w:val="PargrafodaLista"/>
        <w:numPr>
          <w:ilvl w:val="0"/>
          <w:numId w:val="20"/>
        </w:numPr>
        <w:tabs>
          <w:tab w:val="left" w:pos="426"/>
        </w:tabs>
        <w:ind w:right="-22"/>
        <w:jc w:val="both"/>
        <w:rPr>
          <w:rFonts w:ascii="Verdana" w:hAnsi="Verdana" w:cs="Arial"/>
          <w:sz w:val="17"/>
          <w:szCs w:val="17"/>
        </w:rPr>
      </w:pPr>
      <w:r w:rsidRPr="00D74627">
        <w:rPr>
          <w:rFonts w:ascii="Verdana" w:hAnsi="Verdana" w:cs="Arial"/>
          <w:sz w:val="17"/>
          <w:szCs w:val="17"/>
        </w:rPr>
        <w:t xml:space="preserve">Análise individual de todos os devedores com responsabilidades superiores a 250 </w:t>
      </w:r>
      <w:proofErr w:type="spellStart"/>
      <w:proofErr w:type="gramStart"/>
      <w:r w:rsidRPr="00D74627">
        <w:rPr>
          <w:rFonts w:ascii="Verdana" w:hAnsi="Verdana" w:cs="Arial"/>
          <w:sz w:val="17"/>
          <w:szCs w:val="17"/>
        </w:rPr>
        <w:t>m.euros</w:t>
      </w:r>
      <w:proofErr w:type="spellEnd"/>
      <w:proofErr w:type="gramEnd"/>
      <w:r w:rsidRPr="00D74627">
        <w:rPr>
          <w:rFonts w:ascii="Verdana" w:hAnsi="Verdana" w:cs="Arial"/>
          <w:sz w:val="17"/>
          <w:szCs w:val="17"/>
        </w:rPr>
        <w:t xml:space="preserve"> – A Sociedade efetua uma análise específica através das áreas responsáveis pelo acompanhamento dos créditos, tendo por base uma metodologia de análise interna, a qual considera entre outros aspetos os colaterais das operações.</w:t>
      </w:r>
    </w:p>
    <w:p w14:paraId="10FF5CFE" w14:textId="77777777" w:rsidR="00C82F0D" w:rsidRPr="00D74627" w:rsidRDefault="00C82F0D" w:rsidP="009D0551">
      <w:pPr>
        <w:pStyle w:val="PargrafodaLista"/>
        <w:tabs>
          <w:tab w:val="left" w:pos="426"/>
        </w:tabs>
        <w:ind w:left="1146" w:right="-22"/>
        <w:jc w:val="both"/>
        <w:rPr>
          <w:rFonts w:ascii="Verdana" w:hAnsi="Verdana" w:cs="Arial"/>
          <w:sz w:val="17"/>
          <w:szCs w:val="17"/>
        </w:rPr>
      </w:pPr>
    </w:p>
    <w:p w14:paraId="2F9F3B70" w14:textId="3EC55249" w:rsidR="00C82F0D" w:rsidRPr="00D74627" w:rsidRDefault="00C82F0D" w:rsidP="00D84952">
      <w:pPr>
        <w:pStyle w:val="PargrafodaLista"/>
        <w:numPr>
          <w:ilvl w:val="0"/>
          <w:numId w:val="20"/>
        </w:numPr>
        <w:tabs>
          <w:tab w:val="left" w:pos="426"/>
        </w:tabs>
        <w:ind w:right="-22"/>
        <w:jc w:val="both"/>
        <w:rPr>
          <w:rFonts w:ascii="Verdana" w:hAnsi="Verdana" w:cs="Arial"/>
          <w:sz w:val="17"/>
          <w:szCs w:val="17"/>
        </w:rPr>
      </w:pPr>
      <w:r w:rsidRPr="00D74627">
        <w:rPr>
          <w:rFonts w:ascii="Verdana" w:hAnsi="Verdana" w:cs="Arial"/>
          <w:sz w:val="17"/>
          <w:szCs w:val="17"/>
        </w:rPr>
        <w:t xml:space="preserve">O universo dos devedores não sujeitos à análise individual corresponde essencialmente a crédito à habitação de colaboradores e ex-colaboradores da Sociedade e do </w:t>
      </w:r>
      <w:r w:rsidR="00F04ECD">
        <w:rPr>
          <w:rFonts w:ascii="Verdana" w:hAnsi="Verdana" w:cs="Arial"/>
          <w:sz w:val="17"/>
          <w:szCs w:val="17"/>
        </w:rPr>
        <w:t>Abanca</w:t>
      </w:r>
      <w:r w:rsidRPr="00D74627">
        <w:rPr>
          <w:rFonts w:ascii="Verdana" w:hAnsi="Verdana" w:cs="Arial"/>
          <w:sz w:val="17"/>
          <w:szCs w:val="17"/>
        </w:rPr>
        <w:t xml:space="preserve">  Atendendo a que o </w:t>
      </w:r>
      <w:r w:rsidR="00F04ECD">
        <w:rPr>
          <w:rFonts w:ascii="Verdana" w:hAnsi="Verdana" w:cs="Arial"/>
          <w:sz w:val="17"/>
          <w:szCs w:val="17"/>
        </w:rPr>
        <w:t>Abanca</w:t>
      </w:r>
      <w:r w:rsidRPr="00D74627">
        <w:rPr>
          <w:rFonts w:ascii="Verdana" w:hAnsi="Verdana" w:cs="Arial"/>
          <w:sz w:val="17"/>
          <w:szCs w:val="17"/>
        </w:rPr>
        <w:t xml:space="preserve"> transferiu as operações que se encontravam em situação de incumprimento e tinham sido resolvidas até 19 de novembro de 2015, é convicção do Conselho de Administração da Sociedade que estas operações de crédito estarão maioritariamente em situação regular e apresentam nível de risco mais reduzido, pelo que as taxas de imparidade atribuídas foram determinadas no pressuposto do cumprimento do plano de reembolso definido, bem como da existência de garantias reais para as operações.</w:t>
      </w:r>
    </w:p>
    <w:p w14:paraId="0AB81640" w14:textId="77777777" w:rsidR="00C82F0D" w:rsidRPr="00107B4D" w:rsidRDefault="00C82F0D" w:rsidP="00633A3B">
      <w:pPr>
        <w:jc w:val="both"/>
        <w:rPr>
          <w:rFonts w:ascii="Verdana" w:hAnsi="Verdana" w:cs="Arial"/>
          <w:sz w:val="17"/>
          <w:szCs w:val="17"/>
          <w:u w:val="single"/>
        </w:rPr>
      </w:pPr>
    </w:p>
    <w:p w14:paraId="533A5191" w14:textId="77777777" w:rsidR="00C82F0D" w:rsidRPr="00C95655" w:rsidRDefault="00C82F0D" w:rsidP="00D84952">
      <w:pPr>
        <w:pStyle w:val="Ttulo1"/>
        <w:keepNext w:val="0"/>
        <w:keepLines w:val="0"/>
        <w:numPr>
          <w:ilvl w:val="0"/>
          <w:numId w:val="3"/>
        </w:numPr>
        <w:tabs>
          <w:tab w:val="left" w:pos="426"/>
        </w:tabs>
        <w:spacing w:before="0"/>
        <w:ind w:right="-22"/>
        <w:jc w:val="both"/>
        <w:rPr>
          <w:rFonts w:ascii="Verdana" w:eastAsia="Times New Roman" w:hAnsi="Verdana" w:cs="Arial"/>
          <w:b w:val="0"/>
          <w:bCs w:val="0"/>
          <w:color w:val="auto"/>
          <w:sz w:val="17"/>
          <w:szCs w:val="17"/>
          <w:u w:val="single"/>
          <w:lang w:eastAsia="en-US"/>
        </w:rPr>
      </w:pPr>
      <w:r w:rsidRPr="00C95655">
        <w:rPr>
          <w:rFonts w:ascii="Verdana" w:eastAsia="Times New Roman" w:hAnsi="Verdana" w:cs="Arial"/>
          <w:b w:val="0"/>
          <w:bCs w:val="0"/>
          <w:color w:val="auto"/>
          <w:sz w:val="17"/>
          <w:szCs w:val="17"/>
          <w:u w:val="single"/>
          <w:lang w:eastAsia="en-US"/>
        </w:rPr>
        <w:t>ESTADO E OUTROS ENTES PÚBLICOS</w:t>
      </w:r>
    </w:p>
    <w:p w14:paraId="7F5809FA" w14:textId="77777777" w:rsidR="00C82F0D" w:rsidRPr="00C95655" w:rsidRDefault="00C82F0D" w:rsidP="00633A3B">
      <w:pPr>
        <w:suppressLineNumbers/>
        <w:tabs>
          <w:tab w:val="left" w:pos="426"/>
          <w:tab w:val="left" w:pos="709"/>
          <w:tab w:val="left" w:pos="993"/>
          <w:tab w:val="right" w:pos="7939"/>
        </w:tabs>
        <w:ind w:right="-22"/>
        <w:jc w:val="both"/>
        <w:rPr>
          <w:rFonts w:ascii="Verdana" w:hAnsi="Verdana" w:cs="Arial"/>
          <w:sz w:val="17"/>
          <w:szCs w:val="17"/>
        </w:rPr>
      </w:pPr>
    </w:p>
    <w:p w14:paraId="6F83C802" w14:textId="77777777" w:rsidR="00C82F0D" w:rsidRPr="00C95655" w:rsidRDefault="00C82F0D" w:rsidP="00633A3B">
      <w:pPr>
        <w:suppressLineNumbers/>
        <w:tabs>
          <w:tab w:val="left" w:pos="426"/>
          <w:tab w:val="left" w:pos="709"/>
          <w:tab w:val="left" w:pos="993"/>
          <w:tab w:val="right" w:pos="7939"/>
        </w:tabs>
        <w:ind w:left="426" w:right="-22"/>
        <w:jc w:val="both"/>
        <w:rPr>
          <w:rFonts w:ascii="Verdana" w:hAnsi="Verdana" w:cs="Arial"/>
          <w:sz w:val="17"/>
          <w:szCs w:val="17"/>
        </w:rPr>
      </w:pPr>
      <w:r w:rsidRPr="00C95655">
        <w:rPr>
          <w:rFonts w:ascii="Verdana" w:hAnsi="Verdana" w:cs="Arial"/>
          <w:sz w:val="17"/>
          <w:szCs w:val="17"/>
        </w:rPr>
        <w:t>Os saldos de ativos e passivos por impostos sobre o rendimento apresentam a seguinte composição:</w:t>
      </w:r>
    </w:p>
    <w:p w14:paraId="2D9CEF3C" w14:textId="77777777" w:rsidR="00C82F0D" w:rsidRPr="00C95655" w:rsidRDefault="00C82F0D" w:rsidP="00633A3B">
      <w:pPr>
        <w:suppressLineNumbers/>
        <w:tabs>
          <w:tab w:val="left" w:pos="426"/>
          <w:tab w:val="left" w:pos="709"/>
          <w:tab w:val="left" w:pos="993"/>
          <w:tab w:val="right" w:pos="7939"/>
        </w:tabs>
        <w:ind w:left="426" w:right="-22"/>
        <w:jc w:val="both"/>
        <w:rPr>
          <w:rFonts w:ascii="Verdana" w:hAnsi="Verdana" w:cs="Arial"/>
          <w:sz w:val="17"/>
          <w:szCs w:val="17"/>
        </w:rPr>
      </w:pPr>
    </w:p>
    <w:p w14:paraId="7892AA09" w14:textId="77777777" w:rsidR="00C82F0D" w:rsidRPr="00C95655" w:rsidRDefault="00C82F0D" w:rsidP="00C95655">
      <w:pPr>
        <w:suppressLineNumbers/>
        <w:tabs>
          <w:tab w:val="left" w:pos="426"/>
          <w:tab w:val="left" w:pos="709"/>
          <w:tab w:val="left" w:pos="993"/>
          <w:tab w:val="right" w:pos="7939"/>
        </w:tabs>
        <w:ind w:left="426" w:right="-22"/>
        <w:jc w:val="both"/>
        <w:rPr>
          <w:rFonts w:ascii="Verdana" w:hAnsi="Verdana" w:cs="Arial"/>
          <w:sz w:val="17"/>
          <w:szCs w:val="17"/>
        </w:rPr>
      </w:pPr>
      <w:r w:rsidRPr="00E3053B">
        <w:rPr>
          <w:noProof/>
        </w:rPr>
        <w:drawing>
          <wp:inline distT="0" distB="0" distL="0" distR="0" wp14:anchorId="09B4351C" wp14:editId="61661842">
            <wp:extent cx="5036127" cy="1763006"/>
            <wp:effectExtent l="0" t="0" r="0" b="0"/>
            <wp:docPr id="7048432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058186" cy="1770728"/>
                    </a:xfrm>
                    <a:prstGeom prst="rect">
                      <a:avLst/>
                    </a:prstGeom>
                    <a:noFill/>
                    <a:ln>
                      <a:noFill/>
                    </a:ln>
                  </pic:spPr>
                </pic:pic>
              </a:graphicData>
            </a:graphic>
          </wp:inline>
        </w:drawing>
      </w:r>
    </w:p>
    <w:p w14:paraId="2D9201EC" w14:textId="77777777" w:rsidR="00C82F0D" w:rsidRPr="00D74627" w:rsidRDefault="00C82F0D" w:rsidP="00633A3B">
      <w:pPr>
        <w:tabs>
          <w:tab w:val="left" w:pos="426"/>
          <w:tab w:val="left" w:pos="1276"/>
          <w:tab w:val="right" w:pos="6804"/>
          <w:tab w:val="right" w:pos="7939"/>
        </w:tabs>
        <w:ind w:left="426" w:right="-22"/>
        <w:jc w:val="both"/>
        <w:rPr>
          <w:rFonts w:ascii="Verdana" w:hAnsi="Verdana" w:cs="Arial"/>
          <w:sz w:val="17"/>
          <w:szCs w:val="17"/>
        </w:rPr>
      </w:pPr>
      <w:r w:rsidRPr="00C95655">
        <w:rPr>
          <w:rFonts w:ascii="Verdana" w:hAnsi="Verdana" w:cs="Arial"/>
          <w:sz w:val="17"/>
          <w:szCs w:val="17"/>
        </w:rPr>
        <w:t>A Sociedade esteve sujeita a tributação</w:t>
      </w:r>
      <w:r w:rsidRPr="00D74627">
        <w:rPr>
          <w:rFonts w:ascii="Verdana" w:hAnsi="Verdana" w:cs="Arial"/>
          <w:sz w:val="17"/>
          <w:szCs w:val="17"/>
        </w:rPr>
        <w:t xml:space="preserve"> em sede de Imposto sobre o Rendimento das Pessoas Coletivas (IRC) e correspondente Derrama Municipal, cuja taxa agregada nos exercícios de 2025 e 2024 foi de 21,5% e 22,5%, respetivamente. Adicionalmente, nos termos do artigo 87º-A do código do IRC, o lucro tributável sujeito e não isento, superior a 1.500 </w:t>
      </w:r>
      <w:proofErr w:type="spellStart"/>
      <w:proofErr w:type="gramStart"/>
      <w:r w:rsidRPr="00D74627">
        <w:rPr>
          <w:rFonts w:ascii="Verdana" w:hAnsi="Verdana" w:cs="Arial"/>
          <w:sz w:val="17"/>
          <w:szCs w:val="17"/>
        </w:rPr>
        <w:t>m.euros</w:t>
      </w:r>
      <w:proofErr w:type="spellEnd"/>
      <w:proofErr w:type="gramEnd"/>
      <w:r w:rsidRPr="00D74627">
        <w:rPr>
          <w:rFonts w:ascii="Verdana" w:hAnsi="Verdana" w:cs="Arial"/>
          <w:sz w:val="17"/>
          <w:szCs w:val="17"/>
        </w:rPr>
        <w:t>, está sujeito a derrama estadual, de acordo com os seguintes intervalos:</w:t>
      </w:r>
    </w:p>
    <w:p w14:paraId="55608EE1" w14:textId="77777777" w:rsidR="00C82F0D" w:rsidRPr="00D74627" w:rsidRDefault="00C82F0D" w:rsidP="00633A3B">
      <w:pPr>
        <w:tabs>
          <w:tab w:val="left" w:pos="426"/>
          <w:tab w:val="left" w:pos="1276"/>
          <w:tab w:val="right" w:pos="6804"/>
          <w:tab w:val="right" w:pos="7939"/>
        </w:tabs>
        <w:ind w:left="426" w:right="-22"/>
        <w:jc w:val="both"/>
        <w:rPr>
          <w:rFonts w:ascii="Verdana" w:hAnsi="Verdana" w:cs="Arial"/>
          <w:sz w:val="17"/>
          <w:szCs w:val="17"/>
        </w:rPr>
      </w:pPr>
      <w:r w:rsidRPr="00D74627">
        <w:rPr>
          <w:rFonts w:ascii="Verdana" w:hAnsi="Verdana"/>
          <w:noProof/>
        </w:rPr>
        <w:drawing>
          <wp:inline distT="0" distB="0" distL="0" distR="0" wp14:anchorId="24BD98CF" wp14:editId="189C0835">
            <wp:extent cx="4991100" cy="846444"/>
            <wp:effectExtent l="0" t="0" r="0" b="0"/>
            <wp:docPr id="152551303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010892" cy="849800"/>
                    </a:xfrm>
                    <a:prstGeom prst="rect">
                      <a:avLst/>
                    </a:prstGeom>
                    <a:noFill/>
                    <a:ln>
                      <a:noFill/>
                    </a:ln>
                  </pic:spPr>
                </pic:pic>
              </a:graphicData>
            </a:graphic>
          </wp:inline>
        </w:drawing>
      </w:r>
    </w:p>
    <w:p w14:paraId="745626E6" w14:textId="77777777" w:rsidR="00C82F0D" w:rsidRPr="00D74627" w:rsidRDefault="00C82F0D" w:rsidP="00633A3B">
      <w:pPr>
        <w:tabs>
          <w:tab w:val="left" w:pos="426"/>
          <w:tab w:val="left" w:pos="1276"/>
          <w:tab w:val="right" w:pos="6804"/>
          <w:tab w:val="right" w:pos="7939"/>
        </w:tabs>
        <w:ind w:left="426" w:right="-22"/>
        <w:jc w:val="both"/>
        <w:rPr>
          <w:rFonts w:ascii="Verdana" w:hAnsi="Verdana" w:cs="Arial"/>
          <w:sz w:val="17"/>
          <w:szCs w:val="17"/>
        </w:rPr>
      </w:pPr>
    </w:p>
    <w:p w14:paraId="281F4B9A" w14:textId="77777777" w:rsidR="00C82F0D" w:rsidRPr="00D74627" w:rsidRDefault="00C82F0D" w:rsidP="00633A3B">
      <w:pPr>
        <w:tabs>
          <w:tab w:val="left" w:pos="426"/>
          <w:tab w:val="left" w:pos="1276"/>
          <w:tab w:val="right" w:pos="6804"/>
          <w:tab w:val="right" w:pos="7939"/>
        </w:tabs>
        <w:ind w:right="-22"/>
        <w:jc w:val="both"/>
        <w:rPr>
          <w:rFonts w:ascii="Verdana" w:hAnsi="Verdana" w:cs="Arial"/>
          <w:sz w:val="17"/>
          <w:szCs w:val="17"/>
        </w:rPr>
      </w:pPr>
    </w:p>
    <w:p w14:paraId="53A42B23" w14:textId="77777777" w:rsidR="00C82F0D" w:rsidRPr="00D74627" w:rsidRDefault="00C82F0D" w:rsidP="00633A3B">
      <w:pPr>
        <w:tabs>
          <w:tab w:val="left" w:pos="426"/>
          <w:tab w:val="left" w:pos="1276"/>
          <w:tab w:val="right" w:pos="6804"/>
          <w:tab w:val="right" w:pos="7939"/>
        </w:tabs>
        <w:ind w:left="426" w:right="-22"/>
        <w:jc w:val="both"/>
        <w:rPr>
          <w:rFonts w:ascii="Verdana" w:hAnsi="Verdana" w:cs="Arial"/>
          <w:sz w:val="17"/>
          <w:szCs w:val="17"/>
        </w:rPr>
      </w:pPr>
      <w:r w:rsidRPr="00D74627">
        <w:rPr>
          <w:rFonts w:ascii="Verdana" w:hAnsi="Verdana" w:cs="Arial"/>
          <w:sz w:val="17"/>
          <w:szCs w:val="17"/>
        </w:rPr>
        <w:t>Adicionalmente, algumas despesas incorridas pela Sociedade são tributadas autonomamente em sede de IRC.</w:t>
      </w:r>
    </w:p>
    <w:p w14:paraId="5C17AF89" w14:textId="77777777" w:rsidR="00C82F0D" w:rsidRPr="00D74627" w:rsidRDefault="00C82F0D" w:rsidP="00633A3B">
      <w:pPr>
        <w:tabs>
          <w:tab w:val="left" w:pos="426"/>
          <w:tab w:val="left" w:pos="1276"/>
          <w:tab w:val="right" w:pos="6804"/>
          <w:tab w:val="right" w:pos="7939"/>
        </w:tabs>
        <w:ind w:right="-22"/>
        <w:jc w:val="both"/>
        <w:rPr>
          <w:rFonts w:ascii="Verdana" w:hAnsi="Verdana" w:cs="Arial"/>
          <w:sz w:val="17"/>
          <w:szCs w:val="17"/>
        </w:rPr>
      </w:pPr>
    </w:p>
    <w:p w14:paraId="13B60219" w14:textId="77777777" w:rsidR="00C82F0D" w:rsidRPr="00D74627" w:rsidRDefault="00C82F0D" w:rsidP="00633A3B">
      <w:pPr>
        <w:tabs>
          <w:tab w:val="left" w:pos="426"/>
          <w:tab w:val="left" w:pos="1276"/>
          <w:tab w:val="right" w:pos="6804"/>
          <w:tab w:val="right" w:pos="7939"/>
        </w:tabs>
        <w:ind w:left="426" w:right="-22"/>
        <w:jc w:val="both"/>
        <w:rPr>
          <w:rFonts w:ascii="Verdana" w:hAnsi="Verdana" w:cs="Arial"/>
          <w:sz w:val="17"/>
          <w:szCs w:val="17"/>
        </w:rPr>
      </w:pPr>
      <w:r w:rsidRPr="00D74627">
        <w:rPr>
          <w:rFonts w:ascii="Verdana" w:hAnsi="Verdana" w:cs="Arial"/>
          <w:sz w:val="17"/>
          <w:szCs w:val="17"/>
        </w:rPr>
        <w:t>De acordo com a legislação em vigor, as declarações fiscais estão sujeitas a revisão e correção por parte das autoridades fiscais durante um período de quatro anos (cinco anos para a Segurança Social) ou pelo prazo de reporte dos prejuízos fiscais existentes. Deste modo, as declarações fiscais da Sociedade dos anos de 2022 a 2025 poderão vir ainda a ser sujeitas a revisão. O Conselho de Administração da Sociedade entende que as eventuais correções resultantes de revisões/inspeções por parte das autoridades fiscais àquelas declarações de impostos, não terão um efeito significativo nas demonstrações financeiras anexas.</w:t>
      </w:r>
    </w:p>
    <w:p w14:paraId="487B3F11" w14:textId="77777777" w:rsidR="00C82F0D" w:rsidRPr="00D74627" w:rsidRDefault="00C82F0D" w:rsidP="00633A3B">
      <w:pPr>
        <w:tabs>
          <w:tab w:val="left" w:pos="426"/>
          <w:tab w:val="left" w:pos="1276"/>
          <w:tab w:val="right" w:pos="6804"/>
          <w:tab w:val="right" w:pos="7939"/>
        </w:tabs>
        <w:ind w:left="426" w:right="-22"/>
        <w:jc w:val="both"/>
        <w:rPr>
          <w:rFonts w:ascii="Verdana" w:hAnsi="Verdana" w:cs="Arial"/>
          <w:sz w:val="17"/>
          <w:szCs w:val="17"/>
        </w:rPr>
      </w:pPr>
    </w:p>
    <w:p w14:paraId="3B2F3BAE" w14:textId="77777777" w:rsidR="00C82F0D" w:rsidRPr="00D74627" w:rsidRDefault="00C82F0D" w:rsidP="00633A3B">
      <w:pPr>
        <w:suppressLineNumbers/>
        <w:tabs>
          <w:tab w:val="left" w:pos="426"/>
          <w:tab w:val="left" w:pos="709"/>
          <w:tab w:val="left" w:pos="993"/>
          <w:tab w:val="right" w:pos="7939"/>
        </w:tabs>
        <w:ind w:left="426" w:right="-22"/>
        <w:jc w:val="both"/>
        <w:rPr>
          <w:rFonts w:ascii="Verdana" w:hAnsi="Verdana" w:cs="Arial"/>
          <w:sz w:val="17"/>
          <w:szCs w:val="17"/>
        </w:rPr>
      </w:pPr>
      <w:r w:rsidRPr="00D74627">
        <w:rPr>
          <w:rFonts w:ascii="Verdana" w:hAnsi="Verdana" w:cs="Arial"/>
          <w:sz w:val="17"/>
          <w:szCs w:val="17"/>
        </w:rPr>
        <w:lastRenderedPageBreak/>
        <w:t>O prazo de reporte dos prejuízos fiscais reportáveis (“PFR”) apurados em períodos de tributação iniciados em ou após 1 de janeiro de 2017 é de cinco períodos de tributação, sendo este prazo de doze anos para os prejuízos fiscais gerados nos exercícios de 2014 a 2016. Relativamente aos exercícios de 2021 e 2020, o prazo de reporte de prejuízos fiscais gerados é de doze anos, sendo que para o exercício de 2022 o prazo é de 5 anos. Para o exercício de 2023 e 2024 deixou de estar previsto qualquer período temporal para o reporte de prejuízos fiscais. A contagem do prazo de reporte, relativamente aos prejuízos fiscais em reporte no primeiro dia do período de tributação de 2020, fica suspensa durante os períodos de tributação de 2020 e 2021, traduzindo-se num aumento de 2 anos do prazo de reporte dos prejuízos fiscais apurados em 2017 e anos seguintes. Adicionalmente, de acordo com o enquadramento legal em vigor, a dedução dos PFR encontra-se limitada a 65% do lucro tributável em cada ano, sendo anteriormente de 70%. O limite de 65% para dedução ao lucro tributável de prejuízos fiscais é elevado para 75% do lucro tributável, sempre que essa diferença resulte da dedução de prejuízos fiscais apurados nos períodos de tributação de 2020 e 2021. De acordo com o “IAS 12 – Impostos sobre lucros”, os impostos diferidos ativos devem ser registados até ao montante em que seja provável a existência de lucros tributáveis futuros que permitam a utilização das correspondentes diferenças tributárias dedutíveis ou prejuízos fiscais.</w:t>
      </w:r>
    </w:p>
    <w:p w14:paraId="1E114726" w14:textId="77777777" w:rsidR="00C82F0D" w:rsidRPr="00D74627" w:rsidRDefault="00C82F0D" w:rsidP="00633A3B">
      <w:pPr>
        <w:tabs>
          <w:tab w:val="left" w:pos="426"/>
          <w:tab w:val="left" w:pos="1276"/>
          <w:tab w:val="right" w:pos="6804"/>
          <w:tab w:val="right" w:pos="7939"/>
        </w:tabs>
        <w:ind w:left="426" w:right="-22"/>
        <w:jc w:val="both"/>
        <w:rPr>
          <w:rFonts w:ascii="Verdana" w:hAnsi="Verdana" w:cs="Arial"/>
          <w:sz w:val="17"/>
          <w:szCs w:val="17"/>
        </w:rPr>
      </w:pPr>
    </w:p>
    <w:p w14:paraId="17E3347B" w14:textId="77777777" w:rsidR="00C82F0D" w:rsidRPr="00C95655" w:rsidRDefault="00C82F0D" w:rsidP="00633A3B">
      <w:pPr>
        <w:ind w:left="426"/>
        <w:jc w:val="both"/>
        <w:rPr>
          <w:rFonts w:ascii="Verdana" w:hAnsi="Verdana" w:cs="Arial"/>
          <w:sz w:val="17"/>
          <w:szCs w:val="17"/>
        </w:rPr>
      </w:pPr>
      <w:r w:rsidRPr="00D74627">
        <w:rPr>
          <w:rFonts w:ascii="Verdana" w:hAnsi="Verdana" w:cs="Arial"/>
          <w:sz w:val="17"/>
          <w:szCs w:val="17"/>
        </w:rPr>
        <w:t xml:space="preserve">A Sociedade não reconheceu impostos diferidos ativos nas demonstrações financeiras, </w:t>
      </w:r>
      <w:r w:rsidRPr="00C95655">
        <w:rPr>
          <w:rFonts w:ascii="Verdana" w:hAnsi="Verdana" w:cs="Arial"/>
          <w:sz w:val="17"/>
          <w:szCs w:val="17"/>
        </w:rPr>
        <w:t xml:space="preserve">nomeadamente os referentes a prejuízos fiscais reportáveis, na medida em que não dispõe de estudos que demonstrem a probabilidade de obtenção de lucros fiscais futuros suficientes que possibilitem a recuperação dessas diferenças.  Em 31 de dezembro de 2025 os prejuízos fiscais reportáveis para os quais a Sociedade não reconheceu impostos diferidos ativos ascendem a 177.274 </w:t>
      </w:r>
      <w:proofErr w:type="spellStart"/>
      <w:proofErr w:type="gramStart"/>
      <w:r w:rsidRPr="00C95655">
        <w:rPr>
          <w:rFonts w:ascii="Verdana" w:hAnsi="Verdana" w:cs="Arial"/>
          <w:sz w:val="17"/>
          <w:szCs w:val="17"/>
        </w:rPr>
        <w:t>m.euros</w:t>
      </w:r>
      <w:proofErr w:type="spellEnd"/>
      <w:proofErr w:type="gramEnd"/>
      <w:r w:rsidRPr="00C95655">
        <w:rPr>
          <w:rFonts w:ascii="Verdana" w:hAnsi="Verdana" w:cs="Arial"/>
          <w:sz w:val="17"/>
          <w:szCs w:val="17"/>
        </w:rPr>
        <w:t>.</w:t>
      </w:r>
    </w:p>
    <w:p w14:paraId="02610497" w14:textId="77777777" w:rsidR="00C82F0D" w:rsidRPr="00C95655" w:rsidRDefault="00C82F0D" w:rsidP="00633A3B">
      <w:pPr>
        <w:jc w:val="both"/>
        <w:rPr>
          <w:rFonts w:ascii="Verdana" w:hAnsi="Verdana" w:cs="Arial"/>
          <w:sz w:val="17"/>
          <w:szCs w:val="17"/>
        </w:rPr>
      </w:pPr>
    </w:p>
    <w:p w14:paraId="5EF9C748" w14:textId="77777777" w:rsidR="00C82F0D" w:rsidRPr="00C95655" w:rsidRDefault="00C82F0D" w:rsidP="00633A3B">
      <w:pPr>
        <w:tabs>
          <w:tab w:val="left" w:pos="426"/>
          <w:tab w:val="left" w:pos="1276"/>
        </w:tabs>
        <w:ind w:left="425" w:right="-22"/>
        <w:jc w:val="both"/>
        <w:rPr>
          <w:rFonts w:ascii="Verdana" w:hAnsi="Verdana" w:cs="Arial"/>
          <w:sz w:val="17"/>
          <w:szCs w:val="17"/>
        </w:rPr>
      </w:pPr>
      <w:r w:rsidRPr="00C95655">
        <w:rPr>
          <w:rFonts w:ascii="Verdana" w:hAnsi="Verdana" w:cs="Arial"/>
          <w:sz w:val="17"/>
          <w:szCs w:val="17"/>
        </w:rPr>
        <w:t xml:space="preserve">Em 31 de dezembro de 2025 e 2024, os custos com impostos sobre lucros registados em resultados, bem como a carga fiscal, medida pela relação entre a dotação para impostos sobre lucros e o resultado líquido do exercício antes de impostos, podem ser apresentados como se segue: </w:t>
      </w:r>
    </w:p>
    <w:p w14:paraId="2F5EF85D" w14:textId="77777777" w:rsidR="00C82F0D" w:rsidRPr="00376FBA" w:rsidRDefault="00C82F0D" w:rsidP="00633A3B">
      <w:pPr>
        <w:tabs>
          <w:tab w:val="left" w:pos="426"/>
          <w:tab w:val="left" w:pos="1276"/>
        </w:tabs>
        <w:ind w:left="425" w:right="-22"/>
        <w:jc w:val="both"/>
        <w:rPr>
          <w:rFonts w:ascii="Verdana" w:hAnsi="Verdana" w:cs="Arial"/>
          <w:sz w:val="17"/>
          <w:szCs w:val="17"/>
          <w:highlight w:val="yellow"/>
        </w:rPr>
      </w:pPr>
    </w:p>
    <w:p w14:paraId="696AE525" w14:textId="77777777" w:rsidR="00C82F0D" w:rsidRPr="00376FBA" w:rsidRDefault="00C82F0D" w:rsidP="007D2479">
      <w:pPr>
        <w:tabs>
          <w:tab w:val="left" w:pos="426"/>
          <w:tab w:val="left" w:pos="1276"/>
        </w:tabs>
        <w:ind w:left="425" w:right="-1"/>
        <w:jc w:val="both"/>
        <w:rPr>
          <w:rFonts w:ascii="Verdana" w:hAnsi="Verdana" w:cs="Arial"/>
          <w:sz w:val="17"/>
          <w:szCs w:val="17"/>
          <w:highlight w:val="yellow"/>
        </w:rPr>
      </w:pPr>
      <w:r w:rsidRPr="00376FBA">
        <w:rPr>
          <w:rFonts w:ascii="Verdana" w:hAnsi="Verdana" w:cs="Arial"/>
          <w:sz w:val="17"/>
          <w:szCs w:val="17"/>
          <w:highlight w:val="yellow"/>
        </w:rPr>
        <w:t xml:space="preserve"> </w:t>
      </w:r>
      <w:r w:rsidRPr="00E3053B">
        <w:rPr>
          <w:noProof/>
        </w:rPr>
        <w:drawing>
          <wp:inline distT="0" distB="0" distL="0" distR="0" wp14:anchorId="34F385EA" wp14:editId="7D651F5F">
            <wp:extent cx="5084618" cy="1235287"/>
            <wp:effectExtent l="0" t="0" r="1905" b="3175"/>
            <wp:docPr id="21437571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129418" cy="1246171"/>
                    </a:xfrm>
                    <a:prstGeom prst="rect">
                      <a:avLst/>
                    </a:prstGeom>
                    <a:noFill/>
                    <a:ln>
                      <a:noFill/>
                    </a:ln>
                  </pic:spPr>
                </pic:pic>
              </a:graphicData>
            </a:graphic>
          </wp:inline>
        </w:drawing>
      </w:r>
    </w:p>
    <w:p w14:paraId="44E5A2B8" w14:textId="77777777" w:rsidR="00C82F0D" w:rsidRPr="00376FBA" w:rsidRDefault="00C82F0D" w:rsidP="00633A3B">
      <w:pPr>
        <w:tabs>
          <w:tab w:val="left" w:pos="426"/>
          <w:tab w:val="left" w:pos="1276"/>
        </w:tabs>
        <w:ind w:left="425" w:right="-22"/>
        <w:jc w:val="both"/>
        <w:rPr>
          <w:rFonts w:ascii="Verdana" w:hAnsi="Verdana" w:cs="Arial"/>
          <w:sz w:val="17"/>
          <w:szCs w:val="17"/>
          <w:highlight w:val="yellow"/>
        </w:rPr>
      </w:pPr>
    </w:p>
    <w:p w14:paraId="38A0445C" w14:textId="77777777" w:rsidR="00C82F0D" w:rsidRPr="00376FBA" w:rsidRDefault="00C82F0D">
      <w:pPr>
        <w:rPr>
          <w:rFonts w:ascii="Verdana" w:hAnsi="Verdana" w:cs="Arial"/>
          <w:sz w:val="17"/>
          <w:szCs w:val="17"/>
          <w:highlight w:val="yellow"/>
        </w:rPr>
      </w:pPr>
      <w:r w:rsidRPr="00376FBA">
        <w:rPr>
          <w:rFonts w:ascii="Verdana" w:hAnsi="Verdana" w:cs="Arial"/>
          <w:sz w:val="17"/>
          <w:szCs w:val="17"/>
          <w:highlight w:val="yellow"/>
        </w:rPr>
        <w:br w:type="page"/>
      </w:r>
    </w:p>
    <w:p w14:paraId="776B5D41" w14:textId="77777777" w:rsidR="00C82F0D" w:rsidRPr="00153FC0" w:rsidRDefault="00C82F0D" w:rsidP="00FF4E3A">
      <w:pPr>
        <w:tabs>
          <w:tab w:val="left" w:pos="426"/>
          <w:tab w:val="left" w:pos="1276"/>
          <w:tab w:val="right" w:pos="6804"/>
          <w:tab w:val="right" w:pos="7939"/>
        </w:tabs>
        <w:ind w:left="425" w:right="-22"/>
        <w:jc w:val="both"/>
        <w:rPr>
          <w:rFonts w:ascii="Verdana" w:hAnsi="Verdana" w:cs="Arial"/>
          <w:sz w:val="17"/>
          <w:szCs w:val="17"/>
        </w:rPr>
      </w:pPr>
      <w:r w:rsidRPr="00153FC0">
        <w:rPr>
          <w:rFonts w:ascii="Verdana" w:hAnsi="Verdana" w:cs="Arial"/>
          <w:sz w:val="17"/>
          <w:szCs w:val="17"/>
        </w:rPr>
        <w:lastRenderedPageBreak/>
        <w:tab/>
        <w:t>A reconciliação entre a taxa nominal e a taxa efetiva de imposto, nos exercícios de 2025 e 2024, pode ser demonstrada como segue:</w:t>
      </w:r>
    </w:p>
    <w:p w14:paraId="6CE56CAA" w14:textId="77777777" w:rsidR="00C82F0D" w:rsidRPr="00153FC0" w:rsidRDefault="00C82F0D" w:rsidP="00FF4E3A">
      <w:pPr>
        <w:tabs>
          <w:tab w:val="left" w:pos="426"/>
          <w:tab w:val="left" w:pos="1276"/>
          <w:tab w:val="right" w:pos="6804"/>
          <w:tab w:val="right" w:pos="7939"/>
        </w:tabs>
        <w:ind w:left="425" w:right="-22"/>
        <w:jc w:val="both"/>
        <w:rPr>
          <w:rFonts w:ascii="Verdana" w:hAnsi="Verdana" w:cs="Arial"/>
          <w:sz w:val="17"/>
          <w:szCs w:val="17"/>
        </w:rPr>
      </w:pPr>
    </w:p>
    <w:p w14:paraId="38869EE2" w14:textId="77777777" w:rsidR="00C82F0D" w:rsidRPr="00107B4D" w:rsidRDefault="00C82F0D" w:rsidP="00FF4E3A">
      <w:pPr>
        <w:tabs>
          <w:tab w:val="left" w:pos="426"/>
          <w:tab w:val="left" w:pos="1276"/>
          <w:tab w:val="right" w:pos="6804"/>
          <w:tab w:val="right" w:pos="7939"/>
        </w:tabs>
        <w:ind w:left="425" w:right="-22"/>
        <w:jc w:val="both"/>
        <w:rPr>
          <w:rFonts w:ascii="Verdana" w:hAnsi="Verdana" w:cs="Arial"/>
          <w:sz w:val="17"/>
          <w:szCs w:val="17"/>
        </w:rPr>
      </w:pPr>
      <w:r w:rsidRPr="00153FC0">
        <w:rPr>
          <w:rFonts w:ascii="Verdana" w:hAnsi="Verdana" w:cs="Arial"/>
          <w:sz w:val="17"/>
          <w:szCs w:val="17"/>
        </w:rPr>
        <w:t xml:space="preserve"> </w:t>
      </w:r>
      <w:r w:rsidRPr="00483739">
        <w:rPr>
          <w:noProof/>
        </w:rPr>
        <w:drawing>
          <wp:inline distT="0" distB="0" distL="0" distR="0" wp14:anchorId="2B7176A6" wp14:editId="3AE190F4">
            <wp:extent cx="5084618" cy="4341743"/>
            <wp:effectExtent l="0" t="0" r="1905" b="0"/>
            <wp:docPr id="82154515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093028" cy="4348924"/>
                    </a:xfrm>
                    <a:prstGeom prst="rect">
                      <a:avLst/>
                    </a:prstGeom>
                    <a:noFill/>
                    <a:ln>
                      <a:noFill/>
                    </a:ln>
                  </pic:spPr>
                </pic:pic>
              </a:graphicData>
            </a:graphic>
          </wp:inline>
        </w:drawing>
      </w:r>
    </w:p>
    <w:p w14:paraId="1F8A17F3" w14:textId="77777777" w:rsidR="00C82F0D" w:rsidRPr="00107B4D" w:rsidRDefault="00C82F0D" w:rsidP="00633A3B">
      <w:pPr>
        <w:tabs>
          <w:tab w:val="left" w:pos="426"/>
        </w:tabs>
        <w:autoSpaceDE w:val="0"/>
        <w:autoSpaceDN w:val="0"/>
        <w:adjustRightInd w:val="0"/>
        <w:ind w:left="425" w:right="-22"/>
        <w:jc w:val="both"/>
        <w:rPr>
          <w:rFonts w:ascii="Verdana" w:hAnsi="Verdana" w:cs="Arial"/>
          <w:sz w:val="17"/>
          <w:szCs w:val="17"/>
        </w:rPr>
      </w:pPr>
    </w:p>
    <w:p w14:paraId="0FC58292" w14:textId="77777777" w:rsidR="00C82F0D" w:rsidRPr="00107B4D" w:rsidRDefault="00C82F0D" w:rsidP="00633A3B">
      <w:pPr>
        <w:tabs>
          <w:tab w:val="left" w:pos="426"/>
        </w:tabs>
        <w:autoSpaceDE w:val="0"/>
        <w:autoSpaceDN w:val="0"/>
        <w:adjustRightInd w:val="0"/>
        <w:ind w:left="425" w:right="-22"/>
        <w:jc w:val="both"/>
        <w:rPr>
          <w:rFonts w:ascii="Verdana" w:hAnsi="Verdana" w:cs="Arial"/>
          <w:sz w:val="17"/>
          <w:szCs w:val="17"/>
        </w:rPr>
      </w:pPr>
    </w:p>
    <w:p w14:paraId="272EE4D8" w14:textId="77777777" w:rsidR="00C82F0D" w:rsidRPr="00107B4D" w:rsidRDefault="00C82F0D" w:rsidP="00D84952">
      <w:pPr>
        <w:pStyle w:val="Ttulo1"/>
        <w:keepNext w:val="0"/>
        <w:keepLines w:val="0"/>
        <w:numPr>
          <w:ilvl w:val="0"/>
          <w:numId w:val="3"/>
        </w:numPr>
        <w:tabs>
          <w:tab w:val="left" w:pos="426"/>
        </w:tabs>
        <w:spacing w:before="0"/>
        <w:ind w:right="-22"/>
        <w:jc w:val="both"/>
        <w:rPr>
          <w:rFonts w:ascii="Verdana" w:eastAsia="Times New Roman" w:hAnsi="Verdana" w:cs="Arial"/>
          <w:b w:val="0"/>
          <w:bCs w:val="0"/>
          <w:color w:val="auto"/>
          <w:sz w:val="17"/>
          <w:szCs w:val="17"/>
          <w:u w:val="single"/>
          <w:lang w:eastAsia="en-US"/>
        </w:rPr>
      </w:pPr>
      <w:r w:rsidRPr="00107B4D">
        <w:rPr>
          <w:rFonts w:ascii="Verdana" w:eastAsia="Times New Roman" w:hAnsi="Verdana" w:cs="Arial"/>
          <w:b w:val="0"/>
          <w:bCs w:val="0"/>
          <w:color w:val="auto"/>
          <w:sz w:val="17"/>
          <w:szCs w:val="17"/>
          <w:u w:val="single"/>
          <w:lang w:eastAsia="en-US"/>
        </w:rPr>
        <w:t>OUTROS ATIVOS</w:t>
      </w:r>
    </w:p>
    <w:p w14:paraId="4D0E0916" w14:textId="77777777" w:rsidR="00C82F0D" w:rsidRPr="00107B4D" w:rsidRDefault="00C82F0D" w:rsidP="0025067F">
      <w:pPr>
        <w:tabs>
          <w:tab w:val="left" w:pos="426"/>
          <w:tab w:val="left" w:pos="1276"/>
          <w:tab w:val="right" w:pos="6804"/>
          <w:tab w:val="right" w:pos="7939"/>
        </w:tabs>
        <w:ind w:left="426" w:right="-22"/>
        <w:jc w:val="both"/>
        <w:rPr>
          <w:rFonts w:ascii="Verdana" w:hAnsi="Verdana" w:cs="Arial"/>
          <w:sz w:val="17"/>
          <w:szCs w:val="17"/>
          <w:u w:val="single"/>
        </w:rPr>
      </w:pPr>
    </w:p>
    <w:p w14:paraId="2E7F69EF" w14:textId="77777777" w:rsidR="00C82F0D" w:rsidRPr="00107B4D" w:rsidRDefault="00C82F0D" w:rsidP="0025067F">
      <w:pPr>
        <w:tabs>
          <w:tab w:val="left" w:pos="426"/>
        </w:tabs>
        <w:ind w:left="426" w:right="-22"/>
        <w:jc w:val="both"/>
        <w:rPr>
          <w:rFonts w:ascii="Verdana" w:hAnsi="Verdana" w:cs="Arial"/>
          <w:sz w:val="17"/>
          <w:szCs w:val="17"/>
        </w:rPr>
      </w:pPr>
      <w:r w:rsidRPr="00107B4D">
        <w:rPr>
          <w:rFonts w:ascii="Verdana" w:hAnsi="Verdana" w:cs="Arial"/>
          <w:sz w:val="17"/>
          <w:szCs w:val="17"/>
        </w:rPr>
        <w:t>Esta rubrica tem a seguinte composição:</w:t>
      </w:r>
    </w:p>
    <w:p w14:paraId="690FC09A" w14:textId="77777777" w:rsidR="00C82F0D" w:rsidRPr="00107B4D" w:rsidRDefault="00C82F0D" w:rsidP="0025067F">
      <w:pPr>
        <w:tabs>
          <w:tab w:val="left" w:pos="426"/>
        </w:tabs>
        <w:ind w:left="426" w:right="-22"/>
        <w:jc w:val="both"/>
        <w:rPr>
          <w:rFonts w:ascii="Verdana" w:hAnsi="Verdana" w:cs="Arial"/>
          <w:sz w:val="17"/>
          <w:szCs w:val="17"/>
        </w:rPr>
      </w:pPr>
    </w:p>
    <w:p w14:paraId="1C5CB86D" w14:textId="77777777" w:rsidR="00C82F0D" w:rsidRPr="00107B4D" w:rsidRDefault="00C82F0D" w:rsidP="0025067F">
      <w:pPr>
        <w:tabs>
          <w:tab w:val="left" w:pos="426"/>
        </w:tabs>
        <w:ind w:left="426" w:right="-22"/>
        <w:jc w:val="both"/>
        <w:rPr>
          <w:rFonts w:ascii="Verdana" w:hAnsi="Verdana" w:cs="Arial"/>
          <w:sz w:val="17"/>
          <w:szCs w:val="17"/>
          <w:u w:val="single"/>
        </w:rPr>
      </w:pPr>
      <w:r w:rsidRPr="00107B4D">
        <w:rPr>
          <w:rFonts w:ascii="Verdana" w:hAnsi="Verdana" w:cs="Arial"/>
          <w:sz w:val="17"/>
          <w:szCs w:val="17"/>
          <w:u w:val="single"/>
        </w:rPr>
        <w:t xml:space="preserve"> </w:t>
      </w:r>
      <w:r w:rsidRPr="00577B6E">
        <w:rPr>
          <w:noProof/>
        </w:rPr>
        <w:drawing>
          <wp:inline distT="0" distB="0" distL="0" distR="0" wp14:anchorId="7A82A186" wp14:editId="007B9D6D">
            <wp:extent cx="5021927" cy="1786371"/>
            <wp:effectExtent l="0" t="0" r="7620" b="4445"/>
            <wp:docPr id="88458876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043322" cy="1793982"/>
                    </a:xfrm>
                    <a:prstGeom prst="rect">
                      <a:avLst/>
                    </a:prstGeom>
                    <a:noFill/>
                    <a:ln>
                      <a:noFill/>
                    </a:ln>
                  </pic:spPr>
                </pic:pic>
              </a:graphicData>
            </a:graphic>
          </wp:inline>
        </w:drawing>
      </w:r>
    </w:p>
    <w:p w14:paraId="2C1BF754" w14:textId="77777777" w:rsidR="00C82F0D" w:rsidRPr="00107B4D" w:rsidRDefault="00C82F0D" w:rsidP="004D33F3">
      <w:pPr>
        <w:tabs>
          <w:tab w:val="left" w:pos="426"/>
          <w:tab w:val="left" w:pos="851"/>
        </w:tabs>
        <w:ind w:left="426" w:right="-22"/>
        <w:jc w:val="both"/>
        <w:rPr>
          <w:rFonts w:ascii="Verdana" w:hAnsi="Verdana" w:cs="Arial"/>
          <w:sz w:val="18"/>
          <w:szCs w:val="18"/>
        </w:rPr>
      </w:pPr>
    </w:p>
    <w:p w14:paraId="47EC212A" w14:textId="64E06910" w:rsidR="00C82F0D" w:rsidRDefault="00C82F0D" w:rsidP="00FF68D4">
      <w:pPr>
        <w:tabs>
          <w:tab w:val="left" w:pos="426"/>
          <w:tab w:val="left" w:pos="851"/>
        </w:tabs>
        <w:ind w:left="426" w:right="-22"/>
        <w:jc w:val="both"/>
        <w:rPr>
          <w:rFonts w:ascii="Verdana" w:hAnsi="Verdana" w:cs="Arial"/>
          <w:sz w:val="17"/>
          <w:szCs w:val="17"/>
        </w:rPr>
      </w:pPr>
      <w:r w:rsidRPr="00107B4D">
        <w:rPr>
          <w:rFonts w:ascii="Verdana" w:hAnsi="Verdana" w:cs="Arial"/>
          <w:sz w:val="17"/>
          <w:szCs w:val="17"/>
        </w:rPr>
        <w:t xml:space="preserve">Em </w:t>
      </w:r>
      <w:r>
        <w:rPr>
          <w:rFonts w:ascii="Verdana" w:hAnsi="Verdana" w:cs="Arial"/>
          <w:sz w:val="17"/>
          <w:szCs w:val="17"/>
        </w:rPr>
        <w:t xml:space="preserve">20 de novembro de </w:t>
      </w:r>
      <w:r w:rsidRPr="00107B4D">
        <w:rPr>
          <w:rFonts w:ascii="Verdana" w:hAnsi="Verdana" w:cs="Arial"/>
          <w:sz w:val="17"/>
          <w:szCs w:val="17"/>
        </w:rPr>
        <w:t>202</w:t>
      </w:r>
      <w:r>
        <w:rPr>
          <w:rFonts w:ascii="Verdana" w:hAnsi="Verdana" w:cs="Arial"/>
          <w:sz w:val="17"/>
          <w:szCs w:val="17"/>
        </w:rPr>
        <w:t>5 e 31 de dezembro de 2025</w:t>
      </w:r>
      <w:r w:rsidRPr="00107B4D">
        <w:rPr>
          <w:rFonts w:ascii="Verdana" w:hAnsi="Verdana" w:cs="Arial"/>
          <w:sz w:val="17"/>
          <w:szCs w:val="17"/>
        </w:rPr>
        <w:t xml:space="preserve">, a Sociedade </w:t>
      </w:r>
      <w:r w:rsidRPr="000B0ED3">
        <w:rPr>
          <w:rFonts w:ascii="Verdana" w:hAnsi="Verdana" w:cs="Arial"/>
          <w:sz w:val="17"/>
          <w:szCs w:val="17"/>
        </w:rPr>
        <w:t xml:space="preserve">efetuou três aplicações no Certificado Especial de Dívida de Curto Prazo (CEDIC), emitido pelo IGCP – Agência de Gestão da Tesouraria e da Dívida Pública, nos montantes de 2,5 </w:t>
      </w:r>
      <w:r>
        <w:rPr>
          <w:rFonts w:ascii="Verdana" w:hAnsi="Verdana" w:cs="Arial"/>
          <w:sz w:val="17"/>
          <w:szCs w:val="17"/>
        </w:rPr>
        <w:t>m</w:t>
      </w:r>
      <w:r w:rsidR="00C53A0C">
        <w:rPr>
          <w:rFonts w:ascii="Verdana" w:hAnsi="Verdana" w:cs="Arial"/>
          <w:sz w:val="17"/>
          <w:szCs w:val="17"/>
        </w:rPr>
        <w:t xml:space="preserve">ilhões de </w:t>
      </w:r>
      <w:r w:rsidRPr="000B0ED3">
        <w:rPr>
          <w:rFonts w:ascii="Verdana" w:hAnsi="Verdana" w:cs="Arial"/>
          <w:sz w:val="17"/>
          <w:szCs w:val="17"/>
        </w:rPr>
        <w:t xml:space="preserve">euros, 3 </w:t>
      </w:r>
      <w:r>
        <w:rPr>
          <w:rFonts w:ascii="Verdana" w:hAnsi="Verdana" w:cs="Arial"/>
          <w:sz w:val="17"/>
          <w:szCs w:val="17"/>
        </w:rPr>
        <w:t>m</w:t>
      </w:r>
      <w:r w:rsidR="00C53A0C">
        <w:rPr>
          <w:rFonts w:ascii="Verdana" w:hAnsi="Verdana" w:cs="Arial"/>
          <w:sz w:val="17"/>
          <w:szCs w:val="17"/>
        </w:rPr>
        <w:t xml:space="preserve">ilhões de </w:t>
      </w:r>
      <w:r w:rsidRPr="000B0ED3">
        <w:rPr>
          <w:rFonts w:ascii="Verdana" w:hAnsi="Verdana" w:cs="Arial"/>
          <w:sz w:val="17"/>
          <w:szCs w:val="17"/>
        </w:rPr>
        <w:t xml:space="preserve">euros e 20 </w:t>
      </w:r>
      <w:r>
        <w:rPr>
          <w:rFonts w:ascii="Verdana" w:hAnsi="Verdana" w:cs="Arial"/>
          <w:sz w:val="17"/>
          <w:szCs w:val="17"/>
        </w:rPr>
        <w:t>m</w:t>
      </w:r>
      <w:r w:rsidR="00C53A0C">
        <w:rPr>
          <w:rFonts w:ascii="Verdana" w:hAnsi="Verdana" w:cs="Arial"/>
          <w:sz w:val="17"/>
          <w:szCs w:val="17"/>
        </w:rPr>
        <w:t xml:space="preserve">ilhões de </w:t>
      </w:r>
      <w:r w:rsidRPr="000B0ED3">
        <w:rPr>
          <w:rFonts w:ascii="Verdana" w:hAnsi="Verdana" w:cs="Arial"/>
          <w:sz w:val="17"/>
          <w:szCs w:val="17"/>
        </w:rPr>
        <w:t>euros.</w:t>
      </w:r>
      <w:r>
        <w:rPr>
          <w:rFonts w:ascii="Verdana" w:hAnsi="Verdana" w:cs="Arial"/>
          <w:sz w:val="17"/>
          <w:szCs w:val="17"/>
        </w:rPr>
        <w:t xml:space="preserve"> </w:t>
      </w:r>
      <w:r w:rsidRPr="000B0ED3">
        <w:rPr>
          <w:rFonts w:ascii="Verdana" w:hAnsi="Verdana" w:cs="Arial"/>
          <w:sz w:val="17"/>
          <w:szCs w:val="17"/>
        </w:rPr>
        <w:t xml:space="preserve">A aplicação no montante de 2,5 </w:t>
      </w:r>
      <w:r>
        <w:rPr>
          <w:rFonts w:ascii="Verdana" w:hAnsi="Verdana" w:cs="Arial"/>
          <w:sz w:val="17"/>
          <w:szCs w:val="17"/>
        </w:rPr>
        <w:t>m</w:t>
      </w:r>
      <w:r w:rsidR="00C53A0C">
        <w:rPr>
          <w:rFonts w:ascii="Verdana" w:hAnsi="Verdana" w:cs="Arial"/>
          <w:sz w:val="17"/>
          <w:szCs w:val="17"/>
        </w:rPr>
        <w:t xml:space="preserve">ilhões de </w:t>
      </w:r>
      <w:r>
        <w:rPr>
          <w:rFonts w:ascii="Verdana" w:hAnsi="Verdana" w:cs="Arial"/>
          <w:sz w:val="17"/>
          <w:szCs w:val="17"/>
        </w:rPr>
        <w:t xml:space="preserve">euros teve o seu reembolso </w:t>
      </w:r>
      <w:r w:rsidRPr="000B0ED3">
        <w:rPr>
          <w:rFonts w:ascii="Verdana" w:hAnsi="Verdana" w:cs="Arial"/>
          <w:sz w:val="17"/>
          <w:szCs w:val="17"/>
        </w:rPr>
        <w:t>em 7 de janeiro de 2026, estando previsto que as restantes aplicações sejam reembolsadas no dia 10 de abril de 2026.</w:t>
      </w:r>
    </w:p>
    <w:p w14:paraId="48C12552" w14:textId="77777777" w:rsidR="00C82F0D" w:rsidRDefault="00C82F0D" w:rsidP="00FF68D4">
      <w:pPr>
        <w:tabs>
          <w:tab w:val="left" w:pos="426"/>
          <w:tab w:val="left" w:pos="851"/>
        </w:tabs>
        <w:ind w:left="426" w:right="-22"/>
        <w:jc w:val="both"/>
        <w:rPr>
          <w:rFonts w:ascii="Verdana" w:hAnsi="Verdana" w:cs="Arial"/>
          <w:sz w:val="17"/>
          <w:szCs w:val="17"/>
        </w:rPr>
      </w:pPr>
    </w:p>
    <w:p w14:paraId="34C18532" w14:textId="77777777" w:rsidR="00C82F0D" w:rsidRPr="00107B4D" w:rsidRDefault="00C82F0D" w:rsidP="00FF68D4">
      <w:pPr>
        <w:tabs>
          <w:tab w:val="left" w:pos="426"/>
          <w:tab w:val="left" w:pos="851"/>
        </w:tabs>
        <w:ind w:left="426" w:right="-22"/>
        <w:jc w:val="both"/>
        <w:rPr>
          <w:rFonts w:ascii="Verdana" w:hAnsi="Verdana" w:cs="Arial"/>
          <w:sz w:val="17"/>
          <w:szCs w:val="17"/>
        </w:rPr>
      </w:pPr>
      <w:r w:rsidRPr="00107B4D">
        <w:rPr>
          <w:rFonts w:ascii="Verdana" w:hAnsi="Verdana" w:cs="Arial"/>
          <w:sz w:val="17"/>
          <w:szCs w:val="17"/>
        </w:rPr>
        <w:lastRenderedPageBreak/>
        <w:t xml:space="preserve">Em 27 de dezembro e 31 de dezembro de 2024 a Sociedade efetuou aplicações no montante de 33.000 </w:t>
      </w:r>
      <w:proofErr w:type="spellStart"/>
      <w:proofErr w:type="gramStart"/>
      <w:r w:rsidRPr="00107B4D">
        <w:rPr>
          <w:rFonts w:ascii="Verdana" w:hAnsi="Verdana" w:cs="Arial"/>
          <w:sz w:val="17"/>
          <w:szCs w:val="17"/>
        </w:rPr>
        <w:t>m.euros</w:t>
      </w:r>
      <w:proofErr w:type="spellEnd"/>
      <w:proofErr w:type="gramEnd"/>
      <w:r w:rsidRPr="00107B4D">
        <w:rPr>
          <w:rFonts w:ascii="Verdana" w:hAnsi="Verdana" w:cs="Arial"/>
          <w:sz w:val="17"/>
          <w:szCs w:val="17"/>
        </w:rPr>
        <w:t xml:space="preserve"> e 4.000 </w:t>
      </w:r>
      <w:proofErr w:type="spellStart"/>
      <w:proofErr w:type="gramStart"/>
      <w:r w:rsidRPr="00107B4D">
        <w:rPr>
          <w:rFonts w:ascii="Verdana" w:hAnsi="Verdana" w:cs="Arial"/>
          <w:sz w:val="17"/>
          <w:szCs w:val="17"/>
        </w:rPr>
        <w:t>m.euros</w:t>
      </w:r>
      <w:proofErr w:type="spellEnd"/>
      <w:proofErr w:type="gramEnd"/>
      <w:r w:rsidRPr="00107B4D">
        <w:rPr>
          <w:rFonts w:ascii="Verdana" w:hAnsi="Verdana" w:cs="Arial"/>
          <w:sz w:val="17"/>
          <w:szCs w:val="17"/>
        </w:rPr>
        <w:t xml:space="preserve"> no Certificado Especial de Dívida de Curto Prazo (CEDIC), emitido pelo IGCP – Agência de Gestão da Tesouraria e da Dívida Pública que tiveram o seu reembolso em 3 de janeiro de 2025 e 7 de janeiro de 2025, respetivamente. </w:t>
      </w:r>
    </w:p>
    <w:p w14:paraId="7F1F90CC" w14:textId="77777777" w:rsidR="00C82F0D" w:rsidRPr="00107B4D" w:rsidRDefault="00C82F0D" w:rsidP="004D33F3">
      <w:pPr>
        <w:tabs>
          <w:tab w:val="left" w:pos="426"/>
          <w:tab w:val="left" w:pos="851"/>
        </w:tabs>
        <w:ind w:right="-22"/>
        <w:jc w:val="both"/>
        <w:rPr>
          <w:rFonts w:ascii="Verdana" w:hAnsi="Verdana" w:cs="Arial"/>
          <w:sz w:val="17"/>
          <w:szCs w:val="17"/>
        </w:rPr>
      </w:pPr>
    </w:p>
    <w:p w14:paraId="7902E6CE" w14:textId="77777777" w:rsidR="00C82F0D" w:rsidRPr="00107B4D" w:rsidRDefault="00C82F0D" w:rsidP="004D33F3">
      <w:pPr>
        <w:tabs>
          <w:tab w:val="left" w:pos="426"/>
        </w:tabs>
        <w:ind w:left="426"/>
        <w:jc w:val="both"/>
        <w:rPr>
          <w:rFonts w:ascii="Verdana" w:hAnsi="Verdana" w:cs="Arial"/>
          <w:sz w:val="17"/>
          <w:szCs w:val="17"/>
        </w:rPr>
      </w:pPr>
      <w:r w:rsidRPr="00107B4D">
        <w:rPr>
          <w:rFonts w:ascii="Verdana" w:hAnsi="Verdana" w:cs="Arial"/>
          <w:sz w:val="17"/>
          <w:szCs w:val="17"/>
        </w:rPr>
        <w:t xml:space="preserve">A rúbrica de “Outros” inclui as diferenças registadas em 2010 referentes a diferenças entre o valor da carteira e os valores efetivamente registados na carteira de créditos de clientes. </w:t>
      </w:r>
    </w:p>
    <w:p w14:paraId="7F5D610C" w14:textId="77777777" w:rsidR="00C82F0D" w:rsidRPr="00107B4D" w:rsidRDefault="00C82F0D" w:rsidP="004D33F3">
      <w:pPr>
        <w:tabs>
          <w:tab w:val="left" w:pos="426"/>
        </w:tabs>
        <w:ind w:left="426"/>
        <w:jc w:val="both"/>
        <w:rPr>
          <w:rFonts w:ascii="Verdana" w:hAnsi="Verdana" w:cs="Arial"/>
          <w:sz w:val="17"/>
          <w:szCs w:val="17"/>
        </w:rPr>
      </w:pPr>
    </w:p>
    <w:p w14:paraId="3C60FF13" w14:textId="102B7D88" w:rsidR="00C82F0D" w:rsidRPr="003C09AD" w:rsidRDefault="00C82F0D" w:rsidP="00EE7AEC">
      <w:pPr>
        <w:tabs>
          <w:tab w:val="left" w:pos="426"/>
          <w:tab w:val="left" w:pos="851"/>
        </w:tabs>
        <w:ind w:left="426" w:right="-22"/>
        <w:jc w:val="both"/>
        <w:rPr>
          <w:rFonts w:ascii="Verdana" w:hAnsi="Verdana" w:cs="Arial"/>
          <w:sz w:val="17"/>
          <w:szCs w:val="17"/>
        </w:rPr>
      </w:pPr>
      <w:r w:rsidRPr="00107B4D">
        <w:rPr>
          <w:rFonts w:ascii="Verdana" w:hAnsi="Verdana" w:cs="Arial"/>
          <w:sz w:val="17"/>
          <w:szCs w:val="17"/>
        </w:rPr>
        <w:t xml:space="preserve">No exercício de 2024 ocorreu a fusão por incorporação da entidade PARPARTICIPADAS, pelo que decorrente desta fusão, a “Sociedade” herdou um conjunto de ativos e passivos que foram considerados pelo líquido na rubrica “Outros Ativos”, aqui </w:t>
      </w:r>
      <w:r w:rsidRPr="003C09AD">
        <w:rPr>
          <w:rFonts w:ascii="Verdana" w:hAnsi="Verdana" w:cs="Arial"/>
          <w:sz w:val="17"/>
          <w:szCs w:val="17"/>
        </w:rPr>
        <w:t xml:space="preserve">se incluindo também um depósito consignado de 12.900 </w:t>
      </w:r>
      <w:proofErr w:type="spellStart"/>
      <w:r w:rsidRPr="003C09AD">
        <w:rPr>
          <w:rFonts w:ascii="Verdana" w:hAnsi="Verdana" w:cs="Arial"/>
          <w:sz w:val="17"/>
          <w:szCs w:val="17"/>
        </w:rPr>
        <w:t>m.euros</w:t>
      </w:r>
      <w:proofErr w:type="spellEnd"/>
      <w:r w:rsidRPr="003C09AD">
        <w:rPr>
          <w:rFonts w:ascii="Verdana" w:hAnsi="Verdana" w:cs="Arial"/>
          <w:sz w:val="17"/>
          <w:szCs w:val="17"/>
        </w:rPr>
        <w:t xml:space="preserve"> na conta do Banco </w:t>
      </w:r>
      <w:r w:rsidR="0009672A">
        <w:rPr>
          <w:rFonts w:ascii="Verdana" w:hAnsi="Verdana" w:cs="Arial"/>
          <w:sz w:val="17"/>
          <w:szCs w:val="17"/>
        </w:rPr>
        <w:t>Abanca</w:t>
      </w:r>
      <w:r w:rsidR="0009672A" w:rsidRPr="003C09AD">
        <w:rPr>
          <w:rFonts w:ascii="Verdana" w:hAnsi="Verdana" w:cs="Arial"/>
          <w:sz w:val="17"/>
          <w:szCs w:val="17"/>
        </w:rPr>
        <w:t xml:space="preserve"> </w:t>
      </w:r>
      <w:r w:rsidRPr="003C09AD">
        <w:rPr>
          <w:rFonts w:ascii="Verdana" w:hAnsi="Verdana" w:cs="Arial"/>
          <w:sz w:val="17"/>
          <w:szCs w:val="17"/>
        </w:rPr>
        <w:t xml:space="preserve">para fazer face a responsabilidades do Banco </w:t>
      </w:r>
      <w:proofErr w:type="spellStart"/>
      <w:r w:rsidRPr="003C09AD">
        <w:rPr>
          <w:rFonts w:ascii="Verdana" w:hAnsi="Verdana" w:cs="Arial"/>
          <w:sz w:val="17"/>
          <w:szCs w:val="17"/>
        </w:rPr>
        <w:t>Efisa</w:t>
      </w:r>
      <w:proofErr w:type="spellEnd"/>
      <w:r w:rsidRPr="003C09AD">
        <w:rPr>
          <w:rFonts w:ascii="Verdana" w:hAnsi="Verdana" w:cs="Arial"/>
          <w:sz w:val="17"/>
          <w:szCs w:val="17"/>
        </w:rPr>
        <w:t xml:space="preserve"> (por sua vez liquidado), onde se incluem processos judiciais pendentes – VISESH e uma reclamação de créditos de uma trabalhadora e que transitaram para a Parvalorem conforme se detalha:</w:t>
      </w:r>
    </w:p>
    <w:p w14:paraId="70263D2A" w14:textId="77777777" w:rsidR="00C82F0D" w:rsidRPr="003C09AD" w:rsidRDefault="00C82F0D" w:rsidP="00EE7AEC">
      <w:pPr>
        <w:tabs>
          <w:tab w:val="left" w:pos="426"/>
          <w:tab w:val="left" w:pos="851"/>
        </w:tabs>
        <w:ind w:left="426" w:right="-22"/>
        <w:jc w:val="both"/>
        <w:rPr>
          <w:rFonts w:ascii="Verdana" w:hAnsi="Verdana" w:cs="Arial"/>
          <w:sz w:val="17"/>
          <w:szCs w:val="17"/>
        </w:rPr>
      </w:pPr>
    </w:p>
    <w:p w14:paraId="0605561E" w14:textId="77777777" w:rsidR="00C82F0D" w:rsidRDefault="00C82F0D" w:rsidP="00EE7AEC">
      <w:pPr>
        <w:tabs>
          <w:tab w:val="left" w:pos="426"/>
          <w:tab w:val="left" w:pos="851"/>
        </w:tabs>
        <w:ind w:left="426" w:right="-22"/>
        <w:jc w:val="both"/>
        <w:rPr>
          <w:rFonts w:ascii="Verdana" w:hAnsi="Verdana" w:cs="Arial"/>
          <w:sz w:val="18"/>
          <w:szCs w:val="18"/>
        </w:rPr>
      </w:pPr>
      <w:r w:rsidRPr="008A27FA">
        <w:rPr>
          <w:noProof/>
        </w:rPr>
        <w:drawing>
          <wp:inline distT="0" distB="0" distL="0" distR="0" wp14:anchorId="215308EF" wp14:editId="098A845B">
            <wp:extent cx="5008418" cy="2703274"/>
            <wp:effectExtent l="0" t="0" r="1905" b="1905"/>
            <wp:docPr id="12822125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053996" cy="2727874"/>
                    </a:xfrm>
                    <a:prstGeom prst="rect">
                      <a:avLst/>
                    </a:prstGeom>
                    <a:noFill/>
                    <a:ln>
                      <a:noFill/>
                    </a:ln>
                  </pic:spPr>
                </pic:pic>
              </a:graphicData>
            </a:graphic>
          </wp:inline>
        </w:drawing>
      </w:r>
    </w:p>
    <w:p w14:paraId="15C57912" w14:textId="77777777" w:rsidR="00C82F0D" w:rsidRPr="00107B4D" w:rsidRDefault="00C82F0D" w:rsidP="00EF41C7">
      <w:pPr>
        <w:tabs>
          <w:tab w:val="left" w:pos="426"/>
          <w:tab w:val="left" w:pos="851"/>
        </w:tabs>
        <w:ind w:right="-22"/>
        <w:jc w:val="both"/>
        <w:rPr>
          <w:rFonts w:ascii="Verdana" w:hAnsi="Verdana" w:cs="Arial"/>
          <w:sz w:val="18"/>
          <w:szCs w:val="18"/>
        </w:rPr>
      </w:pPr>
    </w:p>
    <w:p w14:paraId="53C2558B" w14:textId="77777777" w:rsidR="00C82F0D" w:rsidRPr="00107B4D" w:rsidRDefault="00C82F0D" w:rsidP="00EE7AEC">
      <w:pPr>
        <w:tabs>
          <w:tab w:val="left" w:pos="426"/>
          <w:tab w:val="left" w:pos="851"/>
        </w:tabs>
        <w:ind w:left="426" w:right="-22"/>
        <w:jc w:val="both"/>
        <w:rPr>
          <w:rFonts w:ascii="Verdana" w:hAnsi="Verdana" w:cs="Arial"/>
          <w:sz w:val="18"/>
          <w:szCs w:val="18"/>
        </w:rPr>
      </w:pPr>
      <w:r w:rsidRPr="00107B4D">
        <w:rPr>
          <w:rFonts w:ascii="Verdana" w:hAnsi="Verdana" w:cs="Arial"/>
          <w:sz w:val="18"/>
          <w:szCs w:val="18"/>
        </w:rPr>
        <w:t xml:space="preserve">Detalhe do depósito consignado junto do </w:t>
      </w:r>
      <w:proofErr w:type="gramStart"/>
      <w:r>
        <w:rPr>
          <w:rFonts w:ascii="Verdana" w:hAnsi="Verdana" w:cs="Arial"/>
          <w:sz w:val="18"/>
          <w:szCs w:val="18"/>
        </w:rPr>
        <w:t>banco Abanca</w:t>
      </w:r>
      <w:proofErr w:type="gramEnd"/>
      <w:r w:rsidRPr="00107B4D">
        <w:rPr>
          <w:rFonts w:ascii="Verdana" w:hAnsi="Verdana" w:cs="Arial"/>
          <w:sz w:val="18"/>
          <w:szCs w:val="18"/>
        </w:rPr>
        <w:t>:</w:t>
      </w:r>
    </w:p>
    <w:p w14:paraId="6158A390" w14:textId="77777777" w:rsidR="00C82F0D" w:rsidRPr="00107B4D" w:rsidRDefault="00C82F0D" w:rsidP="00EE7AEC">
      <w:pPr>
        <w:tabs>
          <w:tab w:val="left" w:pos="426"/>
          <w:tab w:val="left" w:pos="851"/>
        </w:tabs>
        <w:ind w:left="426" w:right="-22"/>
        <w:jc w:val="both"/>
        <w:rPr>
          <w:rFonts w:ascii="Verdana" w:hAnsi="Verdana" w:cs="Arial"/>
          <w:sz w:val="17"/>
          <w:szCs w:val="17"/>
        </w:rPr>
      </w:pPr>
    </w:p>
    <w:p w14:paraId="2087C500" w14:textId="77777777" w:rsidR="00C82F0D" w:rsidRPr="00107B4D" w:rsidRDefault="00C82F0D" w:rsidP="004D33F3">
      <w:pPr>
        <w:tabs>
          <w:tab w:val="left" w:pos="426"/>
        </w:tabs>
        <w:ind w:left="426"/>
        <w:jc w:val="both"/>
        <w:rPr>
          <w:rFonts w:ascii="Verdana" w:hAnsi="Verdana" w:cs="Arial"/>
          <w:sz w:val="17"/>
          <w:szCs w:val="17"/>
        </w:rPr>
      </w:pPr>
      <w:r w:rsidRPr="00FE4D65">
        <w:rPr>
          <w:noProof/>
        </w:rPr>
        <w:drawing>
          <wp:inline distT="0" distB="0" distL="0" distR="0" wp14:anchorId="220459A2" wp14:editId="1BEF7162">
            <wp:extent cx="5008245" cy="1941264"/>
            <wp:effectExtent l="0" t="0" r="1905" b="0"/>
            <wp:docPr id="652967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017920" cy="1945014"/>
                    </a:xfrm>
                    <a:prstGeom prst="rect">
                      <a:avLst/>
                    </a:prstGeom>
                    <a:noFill/>
                    <a:ln>
                      <a:noFill/>
                    </a:ln>
                  </pic:spPr>
                </pic:pic>
              </a:graphicData>
            </a:graphic>
          </wp:inline>
        </w:drawing>
      </w:r>
    </w:p>
    <w:p w14:paraId="139D43E1" w14:textId="77777777" w:rsidR="00C82F0D" w:rsidRPr="00107B4D" w:rsidRDefault="00C82F0D" w:rsidP="00633A3B">
      <w:pPr>
        <w:jc w:val="both"/>
        <w:rPr>
          <w:rFonts w:ascii="Verdana" w:hAnsi="Verdana"/>
          <w:sz w:val="18"/>
          <w:szCs w:val="18"/>
        </w:rPr>
      </w:pPr>
    </w:p>
    <w:p w14:paraId="1341CF08" w14:textId="77777777" w:rsidR="00C82F0D" w:rsidRPr="00107B4D" w:rsidRDefault="00C82F0D" w:rsidP="00D84952">
      <w:pPr>
        <w:pStyle w:val="Ttulo1"/>
        <w:keepNext w:val="0"/>
        <w:keepLines w:val="0"/>
        <w:numPr>
          <w:ilvl w:val="0"/>
          <w:numId w:val="3"/>
        </w:numPr>
        <w:tabs>
          <w:tab w:val="left" w:pos="426"/>
        </w:tabs>
        <w:spacing w:before="0"/>
        <w:ind w:right="-22"/>
        <w:jc w:val="both"/>
        <w:rPr>
          <w:rFonts w:ascii="Verdana" w:eastAsia="Times New Roman" w:hAnsi="Verdana" w:cs="Arial"/>
          <w:b w:val="0"/>
          <w:bCs w:val="0"/>
          <w:color w:val="auto"/>
          <w:sz w:val="17"/>
          <w:szCs w:val="17"/>
          <w:u w:val="single"/>
          <w:lang w:eastAsia="en-US"/>
        </w:rPr>
      </w:pPr>
      <w:r w:rsidRPr="00107B4D">
        <w:rPr>
          <w:rFonts w:ascii="Verdana" w:eastAsia="Times New Roman" w:hAnsi="Verdana" w:cs="Arial"/>
          <w:b w:val="0"/>
          <w:bCs w:val="0"/>
          <w:color w:val="auto"/>
          <w:sz w:val="17"/>
          <w:szCs w:val="17"/>
          <w:u w:val="single"/>
          <w:lang w:eastAsia="en-US"/>
        </w:rPr>
        <w:t>CAIXA E EQUIVALENTES DE CAIXA</w:t>
      </w:r>
    </w:p>
    <w:p w14:paraId="5EB01389" w14:textId="77777777" w:rsidR="00C82F0D" w:rsidRPr="00107B4D" w:rsidRDefault="00C82F0D" w:rsidP="00633A3B">
      <w:pPr>
        <w:tabs>
          <w:tab w:val="left" w:pos="426"/>
          <w:tab w:val="right" w:pos="5880"/>
          <w:tab w:val="right" w:pos="7680"/>
        </w:tabs>
        <w:ind w:left="426" w:right="-22" w:hanging="426"/>
        <w:jc w:val="both"/>
        <w:rPr>
          <w:rFonts w:ascii="Verdana" w:hAnsi="Verdana" w:cs="Arial"/>
          <w:sz w:val="17"/>
          <w:szCs w:val="17"/>
          <w:u w:val="single"/>
        </w:rPr>
      </w:pPr>
    </w:p>
    <w:p w14:paraId="23EA605D" w14:textId="77777777" w:rsidR="00C82F0D" w:rsidRPr="00107B4D" w:rsidRDefault="00C82F0D" w:rsidP="00633A3B">
      <w:pPr>
        <w:tabs>
          <w:tab w:val="left" w:pos="426"/>
        </w:tabs>
        <w:ind w:left="450" w:right="-22"/>
        <w:jc w:val="both"/>
        <w:rPr>
          <w:rFonts w:ascii="Verdana" w:hAnsi="Verdana" w:cs="Arial"/>
          <w:sz w:val="17"/>
          <w:szCs w:val="17"/>
        </w:rPr>
      </w:pPr>
      <w:r w:rsidRPr="00107B4D">
        <w:rPr>
          <w:rFonts w:ascii="Verdana" w:hAnsi="Verdana" w:cs="Arial"/>
          <w:sz w:val="17"/>
          <w:szCs w:val="17"/>
        </w:rPr>
        <w:t>Esta rubrica tem a seguinte composição:</w:t>
      </w:r>
    </w:p>
    <w:p w14:paraId="717F9158" w14:textId="77777777" w:rsidR="00C82F0D" w:rsidRPr="00107B4D" w:rsidRDefault="00C82F0D" w:rsidP="00633A3B">
      <w:pPr>
        <w:tabs>
          <w:tab w:val="left" w:pos="426"/>
          <w:tab w:val="left" w:pos="851"/>
        </w:tabs>
        <w:ind w:right="-22"/>
        <w:jc w:val="both"/>
        <w:rPr>
          <w:rFonts w:ascii="Verdana" w:hAnsi="Verdana"/>
          <w:noProof/>
          <w:sz w:val="17"/>
          <w:szCs w:val="17"/>
        </w:rPr>
      </w:pPr>
    </w:p>
    <w:p w14:paraId="45F7DAB3" w14:textId="77777777" w:rsidR="00C82F0D" w:rsidRPr="00107B4D" w:rsidRDefault="00C82F0D" w:rsidP="00633A3B">
      <w:pPr>
        <w:tabs>
          <w:tab w:val="left" w:pos="426"/>
          <w:tab w:val="left" w:pos="851"/>
        </w:tabs>
        <w:ind w:left="426" w:right="-22"/>
        <w:jc w:val="both"/>
        <w:rPr>
          <w:rFonts w:ascii="Verdana" w:hAnsi="Verdana"/>
          <w:noProof/>
          <w:sz w:val="17"/>
          <w:szCs w:val="17"/>
        </w:rPr>
      </w:pPr>
      <w:r w:rsidRPr="00843988">
        <w:rPr>
          <w:noProof/>
        </w:rPr>
        <w:drawing>
          <wp:inline distT="0" distB="0" distL="0" distR="0" wp14:anchorId="4BDD9069" wp14:editId="0DF9D923">
            <wp:extent cx="5052060" cy="912681"/>
            <wp:effectExtent l="0" t="0" r="0" b="1905"/>
            <wp:docPr id="14504195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084665" cy="918571"/>
                    </a:xfrm>
                    <a:prstGeom prst="rect">
                      <a:avLst/>
                    </a:prstGeom>
                    <a:noFill/>
                    <a:ln>
                      <a:noFill/>
                    </a:ln>
                  </pic:spPr>
                </pic:pic>
              </a:graphicData>
            </a:graphic>
          </wp:inline>
        </w:drawing>
      </w:r>
    </w:p>
    <w:p w14:paraId="508DD713" w14:textId="77777777" w:rsidR="00C82F0D" w:rsidRPr="00107B4D" w:rsidRDefault="00C82F0D" w:rsidP="00633A3B">
      <w:pPr>
        <w:tabs>
          <w:tab w:val="left" w:pos="426"/>
          <w:tab w:val="left" w:pos="851"/>
        </w:tabs>
        <w:ind w:left="426" w:right="-22"/>
        <w:jc w:val="both"/>
        <w:rPr>
          <w:rFonts w:ascii="Verdana" w:hAnsi="Verdana"/>
          <w:noProof/>
          <w:sz w:val="17"/>
          <w:szCs w:val="17"/>
        </w:rPr>
      </w:pPr>
    </w:p>
    <w:p w14:paraId="6C80C9C5" w14:textId="77777777" w:rsidR="00C82F0D" w:rsidRPr="00107B4D" w:rsidRDefault="00C82F0D" w:rsidP="00633A3B">
      <w:pPr>
        <w:tabs>
          <w:tab w:val="left" w:pos="426"/>
          <w:tab w:val="left" w:pos="851"/>
        </w:tabs>
        <w:ind w:left="426" w:right="-22"/>
        <w:jc w:val="both"/>
        <w:rPr>
          <w:rFonts w:ascii="Verdana" w:hAnsi="Verdana" w:cs="Arial"/>
          <w:sz w:val="17"/>
          <w:szCs w:val="17"/>
        </w:rPr>
      </w:pPr>
      <w:r w:rsidRPr="00107B4D">
        <w:rPr>
          <w:rFonts w:ascii="Verdana" w:hAnsi="Verdana" w:cs="Arial"/>
          <w:sz w:val="17"/>
          <w:szCs w:val="17"/>
        </w:rPr>
        <w:lastRenderedPageBreak/>
        <w:t>Em 31 de dezembro de 202</w:t>
      </w:r>
      <w:r>
        <w:rPr>
          <w:rFonts w:ascii="Verdana" w:hAnsi="Verdana" w:cs="Arial"/>
          <w:sz w:val="17"/>
          <w:szCs w:val="17"/>
        </w:rPr>
        <w:t>5</w:t>
      </w:r>
      <w:r w:rsidRPr="00107B4D">
        <w:rPr>
          <w:rFonts w:ascii="Verdana" w:hAnsi="Verdana" w:cs="Arial"/>
          <w:sz w:val="17"/>
          <w:szCs w:val="17"/>
        </w:rPr>
        <w:t xml:space="preserve"> e 202</w:t>
      </w:r>
      <w:r>
        <w:rPr>
          <w:rFonts w:ascii="Verdana" w:hAnsi="Verdana" w:cs="Arial"/>
          <w:sz w:val="17"/>
          <w:szCs w:val="17"/>
        </w:rPr>
        <w:t>4</w:t>
      </w:r>
      <w:r w:rsidRPr="00107B4D">
        <w:rPr>
          <w:rFonts w:ascii="Verdana" w:hAnsi="Verdana" w:cs="Arial"/>
          <w:sz w:val="17"/>
          <w:szCs w:val="17"/>
        </w:rPr>
        <w:t>, os depósitos à ordem da Sociedade não são remunerados.</w:t>
      </w:r>
    </w:p>
    <w:p w14:paraId="23C96A8D" w14:textId="77777777" w:rsidR="00C82F0D" w:rsidRPr="00107B4D" w:rsidRDefault="00C82F0D" w:rsidP="00633A3B">
      <w:pPr>
        <w:tabs>
          <w:tab w:val="left" w:pos="426"/>
          <w:tab w:val="left" w:pos="709"/>
          <w:tab w:val="left" w:pos="993"/>
          <w:tab w:val="right" w:pos="8222"/>
        </w:tabs>
        <w:ind w:left="426" w:right="-53" w:hanging="426"/>
        <w:jc w:val="both"/>
        <w:rPr>
          <w:rFonts w:ascii="Verdana" w:hAnsi="Verdana" w:cs="Arial"/>
          <w:sz w:val="17"/>
          <w:szCs w:val="17"/>
        </w:rPr>
      </w:pPr>
      <w:r w:rsidRPr="00107B4D">
        <w:rPr>
          <w:rFonts w:ascii="Verdana" w:hAnsi="Verdana" w:cs="Arial"/>
          <w:sz w:val="17"/>
          <w:szCs w:val="17"/>
        </w:rPr>
        <w:tab/>
      </w:r>
    </w:p>
    <w:p w14:paraId="010970ED" w14:textId="77777777" w:rsidR="00C82F0D" w:rsidRPr="00107B4D" w:rsidRDefault="00C82F0D" w:rsidP="00633A3B">
      <w:pPr>
        <w:tabs>
          <w:tab w:val="left" w:pos="426"/>
          <w:tab w:val="left" w:pos="720"/>
        </w:tabs>
        <w:ind w:left="426" w:hanging="426"/>
        <w:jc w:val="both"/>
        <w:rPr>
          <w:rFonts w:ascii="Verdana" w:hAnsi="Verdana" w:cs="Arial"/>
          <w:sz w:val="17"/>
          <w:szCs w:val="17"/>
        </w:rPr>
      </w:pPr>
      <w:r w:rsidRPr="00107B4D">
        <w:rPr>
          <w:rFonts w:ascii="Verdana" w:hAnsi="Verdana" w:cs="Arial"/>
          <w:sz w:val="17"/>
          <w:szCs w:val="17"/>
        </w:rPr>
        <w:tab/>
        <w:t xml:space="preserve">De modo a dar cumprimento aos requisitos da </w:t>
      </w:r>
      <w:r>
        <w:rPr>
          <w:rFonts w:ascii="Verdana" w:hAnsi="Verdana" w:cs="Arial"/>
          <w:sz w:val="17"/>
          <w:szCs w:val="17"/>
        </w:rPr>
        <w:t>e</w:t>
      </w:r>
      <w:r w:rsidRPr="00107B4D">
        <w:rPr>
          <w:rFonts w:ascii="Verdana" w:hAnsi="Verdana" w:cs="Arial"/>
          <w:sz w:val="17"/>
          <w:szCs w:val="17"/>
        </w:rPr>
        <w:t>menda à IAS 7 – Demonstração dos fluxos de caixa, apresenta-se nos quadros abaixo o movimento nos passivos associados às atividades de financiamento nos exercícios de 202</w:t>
      </w:r>
      <w:r>
        <w:rPr>
          <w:rFonts w:ascii="Verdana" w:hAnsi="Verdana" w:cs="Arial"/>
          <w:sz w:val="17"/>
          <w:szCs w:val="17"/>
        </w:rPr>
        <w:t>5</w:t>
      </w:r>
      <w:r w:rsidRPr="00107B4D">
        <w:rPr>
          <w:rFonts w:ascii="Verdana" w:hAnsi="Verdana" w:cs="Arial"/>
          <w:sz w:val="17"/>
          <w:szCs w:val="17"/>
        </w:rPr>
        <w:t xml:space="preserve"> e 202</w:t>
      </w:r>
      <w:r>
        <w:rPr>
          <w:rFonts w:ascii="Verdana" w:hAnsi="Verdana" w:cs="Arial"/>
          <w:sz w:val="17"/>
          <w:szCs w:val="17"/>
        </w:rPr>
        <w:t>4</w:t>
      </w:r>
      <w:r w:rsidRPr="00107B4D">
        <w:rPr>
          <w:rFonts w:ascii="Verdana" w:hAnsi="Verdana" w:cs="Arial"/>
          <w:sz w:val="17"/>
          <w:szCs w:val="17"/>
        </w:rPr>
        <w:t>:</w:t>
      </w:r>
    </w:p>
    <w:p w14:paraId="623DF56F" w14:textId="77777777" w:rsidR="00C82F0D" w:rsidRPr="00107B4D" w:rsidRDefault="00C82F0D" w:rsidP="00633A3B">
      <w:pPr>
        <w:tabs>
          <w:tab w:val="left" w:pos="426"/>
          <w:tab w:val="left" w:pos="720"/>
        </w:tabs>
        <w:ind w:left="426" w:hanging="426"/>
        <w:jc w:val="both"/>
        <w:rPr>
          <w:rFonts w:ascii="Verdana" w:hAnsi="Verdana" w:cs="Arial"/>
          <w:sz w:val="17"/>
          <w:szCs w:val="17"/>
        </w:rPr>
      </w:pPr>
    </w:p>
    <w:p w14:paraId="7DFD8C26" w14:textId="6F7B8167" w:rsidR="00C82F0D" w:rsidRPr="00107B4D" w:rsidRDefault="00C82F0D" w:rsidP="00AC513B">
      <w:pPr>
        <w:tabs>
          <w:tab w:val="left" w:pos="426"/>
          <w:tab w:val="left" w:pos="720"/>
        </w:tabs>
        <w:ind w:left="426" w:hanging="426"/>
        <w:jc w:val="both"/>
        <w:rPr>
          <w:rFonts w:ascii="Verdana" w:hAnsi="Verdana" w:cs="Arial"/>
          <w:sz w:val="17"/>
          <w:szCs w:val="17"/>
        </w:rPr>
      </w:pPr>
      <w:r w:rsidRPr="00107B4D">
        <w:rPr>
          <w:rFonts w:ascii="Verdana" w:hAnsi="Verdana" w:cs="Arial"/>
          <w:sz w:val="17"/>
          <w:szCs w:val="17"/>
        </w:rPr>
        <w:tab/>
      </w:r>
      <w:r w:rsidR="002145AE" w:rsidRPr="006E0078">
        <w:rPr>
          <w:noProof/>
        </w:rPr>
        <w:drawing>
          <wp:inline distT="0" distB="0" distL="0" distR="0" wp14:anchorId="02FAA5BB" wp14:editId="64B4A1B7">
            <wp:extent cx="5035550" cy="902474"/>
            <wp:effectExtent l="0" t="0" r="0" b="0"/>
            <wp:docPr id="1765781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047202" cy="904562"/>
                    </a:xfrm>
                    <a:prstGeom prst="rect">
                      <a:avLst/>
                    </a:prstGeom>
                    <a:noFill/>
                    <a:ln>
                      <a:noFill/>
                    </a:ln>
                  </pic:spPr>
                </pic:pic>
              </a:graphicData>
            </a:graphic>
          </wp:inline>
        </w:drawing>
      </w:r>
    </w:p>
    <w:p w14:paraId="02F67788" w14:textId="77777777" w:rsidR="00C82F0D" w:rsidRPr="00107B4D" w:rsidRDefault="00C82F0D" w:rsidP="00633A3B">
      <w:pPr>
        <w:tabs>
          <w:tab w:val="left" w:pos="426"/>
          <w:tab w:val="left" w:pos="720"/>
        </w:tabs>
        <w:ind w:left="426" w:hanging="426"/>
        <w:jc w:val="both"/>
        <w:rPr>
          <w:rFonts w:ascii="Verdana" w:hAnsi="Verdana" w:cs="Arial"/>
          <w:sz w:val="17"/>
          <w:szCs w:val="17"/>
        </w:rPr>
      </w:pPr>
    </w:p>
    <w:p w14:paraId="44545B45" w14:textId="77777777" w:rsidR="00C82F0D" w:rsidRPr="00107B4D" w:rsidRDefault="00C82F0D" w:rsidP="001669A7">
      <w:pPr>
        <w:tabs>
          <w:tab w:val="left" w:pos="426"/>
          <w:tab w:val="left" w:pos="720"/>
        </w:tabs>
        <w:ind w:left="426" w:hanging="426"/>
        <w:jc w:val="both"/>
        <w:rPr>
          <w:rFonts w:ascii="Verdana" w:hAnsi="Verdana" w:cs="Arial"/>
          <w:sz w:val="17"/>
          <w:szCs w:val="17"/>
        </w:rPr>
      </w:pPr>
      <w:r>
        <w:tab/>
      </w:r>
      <w:r w:rsidRPr="00B24BDE">
        <w:rPr>
          <w:noProof/>
        </w:rPr>
        <w:drawing>
          <wp:inline distT="0" distB="0" distL="0" distR="0" wp14:anchorId="09ACA9CE" wp14:editId="3FFB05B3">
            <wp:extent cx="5035550" cy="705238"/>
            <wp:effectExtent l="0" t="0" r="0" b="0"/>
            <wp:docPr id="171929824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071385" cy="710257"/>
                    </a:xfrm>
                    <a:prstGeom prst="rect">
                      <a:avLst/>
                    </a:prstGeom>
                    <a:noFill/>
                    <a:ln>
                      <a:noFill/>
                    </a:ln>
                  </pic:spPr>
                </pic:pic>
              </a:graphicData>
            </a:graphic>
          </wp:inline>
        </w:drawing>
      </w:r>
    </w:p>
    <w:p w14:paraId="733E4F1E" w14:textId="77777777" w:rsidR="00C82F0D" w:rsidRPr="00107B4D" w:rsidRDefault="00C82F0D" w:rsidP="00B21AFC">
      <w:pPr>
        <w:tabs>
          <w:tab w:val="left" w:pos="426"/>
          <w:tab w:val="left" w:pos="720"/>
        </w:tabs>
        <w:ind w:left="426" w:hanging="426"/>
        <w:jc w:val="both"/>
        <w:rPr>
          <w:rFonts w:ascii="Verdana" w:hAnsi="Verdana" w:cs="Arial"/>
          <w:sz w:val="17"/>
          <w:szCs w:val="17"/>
        </w:rPr>
      </w:pPr>
      <w:r w:rsidRPr="00107B4D">
        <w:rPr>
          <w:rFonts w:ascii="Verdana" w:hAnsi="Verdana" w:cs="Arial"/>
          <w:sz w:val="17"/>
          <w:szCs w:val="17"/>
        </w:rPr>
        <w:tab/>
      </w:r>
    </w:p>
    <w:p w14:paraId="386E15B4" w14:textId="77777777" w:rsidR="00C82F0D" w:rsidRPr="00107B4D" w:rsidRDefault="00C82F0D" w:rsidP="00B21AFC">
      <w:pPr>
        <w:tabs>
          <w:tab w:val="left" w:pos="426"/>
          <w:tab w:val="left" w:pos="720"/>
        </w:tabs>
        <w:ind w:left="426" w:hanging="426"/>
        <w:jc w:val="both"/>
        <w:rPr>
          <w:rFonts w:ascii="Verdana" w:hAnsi="Verdana" w:cs="Arial"/>
          <w:sz w:val="17"/>
          <w:szCs w:val="17"/>
        </w:rPr>
      </w:pPr>
    </w:p>
    <w:p w14:paraId="72437221" w14:textId="77777777" w:rsidR="00C82F0D" w:rsidRPr="00107B4D" w:rsidRDefault="00C82F0D" w:rsidP="00633A3B">
      <w:pPr>
        <w:tabs>
          <w:tab w:val="left" w:pos="426"/>
          <w:tab w:val="left" w:pos="851"/>
        </w:tabs>
        <w:ind w:left="426" w:right="-22"/>
        <w:jc w:val="both"/>
        <w:rPr>
          <w:rFonts w:ascii="Verdana" w:hAnsi="Verdana" w:cs="Arial"/>
          <w:sz w:val="17"/>
          <w:szCs w:val="17"/>
        </w:rPr>
      </w:pPr>
    </w:p>
    <w:p w14:paraId="207E50BB" w14:textId="77777777" w:rsidR="00C82F0D" w:rsidRPr="00107B4D" w:rsidRDefault="00C82F0D" w:rsidP="00633A3B">
      <w:pPr>
        <w:tabs>
          <w:tab w:val="left" w:pos="426"/>
          <w:tab w:val="left" w:pos="851"/>
        </w:tabs>
        <w:ind w:left="426" w:right="-22"/>
        <w:jc w:val="both"/>
        <w:rPr>
          <w:rFonts w:ascii="Verdana" w:hAnsi="Verdana" w:cs="Arial"/>
          <w:sz w:val="17"/>
          <w:szCs w:val="17"/>
        </w:rPr>
      </w:pPr>
      <w:r w:rsidRPr="00107B4D">
        <w:rPr>
          <w:rFonts w:ascii="Verdana" w:hAnsi="Verdana" w:cs="Arial"/>
          <w:sz w:val="17"/>
          <w:szCs w:val="17"/>
        </w:rPr>
        <w:t>Nos exercícios de 202</w:t>
      </w:r>
      <w:r>
        <w:rPr>
          <w:rFonts w:ascii="Verdana" w:hAnsi="Verdana" w:cs="Arial"/>
          <w:sz w:val="17"/>
          <w:szCs w:val="17"/>
        </w:rPr>
        <w:t>5</w:t>
      </w:r>
      <w:r w:rsidRPr="00107B4D">
        <w:rPr>
          <w:rFonts w:ascii="Verdana" w:hAnsi="Verdana" w:cs="Arial"/>
          <w:sz w:val="17"/>
          <w:szCs w:val="17"/>
        </w:rPr>
        <w:t xml:space="preserve"> e de 202</w:t>
      </w:r>
      <w:r>
        <w:rPr>
          <w:rFonts w:ascii="Verdana" w:hAnsi="Verdana" w:cs="Arial"/>
          <w:sz w:val="17"/>
          <w:szCs w:val="17"/>
        </w:rPr>
        <w:t>4</w:t>
      </w:r>
      <w:r w:rsidRPr="00107B4D">
        <w:rPr>
          <w:rFonts w:ascii="Verdana" w:hAnsi="Verdana" w:cs="Arial"/>
          <w:sz w:val="17"/>
          <w:szCs w:val="17"/>
        </w:rPr>
        <w:t xml:space="preserve">, os valores da coluna “Outros” de </w:t>
      </w:r>
      <w:r>
        <w:rPr>
          <w:rFonts w:ascii="Verdana" w:hAnsi="Verdana" w:cs="Arial"/>
          <w:sz w:val="17"/>
          <w:szCs w:val="17"/>
        </w:rPr>
        <w:t xml:space="preserve">61.714 </w:t>
      </w:r>
      <w:proofErr w:type="spellStart"/>
      <w:proofErr w:type="gramStart"/>
      <w:r w:rsidRPr="00107B4D">
        <w:rPr>
          <w:rFonts w:ascii="Verdana" w:hAnsi="Verdana" w:cs="Arial"/>
          <w:sz w:val="17"/>
          <w:szCs w:val="17"/>
        </w:rPr>
        <w:t>m.euros</w:t>
      </w:r>
      <w:proofErr w:type="spellEnd"/>
      <w:proofErr w:type="gramEnd"/>
      <w:r w:rsidRPr="00107B4D">
        <w:rPr>
          <w:rFonts w:ascii="Verdana" w:hAnsi="Verdana" w:cs="Arial"/>
          <w:sz w:val="17"/>
          <w:szCs w:val="17"/>
        </w:rPr>
        <w:t xml:space="preserve"> e </w:t>
      </w:r>
      <w:r>
        <w:rPr>
          <w:rFonts w:ascii="Verdana" w:hAnsi="Verdana" w:cs="Arial"/>
          <w:sz w:val="17"/>
          <w:szCs w:val="17"/>
        </w:rPr>
        <w:t>65.808</w:t>
      </w:r>
      <w:r w:rsidRPr="00107B4D">
        <w:rPr>
          <w:rFonts w:ascii="Verdana" w:hAnsi="Verdana" w:cs="Arial"/>
          <w:sz w:val="17"/>
          <w:szCs w:val="17"/>
        </w:rPr>
        <w:t xml:space="preserve"> </w:t>
      </w:r>
      <w:proofErr w:type="spellStart"/>
      <w:proofErr w:type="gramStart"/>
      <w:r w:rsidRPr="00107B4D">
        <w:rPr>
          <w:rFonts w:ascii="Verdana" w:hAnsi="Verdana" w:cs="Arial"/>
          <w:sz w:val="17"/>
          <w:szCs w:val="17"/>
        </w:rPr>
        <w:t>m.euros</w:t>
      </w:r>
      <w:proofErr w:type="spellEnd"/>
      <w:proofErr w:type="gramEnd"/>
      <w:r w:rsidRPr="00107B4D">
        <w:rPr>
          <w:rFonts w:ascii="Verdana" w:hAnsi="Verdana" w:cs="Arial"/>
          <w:sz w:val="17"/>
          <w:szCs w:val="17"/>
        </w:rPr>
        <w:t>, respetivamente, correspondem essencialmente ao impacto do recálculo do custo amortizado dos financiamentos obtidos (Nota 1</w:t>
      </w:r>
      <w:r>
        <w:rPr>
          <w:rFonts w:ascii="Verdana" w:hAnsi="Verdana" w:cs="Arial"/>
          <w:sz w:val="17"/>
          <w:szCs w:val="17"/>
        </w:rPr>
        <w:t>5</w:t>
      </w:r>
      <w:r w:rsidRPr="00107B4D">
        <w:rPr>
          <w:rFonts w:ascii="Verdana" w:hAnsi="Verdana" w:cs="Arial"/>
          <w:sz w:val="17"/>
          <w:szCs w:val="17"/>
        </w:rPr>
        <w:t>).</w:t>
      </w:r>
    </w:p>
    <w:p w14:paraId="28EBC969" w14:textId="77777777" w:rsidR="00C82F0D" w:rsidRPr="00107B4D" w:rsidRDefault="00C82F0D" w:rsidP="00633A3B">
      <w:pPr>
        <w:tabs>
          <w:tab w:val="left" w:pos="426"/>
          <w:tab w:val="left" w:pos="851"/>
        </w:tabs>
        <w:ind w:left="426" w:right="-22"/>
        <w:jc w:val="both"/>
        <w:rPr>
          <w:rFonts w:ascii="Verdana" w:hAnsi="Verdana" w:cs="Arial"/>
          <w:sz w:val="17"/>
          <w:szCs w:val="17"/>
        </w:rPr>
      </w:pPr>
    </w:p>
    <w:p w14:paraId="789A92D0" w14:textId="77777777" w:rsidR="00C82F0D" w:rsidRPr="00107B4D" w:rsidRDefault="00C82F0D" w:rsidP="00633A3B">
      <w:pPr>
        <w:tabs>
          <w:tab w:val="left" w:pos="426"/>
        </w:tabs>
        <w:ind w:left="450" w:right="-22"/>
        <w:jc w:val="both"/>
        <w:rPr>
          <w:rFonts w:ascii="Verdana" w:hAnsi="Verdana" w:cs="Arial"/>
          <w:sz w:val="17"/>
          <w:szCs w:val="17"/>
        </w:rPr>
      </w:pPr>
      <w:r w:rsidRPr="00107B4D">
        <w:rPr>
          <w:rFonts w:ascii="Verdana" w:hAnsi="Verdana" w:cs="Arial"/>
          <w:sz w:val="17"/>
          <w:szCs w:val="17"/>
        </w:rPr>
        <w:t xml:space="preserve">O montante de 126.946 </w:t>
      </w:r>
      <w:proofErr w:type="spellStart"/>
      <w:proofErr w:type="gramStart"/>
      <w:r w:rsidRPr="00107B4D">
        <w:rPr>
          <w:rFonts w:ascii="Verdana" w:hAnsi="Verdana" w:cs="Arial"/>
          <w:sz w:val="17"/>
          <w:szCs w:val="17"/>
        </w:rPr>
        <w:t>m.euros</w:t>
      </w:r>
      <w:proofErr w:type="spellEnd"/>
      <w:proofErr w:type="gramEnd"/>
      <w:r w:rsidRPr="00107B4D">
        <w:rPr>
          <w:rFonts w:ascii="Verdana" w:hAnsi="Verdana" w:cs="Arial"/>
          <w:sz w:val="17"/>
          <w:szCs w:val="17"/>
        </w:rPr>
        <w:t xml:space="preserve"> presente na coluna “Impacto Fusão” corresponde ao valor dos financiamentos obtidos e os juros em dívida incorporados na sequência da fusão com a Parparticipadas</w:t>
      </w:r>
      <w:r>
        <w:rPr>
          <w:rFonts w:ascii="Verdana" w:hAnsi="Verdana" w:cs="Arial"/>
          <w:sz w:val="17"/>
          <w:szCs w:val="17"/>
        </w:rPr>
        <w:t>, em 2024</w:t>
      </w:r>
      <w:r w:rsidRPr="00107B4D">
        <w:rPr>
          <w:rFonts w:ascii="Verdana" w:hAnsi="Verdana" w:cs="Arial"/>
          <w:sz w:val="17"/>
          <w:szCs w:val="17"/>
        </w:rPr>
        <w:t>.</w:t>
      </w:r>
    </w:p>
    <w:p w14:paraId="5CFF3550" w14:textId="77777777" w:rsidR="00C82F0D" w:rsidRPr="00107B4D" w:rsidRDefault="00C82F0D" w:rsidP="00633A3B">
      <w:pPr>
        <w:tabs>
          <w:tab w:val="left" w:pos="426"/>
        </w:tabs>
        <w:ind w:left="450" w:right="-22"/>
        <w:jc w:val="both"/>
        <w:rPr>
          <w:rFonts w:ascii="Verdana" w:hAnsi="Verdana" w:cs="Arial"/>
          <w:sz w:val="17"/>
          <w:szCs w:val="17"/>
        </w:rPr>
      </w:pPr>
    </w:p>
    <w:p w14:paraId="45AD32BA" w14:textId="77777777" w:rsidR="00C82F0D" w:rsidRPr="00107B4D" w:rsidRDefault="00C82F0D" w:rsidP="00633A3B">
      <w:pPr>
        <w:tabs>
          <w:tab w:val="left" w:pos="426"/>
        </w:tabs>
        <w:ind w:left="450" w:right="-22"/>
        <w:jc w:val="both"/>
        <w:rPr>
          <w:rFonts w:ascii="Verdana" w:hAnsi="Verdana" w:cs="Arial"/>
          <w:sz w:val="17"/>
          <w:szCs w:val="17"/>
        </w:rPr>
      </w:pPr>
    </w:p>
    <w:p w14:paraId="207FDC4B" w14:textId="77777777" w:rsidR="00C82F0D" w:rsidRPr="00107B4D" w:rsidRDefault="00C82F0D" w:rsidP="00D84952">
      <w:pPr>
        <w:pStyle w:val="Ttulo1"/>
        <w:keepNext w:val="0"/>
        <w:keepLines w:val="0"/>
        <w:numPr>
          <w:ilvl w:val="0"/>
          <w:numId w:val="3"/>
        </w:numPr>
        <w:tabs>
          <w:tab w:val="left" w:pos="426"/>
        </w:tabs>
        <w:spacing w:before="0"/>
        <w:ind w:right="-22"/>
        <w:jc w:val="both"/>
        <w:rPr>
          <w:rFonts w:ascii="Verdana" w:eastAsia="Times New Roman" w:hAnsi="Verdana" w:cs="Arial"/>
          <w:b w:val="0"/>
          <w:bCs w:val="0"/>
          <w:color w:val="auto"/>
          <w:sz w:val="17"/>
          <w:szCs w:val="17"/>
          <w:u w:val="single"/>
          <w:lang w:eastAsia="en-US"/>
        </w:rPr>
      </w:pPr>
      <w:r w:rsidRPr="00107B4D">
        <w:rPr>
          <w:rFonts w:ascii="Verdana" w:eastAsia="Times New Roman" w:hAnsi="Verdana" w:cs="Arial"/>
          <w:b w:val="0"/>
          <w:bCs w:val="0"/>
          <w:color w:val="auto"/>
          <w:sz w:val="17"/>
          <w:szCs w:val="17"/>
          <w:u w:val="single"/>
          <w:lang w:eastAsia="en-US"/>
        </w:rPr>
        <w:t>CAPITAL</w:t>
      </w:r>
    </w:p>
    <w:p w14:paraId="6432F11A" w14:textId="77777777" w:rsidR="00C82F0D" w:rsidRPr="00107B4D" w:rsidRDefault="00C82F0D" w:rsidP="00633A3B">
      <w:pPr>
        <w:tabs>
          <w:tab w:val="left" w:pos="400"/>
          <w:tab w:val="left" w:pos="426"/>
          <w:tab w:val="left" w:pos="851"/>
          <w:tab w:val="right" w:pos="7371"/>
          <w:tab w:val="right" w:pos="8505"/>
        </w:tabs>
        <w:ind w:left="400" w:right="-53" w:hanging="400"/>
        <w:jc w:val="both"/>
        <w:rPr>
          <w:rFonts w:ascii="Verdana" w:hAnsi="Verdana" w:cs="Arial"/>
          <w:sz w:val="17"/>
          <w:szCs w:val="17"/>
        </w:rPr>
      </w:pPr>
    </w:p>
    <w:p w14:paraId="115853B5" w14:textId="77777777" w:rsidR="00C82F0D" w:rsidRPr="00107B4D" w:rsidRDefault="00C82F0D" w:rsidP="00633A3B">
      <w:pPr>
        <w:tabs>
          <w:tab w:val="left" w:pos="426"/>
          <w:tab w:val="left" w:pos="851"/>
        </w:tabs>
        <w:ind w:left="426" w:right="-22"/>
        <w:jc w:val="both"/>
        <w:rPr>
          <w:rFonts w:ascii="Verdana" w:hAnsi="Verdana"/>
          <w:sz w:val="17"/>
          <w:szCs w:val="17"/>
        </w:rPr>
      </w:pPr>
      <w:r w:rsidRPr="00107B4D">
        <w:rPr>
          <w:rFonts w:ascii="Verdana" w:hAnsi="Verdana"/>
          <w:sz w:val="17"/>
          <w:szCs w:val="17"/>
        </w:rPr>
        <w:t xml:space="preserve">Em </w:t>
      </w:r>
      <w:r w:rsidRPr="00107B4D">
        <w:rPr>
          <w:rFonts w:ascii="Verdana" w:hAnsi="Verdana" w:cs="Arial"/>
          <w:sz w:val="17"/>
          <w:szCs w:val="17"/>
        </w:rPr>
        <w:t>31 de dezembro de 202</w:t>
      </w:r>
      <w:r>
        <w:rPr>
          <w:rFonts w:ascii="Verdana" w:hAnsi="Verdana" w:cs="Arial"/>
          <w:sz w:val="17"/>
          <w:szCs w:val="17"/>
        </w:rPr>
        <w:t>5</w:t>
      </w:r>
      <w:r w:rsidRPr="00107B4D">
        <w:rPr>
          <w:rFonts w:ascii="Verdana" w:hAnsi="Verdana" w:cs="Arial"/>
          <w:sz w:val="17"/>
          <w:szCs w:val="17"/>
        </w:rPr>
        <w:t xml:space="preserve"> e 202</w:t>
      </w:r>
      <w:r>
        <w:rPr>
          <w:rFonts w:ascii="Verdana" w:hAnsi="Verdana" w:cs="Arial"/>
          <w:sz w:val="17"/>
          <w:szCs w:val="17"/>
        </w:rPr>
        <w:t>4</w:t>
      </w:r>
      <w:r w:rsidRPr="00107B4D">
        <w:rPr>
          <w:rFonts w:ascii="Verdana" w:hAnsi="Verdana"/>
          <w:sz w:val="17"/>
          <w:szCs w:val="17"/>
        </w:rPr>
        <w:t xml:space="preserve">, o capital social encontra-se integralmente subscrito e realizado, estando representado por dez mil ações com o valor nominal de cinco Euros cada uma, sendo detidas na sua totalidade pela </w:t>
      </w:r>
      <w:r>
        <w:rPr>
          <w:rFonts w:ascii="Verdana" w:hAnsi="Verdana" w:cs="Arial"/>
          <w:sz w:val="17"/>
          <w:szCs w:val="17"/>
        </w:rPr>
        <w:t xml:space="preserve">Entidade do Tesouro e Finanças </w:t>
      </w:r>
      <w:r w:rsidRPr="00107B4D">
        <w:rPr>
          <w:rFonts w:ascii="Verdana" w:hAnsi="Verdana" w:cs="Arial"/>
          <w:sz w:val="17"/>
          <w:szCs w:val="17"/>
        </w:rPr>
        <w:t>(</w:t>
      </w:r>
      <w:r>
        <w:rPr>
          <w:rFonts w:ascii="Verdana" w:hAnsi="Verdana" w:cs="Arial"/>
          <w:sz w:val="17"/>
          <w:szCs w:val="17"/>
        </w:rPr>
        <w:t>E</w:t>
      </w:r>
      <w:r w:rsidRPr="00107B4D">
        <w:rPr>
          <w:rFonts w:ascii="Verdana" w:hAnsi="Verdana" w:cs="Arial"/>
          <w:sz w:val="17"/>
          <w:szCs w:val="17"/>
        </w:rPr>
        <w:t>TF)</w:t>
      </w:r>
      <w:r w:rsidRPr="00107B4D">
        <w:rPr>
          <w:rFonts w:ascii="Verdana" w:hAnsi="Verdana"/>
          <w:sz w:val="17"/>
          <w:szCs w:val="17"/>
        </w:rPr>
        <w:t>.</w:t>
      </w:r>
    </w:p>
    <w:p w14:paraId="048FF164" w14:textId="77777777" w:rsidR="00C82F0D" w:rsidRPr="00107B4D" w:rsidRDefault="00C82F0D">
      <w:pPr>
        <w:rPr>
          <w:rFonts w:ascii="Verdana" w:hAnsi="Verdana"/>
          <w:sz w:val="17"/>
          <w:szCs w:val="17"/>
        </w:rPr>
      </w:pPr>
    </w:p>
    <w:p w14:paraId="212C4A5E" w14:textId="77777777" w:rsidR="00C82F0D" w:rsidRPr="00107B4D" w:rsidRDefault="00C82F0D" w:rsidP="00633A3B">
      <w:pPr>
        <w:tabs>
          <w:tab w:val="left" w:pos="426"/>
          <w:tab w:val="left" w:pos="851"/>
        </w:tabs>
        <w:ind w:left="426" w:right="-22"/>
        <w:jc w:val="both"/>
        <w:rPr>
          <w:rFonts w:ascii="Verdana" w:hAnsi="Verdana"/>
          <w:sz w:val="17"/>
          <w:szCs w:val="17"/>
        </w:rPr>
      </w:pPr>
    </w:p>
    <w:p w14:paraId="3B2DC51A" w14:textId="77777777" w:rsidR="00C82F0D" w:rsidRPr="00107B4D" w:rsidRDefault="00C82F0D" w:rsidP="00D84952">
      <w:pPr>
        <w:pStyle w:val="Ttulo1"/>
        <w:keepNext w:val="0"/>
        <w:keepLines w:val="0"/>
        <w:numPr>
          <w:ilvl w:val="0"/>
          <w:numId w:val="3"/>
        </w:numPr>
        <w:tabs>
          <w:tab w:val="left" w:pos="426"/>
        </w:tabs>
        <w:spacing w:before="0"/>
        <w:ind w:right="-22"/>
        <w:jc w:val="both"/>
        <w:rPr>
          <w:rFonts w:ascii="Verdana" w:eastAsia="Times New Roman" w:hAnsi="Verdana" w:cs="Arial"/>
          <w:b w:val="0"/>
          <w:bCs w:val="0"/>
          <w:color w:val="auto"/>
          <w:sz w:val="17"/>
          <w:szCs w:val="17"/>
          <w:u w:val="single"/>
          <w:lang w:eastAsia="en-US"/>
        </w:rPr>
      </w:pPr>
      <w:r w:rsidRPr="00107B4D">
        <w:rPr>
          <w:rFonts w:ascii="Verdana" w:eastAsia="Times New Roman" w:hAnsi="Verdana" w:cs="Arial"/>
          <w:b w:val="0"/>
          <w:bCs w:val="0"/>
          <w:color w:val="auto"/>
          <w:sz w:val="17"/>
          <w:szCs w:val="17"/>
          <w:u w:val="single"/>
          <w:lang w:eastAsia="en-US"/>
        </w:rPr>
        <w:t>RESERVAS DE REAVALIAÇÃO, OUTRAS RESERVAS, RESULTADOS TRANSITADOS E RESULTADO LÍQUIDO DO EXERCÍCIO</w:t>
      </w:r>
    </w:p>
    <w:p w14:paraId="65EF3ED3" w14:textId="77777777" w:rsidR="00C82F0D" w:rsidRPr="00107B4D" w:rsidRDefault="00C82F0D" w:rsidP="00633A3B">
      <w:pPr>
        <w:jc w:val="both"/>
        <w:rPr>
          <w:rFonts w:ascii="Verdana" w:hAnsi="Verdana" w:cs="Arial"/>
          <w:b/>
          <w:bCs/>
          <w:sz w:val="17"/>
          <w:szCs w:val="17"/>
          <w:u w:val="single"/>
          <w:lang w:eastAsia="en-US"/>
        </w:rPr>
      </w:pPr>
    </w:p>
    <w:p w14:paraId="264A1054" w14:textId="77777777" w:rsidR="00C82F0D" w:rsidRPr="00107B4D" w:rsidRDefault="00C82F0D" w:rsidP="000A3AC8">
      <w:pPr>
        <w:tabs>
          <w:tab w:val="left" w:pos="426"/>
          <w:tab w:val="left" w:pos="851"/>
        </w:tabs>
        <w:ind w:left="426" w:right="-22"/>
        <w:jc w:val="both"/>
        <w:rPr>
          <w:rFonts w:ascii="Verdana" w:hAnsi="Verdana" w:cs="Arial"/>
          <w:sz w:val="17"/>
          <w:szCs w:val="17"/>
        </w:rPr>
      </w:pPr>
      <w:r w:rsidRPr="00107B4D">
        <w:rPr>
          <w:rFonts w:ascii="Verdana" w:hAnsi="Verdana" w:cs="Arial"/>
          <w:sz w:val="17"/>
          <w:szCs w:val="17"/>
        </w:rPr>
        <w:t>Esta rubrica tem a seguinte composição:</w:t>
      </w:r>
    </w:p>
    <w:p w14:paraId="02611AAB" w14:textId="77777777" w:rsidR="00C82F0D" w:rsidRPr="00107B4D" w:rsidRDefault="00C82F0D" w:rsidP="00633A3B">
      <w:pPr>
        <w:tabs>
          <w:tab w:val="left" w:pos="426"/>
          <w:tab w:val="left" w:pos="851"/>
        </w:tabs>
        <w:ind w:left="426" w:right="-22"/>
        <w:jc w:val="both"/>
        <w:rPr>
          <w:noProof/>
        </w:rPr>
      </w:pPr>
    </w:p>
    <w:p w14:paraId="6248D5C8" w14:textId="77777777" w:rsidR="00C82F0D" w:rsidRDefault="00C82F0D" w:rsidP="00633A3B">
      <w:pPr>
        <w:tabs>
          <w:tab w:val="left" w:pos="426"/>
          <w:tab w:val="left" w:pos="851"/>
        </w:tabs>
        <w:ind w:left="426" w:right="-22"/>
        <w:jc w:val="both"/>
        <w:rPr>
          <w:rFonts w:ascii="Verdana" w:hAnsi="Verdana" w:cs="Arial"/>
          <w:sz w:val="17"/>
          <w:szCs w:val="17"/>
        </w:rPr>
      </w:pPr>
      <w:r w:rsidRPr="00E71CA5">
        <w:rPr>
          <w:noProof/>
        </w:rPr>
        <w:drawing>
          <wp:inline distT="0" distB="0" distL="0" distR="0" wp14:anchorId="1C1670E8" wp14:editId="23F635B2">
            <wp:extent cx="5035550" cy="873575"/>
            <wp:effectExtent l="0" t="0" r="0" b="3175"/>
            <wp:docPr id="94136249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075471" cy="880501"/>
                    </a:xfrm>
                    <a:prstGeom prst="rect">
                      <a:avLst/>
                    </a:prstGeom>
                    <a:noFill/>
                    <a:ln>
                      <a:noFill/>
                    </a:ln>
                  </pic:spPr>
                </pic:pic>
              </a:graphicData>
            </a:graphic>
          </wp:inline>
        </w:drawing>
      </w:r>
      <w:r w:rsidRPr="00107B4D">
        <w:rPr>
          <w:rFonts w:ascii="Verdana" w:hAnsi="Verdana" w:cs="Arial"/>
          <w:sz w:val="17"/>
          <w:szCs w:val="17"/>
        </w:rPr>
        <w:t xml:space="preserve">  </w:t>
      </w:r>
    </w:p>
    <w:p w14:paraId="1F3E3453" w14:textId="77777777" w:rsidR="00C82F0D" w:rsidRDefault="00C82F0D" w:rsidP="00633A3B">
      <w:pPr>
        <w:tabs>
          <w:tab w:val="left" w:pos="426"/>
          <w:tab w:val="left" w:pos="851"/>
        </w:tabs>
        <w:ind w:left="426" w:right="-22"/>
        <w:jc w:val="both"/>
        <w:rPr>
          <w:rFonts w:ascii="Verdana" w:hAnsi="Verdana" w:cs="Arial"/>
          <w:sz w:val="17"/>
          <w:szCs w:val="17"/>
        </w:rPr>
      </w:pPr>
    </w:p>
    <w:p w14:paraId="306A1664" w14:textId="77777777" w:rsidR="00C82F0D" w:rsidRPr="00107B4D" w:rsidRDefault="00C82F0D" w:rsidP="00DE74CC">
      <w:pPr>
        <w:pStyle w:val="Avanodecorpodetexto"/>
        <w:tabs>
          <w:tab w:val="clear" w:pos="851"/>
        </w:tabs>
        <w:ind w:left="426" w:hanging="426"/>
        <w:rPr>
          <w:rFonts w:ascii="Verdana" w:hAnsi="Verdana" w:cs="Arial"/>
          <w:sz w:val="17"/>
          <w:szCs w:val="17"/>
        </w:rPr>
      </w:pPr>
      <w:r>
        <w:rPr>
          <w:rFonts w:ascii="Verdana" w:hAnsi="Verdana" w:cs="Arial"/>
          <w:sz w:val="17"/>
          <w:szCs w:val="17"/>
        </w:rPr>
        <w:tab/>
      </w:r>
      <w:r w:rsidRPr="00107B4D">
        <w:rPr>
          <w:rFonts w:ascii="Verdana" w:hAnsi="Verdana" w:cs="Arial"/>
          <w:sz w:val="17"/>
          <w:szCs w:val="17"/>
        </w:rPr>
        <w:t>Em 31 de dezembro de 202</w:t>
      </w:r>
      <w:r>
        <w:rPr>
          <w:rFonts w:ascii="Verdana" w:hAnsi="Verdana" w:cs="Arial"/>
          <w:sz w:val="17"/>
          <w:szCs w:val="17"/>
        </w:rPr>
        <w:t>5</w:t>
      </w:r>
      <w:r w:rsidRPr="00107B4D">
        <w:rPr>
          <w:rFonts w:ascii="Verdana" w:hAnsi="Verdana" w:cs="Arial"/>
          <w:sz w:val="17"/>
          <w:szCs w:val="17"/>
        </w:rPr>
        <w:t xml:space="preserve"> e 202</w:t>
      </w:r>
      <w:r>
        <w:rPr>
          <w:rFonts w:ascii="Verdana" w:hAnsi="Verdana" w:cs="Arial"/>
          <w:sz w:val="17"/>
          <w:szCs w:val="17"/>
        </w:rPr>
        <w:t>4</w:t>
      </w:r>
      <w:r w:rsidRPr="00107B4D">
        <w:rPr>
          <w:rFonts w:ascii="Verdana" w:hAnsi="Verdana" w:cs="Arial"/>
          <w:sz w:val="17"/>
          <w:szCs w:val="17"/>
        </w:rPr>
        <w:t>, o saldo da rubrica “</w:t>
      </w:r>
      <w:r w:rsidRPr="00DE74CC">
        <w:rPr>
          <w:rFonts w:ascii="Verdana" w:hAnsi="Verdana" w:cs="Arial"/>
          <w:sz w:val="17"/>
          <w:szCs w:val="17"/>
        </w:rPr>
        <w:t>Reservas de reavaliação (Nota 1</w:t>
      </w:r>
      <w:r>
        <w:rPr>
          <w:rFonts w:ascii="Verdana" w:hAnsi="Verdana" w:cs="Arial"/>
          <w:sz w:val="17"/>
          <w:szCs w:val="17"/>
        </w:rPr>
        <w:t>7</w:t>
      </w:r>
      <w:r w:rsidRPr="00DE74CC">
        <w:rPr>
          <w:rFonts w:ascii="Verdana" w:hAnsi="Verdana" w:cs="Arial"/>
          <w:sz w:val="17"/>
          <w:szCs w:val="17"/>
        </w:rPr>
        <w:t>)</w:t>
      </w:r>
      <w:r w:rsidRPr="00107B4D">
        <w:rPr>
          <w:rFonts w:ascii="Verdana" w:hAnsi="Verdana" w:cs="Arial"/>
          <w:sz w:val="17"/>
          <w:szCs w:val="17"/>
        </w:rPr>
        <w:t xml:space="preserve">” corresponde </w:t>
      </w:r>
      <w:r>
        <w:rPr>
          <w:rFonts w:ascii="Verdana" w:hAnsi="Verdana" w:cs="Arial"/>
          <w:sz w:val="17"/>
          <w:szCs w:val="17"/>
        </w:rPr>
        <w:t>aos ajustamentos atuariais (ganhos/perdas) decorrentes do apuramento de responsabilidades com benefícios pós-emprego.</w:t>
      </w:r>
    </w:p>
    <w:p w14:paraId="70E9C3AE" w14:textId="77777777" w:rsidR="00C82F0D" w:rsidRPr="00107B4D" w:rsidRDefault="00C82F0D" w:rsidP="00DE74CC">
      <w:pPr>
        <w:tabs>
          <w:tab w:val="left" w:pos="426"/>
          <w:tab w:val="left" w:pos="851"/>
        </w:tabs>
        <w:ind w:right="-22"/>
        <w:jc w:val="both"/>
        <w:rPr>
          <w:rFonts w:ascii="Verdana" w:hAnsi="Verdana" w:cs="Arial"/>
          <w:sz w:val="17"/>
          <w:szCs w:val="17"/>
        </w:rPr>
      </w:pPr>
    </w:p>
    <w:p w14:paraId="5304E3BE" w14:textId="0BB6AAF2" w:rsidR="00C82F0D" w:rsidRPr="00107B4D" w:rsidRDefault="00C82F0D" w:rsidP="00633A3B">
      <w:pPr>
        <w:pStyle w:val="Avanodecorpodetexto"/>
        <w:tabs>
          <w:tab w:val="clear" w:pos="851"/>
        </w:tabs>
        <w:ind w:left="426" w:hanging="426"/>
        <w:rPr>
          <w:rFonts w:ascii="Verdana" w:hAnsi="Verdana" w:cs="Arial"/>
          <w:sz w:val="17"/>
          <w:szCs w:val="17"/>
        </w:rPr>
      </w:pPr>
      <w:r w:rsidRPr="00107B4D">
        <w:rPr>
          <w:rFonts w:ascii="Verdana" w:hAnsi="Verdana" w:cs="Arial"/>
          <w:sz w:val="17"/>
          <w:szCs w:val="17"/>
        </w:rPr>
        <w:tab/>
      </w:r>
      <w:bookmarkStart w:id="55" w:name="_Hlk200577162"/>
      <w:r w:rsidRPr="00107B4D">
        <w:rPr>
          <w:rFonts w:ascii="Verdana" w:hAnsi="Verdana" w:cs="Arial"/>
          <w:sz w:val="17"/>
          <w:szCs w:val="17"/>
        </w:rPr>
        <w:t>Em 31 de dezembro de 202</w:t>
      </w:r>
      <w:r>
        <w:rPr>
          <w:rFonts w:ascii="Verdana" w:hAnsi="Verdana" w:cs="Arial"/>
          <w:sz w:val="17"/>
          <w:szCs w:val="17"/>
        </w:rPr>
        <w:t>5</w:t>
      </w:r>
      <w:r w:rsidRPr="00107B4D">
        <w:rPr>
          <w:rFonts w:ascii="Verdana" w:hAnsi="Verdana" w:cs="Arial"/>
          <w:sz w:val="17"/>
          <w:szCs w:val="17"/>
        </w:rPr>
        <w:t xml:space="preserve"> e 202</w:t>
      </w:r>
      <w:r>
        <w:rPr>
          <w:rFonts w:ascii="Verdana" w:hAnsi="Verdana" w:cs="Arial"/>
          <w:sz w:val="17"/>
          <w:szCs w:val="17"/>
        </w:rPr>
        <w:t>4</w:t>
      </w:r>
      <w:r w:rsidRPr="00107B4D">
        <w:rPr>
          <w:rFonts w:ascii="Verdana" w:hAnsi="Verdana" w:cs="Arial"/>
          <w:sz w:val="17"/>
          <w:szCs w:val="17"/>
        </w:rPr>
        <w:t xml:space="preserve">, o saldo da rubrica “Outras reservas” corresponde à contrapartida do ajustamento do custo amortizado de um conjunto de empréstimos concedidos pela </w:t>
      </w:r>
      <w:r>
        <w:rPr>
          <w:rFonts w:ascii="Verdana" w:hAnsi="Verdana" w:cs="Arial"/>
          <w:sz w:val="17"/>
          <w:szCs w:val="17"/>
        </w:rPr>
        <w:t xml:space="preserve">Entidade do Tesouro e Finanças </w:t>
      </w:r>
      <w:r w:rsidRPr="00107B4D">
        <w:rPr>
          <w:rFonts w:ascii="Verdana" w:hAnsi="Verdana" w:cs="Arial"/>
          <w:sz w:val="17"/>
          <w:szCs w:val="17"/>
        </w:rPr>
        <w:t>(</w:t>
      </w:r>
      <w:r>
        <w:rPr>
          <w:rFonts w:ascii="Verdana" w:hAnsi="Verdana" w:cs="Arial"/>
          <w:sz w:val="17"/>
          <w:szCs w:val="17"/>
        </w:rPr>
        <w:t>E</w:t>
      </w:r>
      <w:r w:rsidRPr="00107B4D">
        <w:rPr>
          <w:rFonts w:ascii="Verdana" w:hAnsi="Verdana" w:cs="Arial"/>
          <w:sz w:val="17"/>
          <w:szCs w:val="17"/>
        </w:rPr>
        <w:t>TF), apurado na sequência da modificação das respetivas condições contratuais (Nota 1</w:t>
      </w:r>
      <w:r>
        <w:rPr>
          <w:rFonts w:ascii="Verdana" w:hAnsi="Verdana" w:cs="Arial"/>
          <w:sz w:val="17"/>
          <w:szCs w:val="17"/>
        </w:rPr>
        <w:t>5</w:t>
      </w:r>
      <w:r w:rsidRPr="00107B4D">
        <w:rPr>
          <w:rFonts w:ascii="Verdana" w:hAnsi="Verdana" w:cs="Arial"/>
          <w:sz w:val="17"/>
          <w:szCs w:val="17"/>
        </w:rPr>
        <w:t xml:space="preserve">), bem como às Reservas de Fusão resultantes da Fusão por incorporação da Parparticipadas, </w:t>
      </w:r>
      <w:r>
        <w:rPr>
          <w:rFonts w:ascii="Verdana" w:hAnsi="Verdana" w:cs="Arial"/>
          <w:sz w:val="17"/>
          <w:szCs w:val="17"/>
        </w:rPr>
        <w:t>SGPS,</w:t>
      </w:r>
      <w:r w:rsidR="0024198A">
        <w:rPr>
          <w:rFonts w:ascii="Verdana" w:hAnsi="Verdana" w:cs="Arial"/>
          <w:sz w:val="17"/>
          <w:szCs w:val="17"/>
        </w:rPr>
        <w:t xml:space="preserve"> </w:t>
      </w:r>
      <w:r w:rsidRPr="00107B4D">
        <w:rPr>
          <w:rFonts w:ascii="Verdana" w:hAnsi="Verdana" w:cs="Arial"/>
          <w:sz w:val="17"/>
          <w:szCs w:val="17"/>
        </w:rPr>
        <w:t>S.A.</w:t>
      </w:r>
      <w:bookmarkEnd w:id="55"/>
      <w:r w:rsidRPr="00107B4D">
        <w:rPr>
          <w:rFonts w:ascii="Verdana" w:hAnsi="Verdana" w:cs="Arial"/>
          <w:sz w:val="17"/>
          <w:szCs w:val="17"/>
        </w:rPr>
        <w:t xml:space="preserve"> e da </w:t>
      </w:r>
      <w:proofErr w:type="spellStart"/>
      <w:r w:rsidRPr="00107B4D">
        <w:rPr>
          <w:rFonts w:ascii="Verdana" w:hAnsi="Verdana" w:cs="Arial"/>
          <w:sz w:val="17"/>
          <w:szCs w:val="17"/>
        </w:rPr>
        <w:t>Parups</w:t>
      </w:r>
      <w:proofErr w:type="spellEnd"/>
      <w:r w:rsidRPr="00107B4D">
        <w:rPr>
          <w:rFonts w:ascii="Verdana" w:hAnsi="Verdana" w:cs="Arial"/>
          <w:sz w:val="17"/>
          <w:szCs w:val="17"/>
        </w:rPr>
        <w:t>, S.A.</w:t>
      </w:r>
    </w:p>
    <w:p w14:paraId="7DA1E1D6" w14:textId="77777777" w:rsidR="00C82F0D" w:rsidRPr="00107B4D" w:rsidRDefault="00C82F0D" w:rsidP="00633A3B">
      <w:pPr>
        <w:autoSpaceDE w:val="0"/>
        <w:autoSpaceDN w:val="0"/>
        <w:adjustRightInd w:val="0"/>
        <w:ind w:left="426" w:right="-22"/>
        <w:jc w:val="both"/>
        <w:rPr>
          <w:rFonts w:ascii="Verdana" w:hAnsi="Verdana" w:cs="Arial"/>
          <w:sz w:val="17"/>
          <w:szCs w:val="17"/>
        </w:rPr>
      </w:pPr>
    </w:p>
    <w:p w14:paraId="4661CB93" w14:textId="77777777" w:rsidR="00C82F0D" w:rsidRDefault="00C82F0D" w:rsidP="00EF41C7">
      <w:pPr>
        <w:autoSpaceDE w:val="0"/>
        <w:autoSpaceDN w:val="0"/>
        <w:adjustRightInd w:val="0"/>
        <w:ind w:left="426" w:right="-22"/>
        <w:jc w:val="both"/>
        <w:rPr>
          <w:rFonts w:ascii="Verdana" w:hAnsi="Verdana" w:cs="Arial"/>
          <w:sz w:val="17"/>
          <w:szCs w:val="17"/>
        </w:rPr>
      </w:pPr>
      <w:r w:rsidRPr="00107B4D">
        <w:rPr>
          <w:rFonts w:ascii="Verdana" w:hAnsi="Verdana" w:cs="Arial"/>
          <w:sz w:val="17"/>
          <w:szCs w:val="17"/>
        </w:rPr>
        <w:t>Em 31 de dezembro de 202</w:t>
      </w:r>
      <w:r>
        <w:rPr>
          <w:rFonts w:ascii="Verdana" w:hAnsi="Verdana" w:cs="Arial"/>
          <w:sz w:val="17"/>
          <w:szCs w:val="17"/>
        </w:rPr>
        <w:t>5 e 2024</w:t>
      </w:r>
      <w:r w:rsidRPr="00107B4D">
        <w:rPr>
          <w:rFonts w:ascii="Verdana" w:hAnsi="Verdana" w:cs="Arial"/>
          <w:sz w:val="17"/>
          <w:szCs w:val="17"/>
        </w:rPr>
        <w:t xml:space="preserve">, o saldo da rubrica “Resultados transitados” contém o valor de resultados transitados que foram incorporados em resultado da Fusão da Parparticipadas, </w:t>
      </w:r>
      <w:proofErr w:type="gramStart"/>
      <w:r>
        <w:rPr>
          <w:rFonts w:ascii="Verdana" w:hAnsi="Verdana" w:cs="Arial"/>
          <w:sz w:val="17"/>
          <w:szCs w:val="17"/>
        </w:rPr>
        <w:t>SGPS,</w:t>
      </w:r>
      <w:r w:rsidRPr="00107B4D">
        <w:rPr>
          <w:rFonts w:ascii="Verdana" w:hAnsi="Verdana" w:cs="Arial"/>
          <w:sz w:val="17"/>
          <w:szCs w:val="17"/>
        </w:rPr>
        <w:t>S.A.</w:t>
      </w:r>
      <w:proofErr w:type="gramEnd"/>
      <w:r>
        <w:rPr>
          <w:rFonts w:ascii="Verdana" w:hAnsi="Verdana" w:cs="Arial"/>
          <w:sz w:val="17"/>
          <w:szCs w:val="17"/>
        </w:rPr>
        <w:t xml:space="preserve"> </w:t>
      </w:r>
    </w:p>
    <w:p w14:paraId="30CB918F" w14:textId="77777777" w:rsidR="00C82F0D" w:rsidRDefault="00C82F0D" w:rsidP="00EF41C7">
      <w:pPr>
        <w:autoSpaceDE w:val="0"/>
        <w:autoSpaceDN w:val="0"/>
        <w:adjustRightInd w:val="0"/>
        <w:ind w:left="426" w:right="-22"/>
        <w:jc w:val="both"/>
        <w:rPr>
          <w:rFonts w:ascii="Verdana" w:hAnsi="Verdana" w:cs="Arial"/>
          <w:sz w:val="17"/>
          <w:szCs w:val="17"/>
        </w:rPr>
      </w:pPr>
    </w:p>
    <w:p w14:paraId="0C9BD58C" w14:textId="77777777" w:rsidR="00C82F0D" w:rsidRDefault="00C82F0D" w:rsidP="008A27FA">
      <w:pPr>
        <w:autoSpaceDE w:val="0"/>
        <w:autoSpaceDN w:val="0"/>
        <w:adjustRightInd w:val="0"/>
        <w:ind w:left="426" w:right="-22"/>
        <w:jc w:val="both"/>
        <w:rPr>
          <w:rFonts w:ascii="Verdana" w:hAnsi="Verdana" w:cs="Arial"/>
          <w:sz w:val="17"/>
          <w:szCs w:val="17"/>
        </w:rPr>
      </w:pPr>
      <w:r w:rsidRPr="00EF41C7">
        <w:rPr>
          <w:rFonts w:ascii="Verdana" w:hAnsi="Verdana" w:cs="Arial"/>
          <w:sz w:val="17"/>
          <w:szCs w:val="17"/>
        </w:rPr>
        <w:lastRenderedPageBreak/>
        <w:t>De acordo com a deliberação da Assembleia Geral realizada em 15 de julho de 2025, o resultado líquido do exercício de 2024 foi integralmente transferido para resultados transitados.</w:t>
      </w:r>
    </w:p>
    <w:p w14:paraId="515C10FC" w14:textId="77777777" w:rsidR="00C82F0D" w:rsidRPr="00107B4D" w:rsidRDefault="00C82F0D" w:rsidP="008A27FA">
      <w:pPr>
        <w:autoSpaceDE w:val="0"/>
        <w:autoSpaceDN w:val="0"/>
        <w:adjustRightInd w:val="0"/>
        <w:ind w:left="426" w:right="-22"/>
        <w:jc w:val="both"/>
        <w:rPr>
          <w:rFonts w:ascii="Verdana" w:hAnsi="Verdana" w:cs="Arial"/>
          <w:sz w:val="17"/>
          <w:szCs w:val="17"/>
        </w:rPr>
      </w:pPr>
    </w:p>
    <w:p w14:paraId="54046511" w14:textId="77777777" w:rsidR="00C82F0D" w:rsidRPr="00107B4D" w:rsidRDefault="00C82F0D" w:rsidP="00D84952">
      <w:pPr>
        <w:pStyle w:val="Ttulo1"/>
        <w:keepNext w:val="0"/>
        <w:keepLines w:val="0"/>
        <w:numPr>
          <w:ilvl w:val="0"/>
          <w:numId w:val="3"/>
        </w:numPr>
        <w:tabs>
          <w:tab w:val="left" w:pos="426"/>
        </w:tabs>
        <w:spacing w:before="0"/>
        <w:ind w:right="-22"/>
        <w:jc w:val="both"/>
        <w:rPr>
          <w:rFonts w:ascii="Verdana" w:eastAsia="Times New Roman" w:hAnsi="Verdana" w:cs="Arial"/>
          <w:b w:val="0"/>
          <w:bCs w:val="0"/>
          <w:color w:val="auto"/>
          <w:sz w:val="17"/>
          <w:szCs w:val="17"/>
          <w:u w:val="single"/>
          <w:lang w:eastAsia="en-US"/>
        </w:rPr>
      </w:pPr>
      <w:r w:rsidRPr="00107B4D">
        <w:rPr>
          <w:rFonts w:ascii="Verdana" w:eastAsia="Times New Roman" w:hAnsi="Verdana" w:cs="Arial"/>
          <w:b w:val="0"/>
          <w:bCs w:val="0"/>
          <w:color w:val="auto"/>
          <w:sz w:val="17"/>
          <w:szCs w:val="17"/>
          <w:u w:val="single"/>
          <w:lang w:eastAsia="en-US"/>
        </w:rPr>
        <w:t>OUTROS FINANCIAMENTOS OBTIDOS</w:t>
      </w:r>
    </w:p>
    <w:p w14:paraId="47A62EFE" w14:textId="77777777" w:rsidR="00C82F0D" w:rsidRPr="00107B4D" w:rsidRDefault="00C82F0D" w:rsidP="00633A3B">
      <w:pPr>
        <w:tabs>
          <w:tab w:val="left" w:pos="426"/>
        </w:tabs>
        <w:autoSpaceDE w:val="0"/>
        <w:autoSpaceDN w:val="0"/>
        <w:adjustRightInd w:val="0"/>
        <w:ind w:right="-22"/>
        <w:jc w:val="both"/>
        <w:rPr>
          <w:rFonts w:ascii="Verdana" w:hAnsi="Verdana" w:cs="Arial"/>
          <w:sz w:val="17"/>
          <w:szCs w:val="17"/>
        </w:rPr>
      </w:pPr>
    </w:p>
    <w:p w14:paraId="4D659CBD" w14:textId="77777777" w:rsidR="00C82F0D" w:rsidRPr="00107B4D" w:rsidRDefault="00C82F0D" w:rsidP="00633A3B">
      <w:pPr>
        <w:tabs>
          <w:tab w:val="left" w:pos="426"/>
          <w:tab w:val="left" w:pos="720"/>
          <w:tab w:val="right" w:pos="6600"/>
          <w:tab w:val="right" w:pos="8040"/>
        </w:tabs>
        <w:ind w:right="-22"/>
        <w:jc w:val="both"/>
        <w:rPr>
          <w:rFonts w:ascii="Verdana" w:hAnsi="Verdana" w:cs="Arial"/>
          <w:sz w:val="17"/>
          <w:szCs w:val="17"/>
        </w:rPr>
      </w:pPr>
      <w:r w:rsidRPr="00107B4D">
        <w:rPr>
          <w:rFonts w:ascii="Verdana" w:hAnsi="Verdana" w:cs="Arial"/>
          <w:sz w:val="17"/>
          <w:szCs w:val="17"/>
        </w:rPr>
        <w:tab/>
        <w:t xml:space="preserve">Esta rubrica tem a seguinte composição: </w:t>
      </w:r>
    </w:p>
    <w:p w14:paraId="4E3AF007" w14:textId="77777777" w:rsidR="00C82F0D" w:rsidRPr="00107B4D" w:rsidRDefault="00C82F0D" w:rsidP="00633A3B">
      <w:pPr>
        <w:tabs>
          <w:tab w:val="left" w:pos="426"/>
          <w:tab w:val="left" w:pos="720"/>
          <w:tab w:val="right" w:pos="6600"/>
          <w:tab w:val="right" w:pos="8040"/>
        </w:tabs>
        <w:ind w:left="284" w:right="-22"/>
        <w:jc w:val="both"/>
        <w:rPr>
          <w:rFonts w:ascii="Verdana" w:hAnsi="Verdana" w:cs="Arial"/>
          <w:sz w:val="17"/>
          <w:szCs w:val="17"/>
        </w:rPr>
      </w:pPr>
    </w:p>
    <w:p w14:paraId="46170F90" w14:textId="77777777" w:rsidR="00C82F0D" w:rsidRPr="00107B4D" w:rsidRDefault="00C82F0D" w:rsidP="00B47F49">
      <w:pPr>
        <w:tabs>
          <w:tab w:val="left" w:pos="426"/>
          <w:tab w:val="left" w:pos="720"/>
          <w:tab w:val="right" w:pos="6600"/>
          <w:tab w:val="right" w:pos="8040"/>
        </w:tabs>
        <w:ind w:left="426" w:right="-22"/>
        <w:jc w:val="both"/>
        <w:rPr>
          <w:rFonts w:ascii="Verdana" w:hAnsi="Verdana" w:cs="Arial"/>
          <w:sz w:val="17"/>
          <w:szCs w:val="17"/>
        </w:rPr>
      </w:pPr>
      <w:r w:rsidRPr="00E71CA5">
        <w:rPr>
          <w:noProof/>
        </w:rPr>
        <w:drawing>
          <wp:inline distT="0" distB="0" distL="0" distR="0" wp14:anchorId="3776B718" wp14:editId="605AEDDB">
            <wp:extent cx="5056909" cy="1556856"/>
            <wp:effectExtent l="0" t="0" r="0" b="0"/>
            <wp:docPr id="76528783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085826" cy="1565759"/>
                    </a:xfrm>
                    <a:prstGeom prst="rect">
                      <a:avLst/>
                    </a:prstGeom>
                    <a:noFill/>
                    <a:ln>
                      <a:noFill/>
                    </a:ln>
                  </pic:spPr>
                </pic:pic>
              </a:graphicData>
            </a:graphic>
          </wp:inline>
        </w:drawing>
      </w:r>
      <w:r w:rsidRPr="00107B4D">
        <w:rPr>
          <w:rFonts w:ascii="Verdana" w:hAnsi="Verdana" w:cs="Arial"/>
          <w:sz w:val="17"/>
          <w:szCs w:val="17"/>
        </w:rPr>
        <w:t xml:space="preserve"> </w:t>
      </w:r>
    </w:p>
    <w:p w14:paraId="7DBCEB0A" w14:textId="77777777" w:rsidR="00C82F0D" w:rsidRPr="00107B4D" w:rsidRDefault="00C82F0D" w:rsidP="00B47F49">
      <w:pPr>
        <w:tabs>
          <w:tab w:val="left" w:pos="426"/>
          <w:tab w:val="left" w:pos="720"/>
          <w:tab w:val="right" w:pos="6600"/>
          <w:tab w:val="right" w:pos="8040"/>
        </w:tabs>
        <w:ind w:left="426" w:right="-22"/>
        <w:jc w:val="both"/>
        <w:rPr>
          <w:rFonts w:ascii="Verdana" w:hAnsi="Verdana" w:cs="Arial"/>
          <w:sz w:val="17"/>
          <w:szCs w:val="17"/>
        </w:rPr>
      </w:pPr>
    </w:p>
    <w:p w14:paraId="5391D5C5" w14:textId="02B087D2" w:rsidR="00C82F0D" w:rsidRPr="00107B4D" w:rsidRDefault="00C82F0D" w:rsidP="00633A3B">
      <w:pPr>
        <w:autoSpaceDE w:val="0"/>
        <w:autoSpaceDN w:val="0"/>
        <w:adjustRightInd w:val="0"/>
        <w:ind w:left="426" w:right="-22"/>
        <w:jc w:val="both"/>
        <w:rPr>
          <w:rFonts w:ascii="Verdana" w:hAnsi="Verdana" w:cs="Arial"/>
          <w:sz w:val="17"/>
          <w:szCs w:val="17"/>
        </w:rPr>
      </w:pPr>
      <w:r w:rsidRPr="00107B4D">
        <w:rPr>
          <w:rFonts w:ascii="Verdana" w:hAnsi="Verdana" w:cs="Arial"/>
          <w:sz w:val="17"/>
          <w:szCs w:val="17"/>
        </w:rPr>
        <w:t>Em 31 de dezembro de 202</w:t>
      </w:r>
      <w:r>
        <w:rPr>
          <w:rFonts w:ascii="Verdana" w:hAnsi="Verdana" w:cs="Arial"/>
          <w:sz w:val="17"/>
          <w:szCs w:val="17"/>
        </w:rPr>
        <w:t>5</w:t>
      </w:r>
      <w:r w:rsidRPr="00107B4D">
        <w:rPr>
          <w:rFonts w:ascii="Verdana" w:hAnsi="Verdana" w:cs="Arial"/>
          <w:sz w:val="17"/>
          <w:szCs w:val="17"/>
        </w:rPr>
        <w:t xml:space="preserve"> e 202</w:t>
      </w:r>
      <w:r>
        <w:rPr>
          <w:rFonts w:ascii="Verdana" w:hAnsi="Verdana" w:cs="Arial"/>
          <w:sz w:val="17"/>
          <w:szCs w:val="17"/>
        </w:rPr>
        <w:t>4</w:t>
      </w:r>
      <w:r w:rsidRPr="00107B4D">
        <w:rPr>
          <w:rFonts w:ascii="Verdana" w:hAnsi="Verdana" w:cs="Arial"/>
          <w:sz w:val="17"/>
          <w:szCs w:val="17"/>
        </w:rPr>
        <w:t>, os financiamentos formalizados entre a Parvalorem e o Estado Português destina</w:t>
      </w:r>
      <w:r w:rsidR="0023741A">
        <w:rPr>
          <w:rFonts w:ascii="Verdana" w:hAnsi="Verdana" w:cs="Arial"/>
          <w:sz w:val="17"/>
          <w:szCs w:val="17"/>
        </w:rPr>
        <w:t>ra</w:t>
      </w:r>
      <w:r w:rsidRPr="00107B4D">
        <w:rPr>
          <w:rFonts w:ascii="Verdana" w:hAnsi="Verdana" w:cs="Arial"/>
          <w:sz w:val="17"/>
          <w:szCs w:val="17"/>
        </w:rPr>
        <w:t>m-se ao pagamento de serviço de dívida. Estes são remunerados a uma taxa fixa nominal anual, equivalente ao custo de financiamento da República fixada na data de desembolso. A Sociedade poderá a todo o tempo, solicitar o reembolso antecipado, total ou parcial da dívida.</w:t>
      </w:r>
    </w:p>
    <w:p w14:paraId="1CC2B937" w14:textId="77777777" w:rsidR="00C82F0D" w:rsidRDefault="00C82F0D" w:rsidP="00633A3B">
      <w:pPr>
        <w:autoSpaceDE w:val="0"/>
        <w:autoSpaceDN w:val="0"/>
        <w:adjustRightInd w:val="0"/>
        <w:ind w:left="426" w:right="-22"/>
        <w:jc w:val="both"/>
        <w:rPr>
          <w:rFonts w:ascii="Verdana" w:hAnsi="Verdana" w:cs="Arial"/>
          <w:sz w:val="17"/>
          <w:szCs w:val="17"/>
        </w:rPr>
      </w:pPr>
    </w:p>
    <w:p w14:paraId="754833DE" w14:textId="14427BCB" w:rsidR="00C82F0D" w:rsidRDefault="00C82F0D" w:rsidP="00EF41C7">
      <w:pPr>
        <w:autoSpaceDE w:val="0"/>
        <w:autoSpaceDN w:val="0"/>
        <w:adjustRightInd w:val="0"/>
        <w:ind w:left="426" w:right="-22"/>
        <w:jc w:val="both"/>
        <w:rPr>
          <w:rFonts w:ascii="Verdana" w:hAnsi="Verdana" w:cs="Arial"/>
          <w:sz w:val="17"/>
          <w:szCs w:val="17"/>
        </w:rPr>
      </w:pPr>
      <w:r w:rsidRPr="001B734B">
        <w:rPr>
          <w:rFonts w:ascii="Verdana" w:hAnsi="Verdana" w:cs="Arial"/>
          <w:sz w:val="17"/>
          <w:szCs w:val="17"/>
        </w:rPr>
        <w:t xml:space="preserve">Em 31 de dezembro de 2025, a Sociedade apresenta um conjunto de empréstimos concedidos pela ETF, </w:t>
      </w:r>
      <w:r w:rsidR="0023741A">
        <w:rPr>
          <w:rFonts w:ascii="Verdana" w:hAnsi="Verdana" w:cs="Arial"/>
          <w:sz w:val="17"/>
          <w:szCs w:val="17"/>
        </w:rPr>
        <w:t>com data de vencimento a</w:t>
      </w:r>
      <w:r w:rsidRPr="001B734B">
        <w:rPr>
          <w:rFonts w:ascii="Verdana" w:hAnsi="Verdana" w:cs="Arial"/>
          <w:sz w:val="17"/>
          <w:szCs w:val="17"/>
        </w:rPr>
        <w:t xml:space="preserve"> 31 de dezembro de 2025. </w:t>
      </w:r>
      <w:r w:rsidRPr="00EF41C7">
        <w:rPr>
          <w:rFonts w:ascii="Verdana" w:hAnsi="Verdana" w:cs="Arial"/>
          <w:sz w:val="17"/>
          <w:szCs w:val="17"/>
        </w:rPr>
        <w:t xml:space="preserve">O prazo de pagamento dos financiamentos tem vindo a ser consecutivamente diferido por um ano. Neste contexto, a Sociedade procedeu ao recálculo do custo amortizado destes passivos financeiros, descontando os fluxos de caixa contratuais modificados à taxa de juro efetiva original do contrato, tendo o respetivo ajustamento apurado no montante de 61.714 </w:t>
      </w:r>
      <w:proofErr w:type="spellStart"/>
      <w:proofErr w:type="gramStart"/>
      <w:r w:rsidRPr="00EF41C7">
        <w:rPr>
          <w:rFonts w:ascii="Verdana" w:hAnsi="Verdana" w:cs="Arial"/>
          <w:sz w:val="17"/>
          <w:szCs w:val="17"/>
        </w:rPr>
        <w:t>m.euros</w:t>
      </w:r>
      <w:proofErr w:type="spellEnd"/>
      <w:proofErr w:type="gramEnd"/>
      <w:r w:rsidRPr="00EF41C7">
        <w:rPr>
          <w:rFonts w:ascii="Verdana" w:hAnsi="Verdana" w:cs="Arial"/>
          <w:sz w:val="17"/>
          <w:szCs w:val="17"/>
        </w:rPr>
        <w:t xml:space="preserve"> sido registado por contrapartida da rubrica “Outras reservas” (Nota 14), atendendo a tratar-se de uma transação com o acionista da Sociedade, na qualidade de proprietário da mesma (Nota 2.4. d)).</w:t>
      </w:r>
    </w:p>
    <w:p w14:paraId="6DFAB106" w14:textId="77777777" w:rsidR="00C82F0D" w:rsidRPr="00107B4D" w:rsidRDefault="00C82F0D" w:rsidP="00EF41C7">
      <w:pPr>
        <w:autoSpaceDE w:val="0"/>
        <w:autoSpaceDN w:val="0"/>
        <w:adjustRightInd w:val="0"/>
        <w:ind w:left="426" w:right="-22"/>
        <w:jc w:val="both"/>
        <w:rPr>
          <w:rFonts w:ascii="Verdana" w:hAnsi="Verdana" w:cs="Arial"/>
          <w:sz w:val="17"/>
          <w:szCs w:val="17"/>
        </w:rPr>
      </w:pPr>
    </w:p>
    <w:p w14:paraId="45662A3E" w14:textId="77777777" w:rsidR="00C82F0D" w:rsidRPr="00C54984" w:rsidRDefault="00C82F0D" w:rsidP="00EF41C7">
      <w:pPr>
        <w:autoSpaceDE w:val="0"/>
        <w:autoSpaceDN w:val="0"/>
        <w:adjustRightInd w:val="0"/>
        <w:ind w:left="426" w:right="-22"/>
        <w:jc w:val="both"/>
        <w:rPr>
          <w:rFonts w:ascii="Verdana" w:hAnsi="Verdana" w:cs="Arial"/>
          <w:sz w:val="17"/>
          <w:szCs w:val="17"/>
        </w:rPr>
      </w:pPr>
      <w:r w:rsidRPr="00C54984">
        <w:rPr>
          <w:rFonts w:ascii="Verdana" w:hAnsi="Verdana" w:cs="Arial"/>
          <w:sz w:val="17"/>
          <w:szCs w:val="17"/>
        </w:rPr>
        <w:t xml:space="preserve">Durante o exercício findo em 31 de dezembro de 2025, ocorreram reembolsos no montante de 80.000 </w:t>
      </w:r>
      <w:proofErr w:type="spellStart"/>
      <w:proofErr w:type="gramStart"/>
      <w:r w:rsidRPr="00C54984">
        <w:rPr>
          <w:rFonts w:ascii="Verdana" w:hAnsi="Verdana" w:cs="Arial"/>
          <w:sz w:val="17"/>
          <w:szCs w:val="17"/>
        </w:rPr>
        <w:t>m.euros</w:t>
      </w:r>
      <w:proofErr w:type="spellEnd"/>
      <w:proofErr w:type="gramEnd"/>
      <w:r w:rsidRPr="00C54984">
        <w:rPr>
          <w:rFonts w:ascii="Verdana" w:hAnsi="Verdana" w:cs="Arial"/>
          <w:sz w:val="17"/>
          <w:szCs w:val="17"/>
        </w:rPr>
        <w:t>.</w:t>
      </w:r>
    </w:p>
    <w:p w14:paraId="7B6F581F" w14:textId="77777777" w:rsidR="00C82F0D" w:rsidRPr="00EF41C7" w:rsidRDefault="00C82F0D" w:rsidP="00633A3B">
      <w:pPr>
        <w:autoSpaceDE w:val="0"/>
        <w:autoSpaceDN w:val="0"/>
        <w:adjustRightInd w:val="0"/>
        <w:ind w:left="426" w:right="-22"/>
        <w:jc w:val="both"/>
        <w:rPr>
          <w:rFonts w:ascii="Verdana" w:hAnsi="Verdana" w:cs="Arial"/>
          <w:sz w:val="17"/>
          <w:szCs w:val="17"/>
        </w:rPr>
      </w:pPr>
    </w:p>
    <w:p w14:paraId="7994A807" w14:textId="77777777" w:rsidR="00C82F0D" w:rsidRPr="00107B4D" w:rsidRDefault="00C82F0D" w:rsidP="00EF41C7">
      <w:pPr>
        <w:autoSpaceDE w:val="0"/>
        <w:autoSpaceDN w:val="0"/>
        <w:adjustRightInd w:val="0"/>
        <w:ind w:left="426" w:right="-22"/>
        <w:jc w:val="both"/>
        <w:rPr>
          <w:rFonts w:ascii="Verdana" w:hAnsi="Verdana" w:cs="Arial"/>
          <w:sz w:val="17"/>
          <w:szCs w:val="17"/>
        </w:rPr>
      </w:pPr>
      <w:r w:rsidRPr="00EF41C7">
        <w:rPr>
          <w:rFonts w:ascii="Verdana" w:hAnsi="Verdana" w:cs="Arial"/>
          <w:sz w:val="17"/>
          <w:szCs w:val="17"/>
        </w:rPr>
        <w:t xml:space="preserve">Em 31 de dezembro de 2024, a Sociedade apresenta um conjunto de empréstimos concedidos pela ETF, cujo reembolso encontrava-se previsto ser realizado em 31 de dezembro de 2024. Em dezembro de 2024 foi aprovado o diferimento do pagamento do serviço de dívida destes empréstimos para 31 de dezembro de 2025, sem custos adicionais. O prazo de pagamento dos financiamentos tem vindo a ser consecutivamente diferido por um ano. Neste contexto, a Sociedade procedeu ao recálculo do custo amortizado destes passivos financeiros, descontando os fluxos de caixa contratuais modificados à taxa de juro efetiva original do contrato, tendo o respetivo ajustamento apurado no montante de 65.808 </w:t>
      </w:r>
      <w:proofErr w:type="spellStart"/>
      <w:proofErr w:type="gramStart"/>
      <w:r w:rsidRPr="00EF41C7">
        <w:rPr>
          <w:rFonts w:ascii="Verdana" w:hAnsi="Verdana" w:cs="Arial"/>
          <w:sz w:val="17"/>
          <w:szCs w:val="17"/>
        </w:rPr>
        <w:t>m.euros</w:t>
      </w:r>
      <w:proofErr w:type="spellEnd"/>
      <w:proofErr w:type="gramEnd"/>
      <w:r w:rsidRPr="00EF41C7">
        <w:rPr>
          <w:rFonts w:ascii="Verdana" w:hAnsi="Verdana" w:cs="Arial"/>
          <w:sz w:val="17"/>
          <w:szCs w:val="17"/>
        </w:rPr>
        <w:t xml:space="preserve"> sido registado por contrapartida da rubrica “Outras reservas” (Nota 1</w:t>
      </w:r>
      <w:r>
        <w:rPr>
          <w:rFonts w:ascii="Verdana" w:hAnsi="Verdana" w:cs="Arial"/>
          <w:sz w:val="17"/>
          <w:szCs w:val="17"/>
        </w:rPr>
        <w:t>4</w:t>
      </w:r>
      <w:r w:rsidRPr="00EF41C7">
        <w:rPr>
          <w:rFonts w:ascii="Verdana" w:hAnsi="Verdana" w:cs="Arial"/>
          <w:sz w:val="17"/>
          <w:szCs w:val="17"/>
        </w:rPr>
        <w:t>), atendendo a tratar-se de uma transação com o acionista da Sociedade, na qualidade de proprietário da mesma (Nota 2.4. d)).</w:t>
      </w:r>
    </w:p>
    <w:p w14:paraId="56FEFDAB" w14:textId="77777777" w:rsidR="00C82F0D" w:rsidRPr="00C54984" w:rsidRDefault="00C82F0D" w:rsidP="00633A3B">
      <w:pPr>
        <w:autoSpaceDE w:val="0"/>
        <w:autoSpaceDN w:val="0"/>
        <w:adjustRightInd w:val="0"/>
        <w:ind w:left="426" w:right="-22"/>
        <w:jc w:val="both"/>
        <w:rPr>
          <w:rFonts w:ascii="Verdana" w:hAnsi="Verdana" w:cs="Arial"/>
          <w:sz w:val="17"/>
          <w:szCs w:val="17"/>
        </w:rPr>
      </w:pPr>
    </w:p>
    <w:p w14:paraId="0F565CF8" w14:textId="77777777" w:rsidR="00C82F0D" w:rsidRPr="00C54984" w:rsidRDefault="00C82F0D" w:rsidP="00EF41C7">
      <w:pPr>
        <w:autoSpaceDE w:val="0"/>
        <w:autoSpaceDN w:val="0"/>
        <w:adjustRightInd w:val="0"/>
        <w:ind w:left="426" w:right="-22"/>
        <w:jc w:val="both"/>
        <w:rPr>
          <w:rFonts w:ascii="Verdana" w:hAnsi="Verdana" w:cs="Arial"/>
          <w:sz w:val="17"/>
          <w:szCs w:val="17"/>
        </w:rPr>
      </w:pPr>
      <w:r w:rsidRPr="00C54984">
        <w:rPr>
          <w:rFonts w:ascii="Verdana" w:hAnsi="Verdana" w:cs="Arial"/>
          <w:sz w:val="17"/>
          <w:szCs w:val="17"/>
        </w:rPr>
        <w:t>Durante o exercício findo em 31 de dezembro de 202</w:t>
      </w:r>
      <w:r>
        <w:rPr>
          <w:rFonts w:ascii="Verdana" w:hAnsi="Verdana" w:cs="Arial"/>
          <w:sz w:val="17"/>
          <w:szCs w:val="17"/>
        </w:rPr>
        <w:t>4</w:t>
      </w:r>
      <w:r w:rsidRPr="00C54984">
        <w:rPr>
          <w:rFonts w:ascii="Verdana" w:hAnsi="Verdana" w:cs="Arial"/>
          <w:sz w:val="17"/>
          <w:szCs w:val="17"/>
        </w:rPr>
        <w:t xml:space="preserve">, ocorreram reembolsos no montante de 59.000 </w:t>
      </w:r>
      <w:proofErr w:type="spellStart"/>
      <w:proofErr w:type="gramStart"/>
      <w:r w:rsidRPr="00C54984">
        <w:rPr>
          <w:rFonts w:ascii="Verdana" w:hAnsi="Verdana" w:cs="Arial"/>
          <w:sz w:val="17"/>
          <w:szCs w:val="17"/>
        </w:rPr>
        <w:t>m.euros</w:t>
      </w:r>
      <w:proofErr w:type="spellEnd"/>
      <w:proofErr w:type="gramEnd"/>
      <w:r w:rsidRPr="00C54984">
        <w:rPr>
          <w:rFonts w:ascii="Verdana" w:hAnsi="Verdana" w:cs="Arial"/>
          <w:sz w:val="17"/>
          <w:szCs w:val="17"/>
        </w:rPr>
        <w:t>. Na rúbrica de financiamento obtidos estão ainda considerados 126.</w:t>
      </w:r>
      <w:proofErr w:type="gramStart"/>
      <w:r w:rsidRPr="00C54984">
        <w:rPr>
          <w:rFonts w:ascii="Verdana" w:hAnsi="Verdana" w:cs="Arial"/>
          <w:sz w:val="17"/>
          <w:szCs w:val="17"/>
        </w:rPr>
        <w:t xml:space="preserve">946  </w:t>
      </w:r>
      <w:proofErr w:type="spellStart"/>
      <w:r w:rsidRPr="00C54984">
        <w:rPr>
          <w:rFonts w:ascii="Verdana" w:hAnsi="Verdana" w:cs="Arial"/>
          <w:sz w:val="17"/>
          <w:szCs w:val="17"/>
        </w:rPr>
        <w:t>m</w:t>
      </w:r>
      <w:proofErr w:type="gramEnd"/>
      <w:r w:rsidRPr="00C54984">
        <w:rPr>
          <w:rFonts w:ascii="Verdana" w:hAnsi="Verdana" w:cs="Arial"/>
          <w:sz w:val="17"/>
          <w:szCs w:val="17"/>
        </w:rPr>
        <w:t>.euros</w:t>
      </w:r>
      <w:proofErr w:type="spellEnd"/>
      <w:r w:rsidRPr="00C54984">
        <w:rPr>
          <w:rFonts w:ascii="Verdana" w:hAnsi="Verdana" w:cs="Arial"/>
          <w:sz w:val="17"/>
          <w:szCs w:val="17"/>
        </w:rPr>
        <w:t xml:space="preserve"> resultantes da fusão com a Parparticipadas, nomeadamente valores de capital e juros.</w:t>
      </w:r>
    </w:p>
    <w:p w14:paraId="7F395362" w14:textId="77777777" w:rsidR="00C82F0D" w:rsidRPr="00107B4D" w:rsidRDefault="00C82F0D" w:rsidP="004554D3">
      <w:pPr>
        <w:autoSpaceDE w:val="0"/>
        <w:autoSpaceDN w:val="0"/>
        <w:adjustRightInd w:val="0"/>
        <w:ind w:right="-22"/>
        <w:jc w:val="both"/>
        <w:rPr>
          <w:rFonts w:ascii="Verdana" w:hAnsi="Verdana" w:cs="Arial"/>
          <w:sz w:val="17"/>
          <w:szCs w:val="17"/>
        </w:rPr>
      </w:pPr>
    </w:p>
    <w:p w14:paraId="5540C6C5" w14:textId="77777777" w:rsidR="00C82F0D" w:rsidRDefault="00C82F0D">
      <w:pPr>
        <w:rPr>
          <w:rFonts w:ascii="Verdana" w:hAnsi="Verdana" w:cs="Arial"/>
          <w:sz w:val="17"/>
          <w:szCs w:val="17"/>
        </w:rPr>
      </w:pPr>
      <w:r>
        <w:rPr>
          <w:rFonts w:ascii="Verdana" w:hAnsi="Verdana" w:cs="Arial"/>
          <w:sz w:val="17"/>
          <w:szCs w:val="17"/>
        </w:rPr>
        <w:br w:type="page"/>
      </w:r>
    </w:p>
    <w:p w14:paraId="31164A42" w14:textId="77777777" w:rsidR="00C82F0D" w:rsidRPr="00107B4D" w:rsidRDefault="00C82F0D" w:rsidP="00983C79">
      <w:pPr>
        <w:autoSpaceDE w:val="0"/>
        <w:autoSpaceDN w:val="0"/>
        <w:adjustRightInd w:val="0"/>
        <w:ind w:left="426" w:right="-22"/>
        <w:jc w:val="both"/>
        <w:rPr>
          <w:rFonts w:ascii="Verdana" w:hAnsi="Verdana" w:cs="Arial"/>
          <w:sz w:val="17"/>
          <w:szCs w:val="17"/>
        </w:rPr>
      </w:pPr>
      <w:r w:rsidRPr="00107B4D">
        <w:rPr>
          <w:rFonts w:ascii="Verdana" w:hAnsi="Verdana" w:cs="Arial"/>
          <w:sz w:val="17"/>
          <w:szCs w:val="17"/>
        </w:rPr>
        <w:lastRenderedPageBreak/>
        <w:t>Em 31 de dezembro de 202</w:t>
      </w:r>
      <w:r>
        <w:rPr>
          <w:rFonts w:ascii="Verdana" w:hAnsi="Verdana" w:cs="Arial"/>
          <w:sz w:val="17"/>
          <w:szCs w:val="17"/>
        </w:rPr>
        <w:t>5</w:t>
      </w:r>
      <w:r w:rsidRPr="00107B4D">
        <w:rPr>
          <w:rFonts w:ascii="Verdana" w:hAnsi="Verdana" w:cs="Arial"/>
          <w:sz w:val="17"/>
          <w:szCs w:val="17"/>
        </w:rPr>
        <w:t xml:space="preserve"> e 202</w:t>
      </w:r>
      <w:r>
        <w:rPr>
          <w:rFonts w:ascii="Verdana" w:hAnsi="Verdana" w:cs="Arial"/>
          <w:sz w:val="17"/>
          <w:szCs w:val="17"/>
        </w:rPr>
        <w:t>4</w:t>
      </w:r>
      <w:r w:rsidRPr="00107B4D">
        <w:rPr>
          <w:rFonts w:ascii="Verdana" w:hAnsi="Verdana" w:cs="Arial"/>
          <w:sz w:val="17"/>
          <w:szCs w:val="17"/>
        </w:rPr>
        <w:t>, as principais condições destes financiamentos são as seguintes:</w:t>
      </w:r>
    </w:p>
    <w:p w14:paraId="3F2BA5E3" w14:textId="5593DE7B" w:rsidR="00C82F0D" w:rsidRDefault="00C82F0D" w:rsidP="00983C79">
      <w:pPr>
        <w:autoSpaceDE w:val="0"/>
        <w:autoSpaceDN w:val="0"/>
        <w:adjustRightInd w:val="0"/>
        <w:ind w:left="426" w:right="-22"/>
        <w:rPr>
          <w:rFonts w:ascii="Verdana" w:hAnsi="Verdana" w:cs="Arial"/>
          <w:sz w:val="17"/>
          <w:szCs w:val="17"/>
        </w:rPr>
      </w:pPr>
      <w:r w:rsidRPr="00107B4D">
        <w:rPr>
          <w:rFonts w:ascii="Verdana" w:hAnsi="Verdana" w:cs="Arial"/>
          <w:sz w:val="17"/>
          <w:szCs w:val="17"/>
        </w:rPr>
        <w:t xml:space="preserve"> </w:t>
      </w:r>
    </w:p>
    <w:p w14:paraId="134037D2" w14:textId="27A41781" w:rsidR="0024198A" w:rsidRPr="00107B4D" w:rsidRDefault="0024198A" w:rsidP="00983C79">
      <w:pPr>
        <w:autoSpaceDE w:val="0"/>
        <w:autoSpaceDN w:val="0"/>
        <w:adjustRightInd w:val="0"/>
        <w:ind w:left="426" w:right="-22"/>
        <w:rPr>
          <w:rFonts w:ascii="Verdana" w:hAnsi="Verdana" w:cs="Arial"/>
          <w:sz w:val="17"/>
          <w:szCs w:val="17"/>
        </w:rPr>
      </w:pPr>
      <w:r w:rsidRPr="006E0078">
        <w:rPr>
          <w:noProof/>
        </w:rPr>
        <w:drawing>
          <wp:inline distT="0" distB="0" distL="0" distR="0" wp14:anchorId="5D268009" wp14:editId="290AC0BF">
            <wp:extent cx="5040418" cy="4869873"/>
            <wp:effectExtent l="0" t="0" r="8255" b="6985"/>
            <wp:docPr id="12985653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047823" cy="4877027"/>
                    </a:xfrm>
                    <a:prstGeom prst="rect">
                      <a:avLst/>
                    </a:prstGeom>
                    <a:noFill/>
                    <a:ln>
                      <a:noFill/>
                    </a:ln>
                  </pic:spPr>
                </pic:pic>
              </a:graphicData>
            </a:graphic>
          </wp:inline>
        </w:drawing>
      </w:r>
    </w:p>
    <w:p w14:paraId="0887BC20" w14:textId="77777777" w:rsidR="00C82F0D" w:rsidRPr="00107B4D" w:rsidRDefault="00C82F0D" w:rsidP="00633A3B">
      <w:pPr>
        <w:tabs>
          <w:tab w:val="left" w:pos="426"/>
        </w:tabs>
        <w:ind w:left="450" w:right="-22"/>
        <w:jc w:val="both"/>
        <w:rPr>
          <w:rFonts w:ascii="Verdana" w:hAnsi="Verdana" w:cs="Arial"/>
          <w:sz w:val="17"/>
          <w:szCs w:val="17"/>
        </w:rPr>
      </w:pPr>
    </w:p>
    <w:p w14:paraId="5A48D61D" w14:textId="77777777" w:rsidR="00C82F0D" w:rsidRDefault="00C82F0D" w:rsidP="00633A3B">
      <w:pPr>
        <w:tabs>
          <w:tab w:val="left" w:pos="426"/>
        </w:tabs>
        <w:ind w:left="450" w:right="-22"/>
        <w:jc w:val="both"/>
        <w:rPr>
          <w:rFonts w:ascii="Verdana" w:hAnsi="Verdana" w:cs="Arial"/>
          <w:sz w:val="17"/>
          <w:szCs w:val="17"/>
        </w:rPr>
      </w:pPr>
    </w:p>
    <w:p w14:paraId="374B031B" w14:textId="77777777" w:rsidR="00C82F0D" w:rsidRPr="00107B4D" w:rsidRDefault="00C82F0D" w:rsidP="00633A3B">
      <w:pPr>
        <w:tabs>
          <w:tab w:val="left" w:pos="426"/>
        </w:tabs>
        <w:ind w:left="450" w:right="-22"/>
        <w:jc w:val="both"/>
        <w:rPr>
          <w:rFonts w:ascii="Verdana" w:hAnsi="Verdana" w:cs="Arial"/>
          <w:sz w:val="17"/>
          <w:szCs w:val="17"/>
        </w:rPr>
      </w:pPr>
      <w:r w:rsidRPr="00107B4D">
        <w:rPr>
          <w:rFonts w:ascii="Verdana" w:hAnsi="Verdana" w:cs="Arial"/>
          <w:sz w:val="17"/>
          <w:szCs w:val="17"/>
        </w:rPr>
        <w:t>Em 31 de dezembro de 202</w:t>
      </w:r>
      <w:r>
        <w:rPr>
          <w:rFonts w:ascii="Verdana" w:hAnsi="Verdana" w:cs="Arial"/>
          <w:sz w:val="17"/>
          <w:szCs w:val="17"/>
        </w:rPr>
        <w:t>5</w:t>
      </w:r>
      <w:r w:rsidRPr="00107B4D">
        <w:rPr>
          <w:rFonts w:ascii="Verdana" w:hAnsi="Verdana" w:cs="Arial"/>
          <w:sz w:val="17"/>
          <w:szCs w:val="17"/>
        </w:rPr>
        <w:t xml:space="preserve"> e 202</w:t>
      </w:r>
      <w:r>
        <w:rPr>
          <w:rFonts w:ascii="Verdana" w:hAnsi="Verdana" w:cs="Arial"/>
          <w:sz w:val="17"/>
          <w:szCs w:val="17"/>
        </w:rPr>
        <w:t>4</w:t>
      </w:r>
      <w:r w:rsidRPr="00107B4D">
        <w:rPr>
          <w:rFonts w:ascii="Verdana" w:hAnsi="Verdana" w:cs="Arial"/>
          <w:sz w:val="17"/>
          <w:szCs w:val="17"/>
        </w:rPr>
        <w:t xml:space="preserve">, os prazos residuais destes financiamentos apresentam a seguinte estrutura de acordo com os respetivos planos de amortização: </w:t>
      </w:r>
    </w:p>
    <w:p w14:paraId="53C30437" w14:textId="77777777" w:rsidR="00C82F0D" w:rsidRPr="00107B4D" w:rsidRDefault="00C82F0D" w:rsidP="00633A3B">
      <w:pPr>
        <w:tabs>
          <w:tab w:val="left" w:pos="426"/>
        </w:tabs>
        <w:ind w:left="450" w:right="-22"/>
        <w:jc w:val="both"/>
        <w:rPr>
          <w:rFonts w:ascii="Verdana" w:hAnsi="Verdana" w:cs="Arial"/>
          <w:sz w:val="17"/>
          <w:szCs w:val="17"/>
        </w:rPr>
      </w:pPr>
    </w:p>
    <w:p w14:paraId="7B8590E9" w14:textId="77777777" w:rsidR="00C82F0D" w:rsidRPr="00107B4D" w:rsidRDefault="00C82F0D" w:rsidP="00633A3B">
      <w:pPr>
        <w:tabs>
          <w:tab w:val="left" w:pos="426"/>
        </w:tabs>
        <w:ind w:left="450" w:right="-22"/>
        <w:jc w:val="both"/>
        <w:rPr>
          <w:rFonts w:ascii="Verdana" w:hAnsi="Verdana" w:cs="Arial"/>
          <w:sz w:val="17"/>
          <w:szCs w:val="17"/>
        </w:rPr>
      </w:pPr>
    </w:p>
    <w:p w14:paraId="4E15402B" w14:textId="77777777" w:rsidR="00C82F0D" w:rsidRPr="00107B4D" w:rsidRDefault="00C82F0D" w:rsidP="00633A3B">
      <w:pPr>
        <w:tabs>
          <w:tab w:val="left" w:pos="426"/>
        </w:tabs>
        <w:ind w:left="450" w:right="-22"/>
        <w:jc w:val="both"/>
        <w:rPr>
          <w:rFonts w:ascii="Verdana" w:hAnsi="Verdana" w:cs="Arial"/>
          <w:sz w:val="17"/>
          <w:szCs w:val="17"/>
        </w:rPr>
      </w:pPr>
      <w:r w:rsidRPr="0078680F">
        <w:rPr>
          <w:noProof/>
        </w:rPr>
        <w:drawing>
          <wp:inline distT="0" distB="0" distL="0" distR="0" wp14:anchorId="4F99D834" wp14:editId="5C0826EB">
            <wp:extent cx="5026140" cy="916411"/>
            <wp:effectExtent l="0" t="0" r="3175" b="0"/>
            <wp:docPr id="122418696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056013" cy="921858"/>
                    </a:xfrm>
                    <a:prstGeom prst="rect">
                      <a:avLst/>
                    </a:prstGeom>
                    <a:noFill/>
                    <a:ln>
                      <a:noFill/>
                    </a:ln>
                  </pic:spPr>
                </pic:pic>
              </a:graphicData>
            </a:graphic>
          </wp:inline>
        </w:drawing>
      </w:r>
    </w:p>
    <w:p w14:paraId="204B7F79" w14:textId="77777777" w:rsidR="00C82F0D" w:rsidRPr="00107B4D" w:rsidRDefault="00C82F0D" w:rsidP="00633A3B">
      <w:pPr>
        <w:jc w:val="both"/>
        <w:rPr>
          <w:rFonts w:ascii="Verdana" w:hAnsi="Verdana" w:cs="Arial"/>
          <w:sz w:val="17"/>
          <w:szCs w:val="17"/>
          <w:u w:val="single"/>
        </w:rPr>
      </w:pPr>
    </w:p>
    <w:p w14:paraId="0B66143C" w14:textId="77777777" w:rsidR="00C82F0D" w:rsidRPr="00107B4D" w:rsidRDefault="00C82F0D" w:rsidP="00633A3B">
      <w:pPr>
        <w:jc w:val="both"/>
        <w:rPr>
          <w:rFonts w:ascii="Verdana" w:hAnsi="Verdana" w:cs="Arial"/>
          <w:sz w:val="17"/>
          <w:szCs w:val="17"/>
          <w:u w:val="single"/>
        </w:rPr>
      </w:pPr>
    </w:p>
    <w:p w14:paraId="6622FC04" w14:textId="77777777" w:rsidR="00C82F0D" w:rsidRPr="00107B4D" w:rsidRDefault="00C82F0D" w:rsidP="00633A3B">
      <w:pPr>
        <w:jc w:val="both"/>
        <w:rPr>
          <w:rFonts w:ascii="Verdana" w:hAnsi="Verdana" w:cs="Arial"/>
          <w:sz w:val="17"/>
          <w:szCs w:val="17"/>
          <w:u w:val="single"/>
        </w:rPr>
      </w:pPr>
    </w:p>
    <w:p w14:paraId="672B0476" w14:textId="77777777" w:rsidR="00C82F0D" w:rsidRPr="00107B4D" w:rsidRDefault="00C82F0D">
      <w:pPr>
        <w:rPr>
          <w:rFonts w:ascii="Verdana" w:hAnsi="Verdana" w:cs="Arial"/>
          <w:sz w:val="17"/>
          <w:szCs w:val="17"/>
        </w:rPr>
      </w:pPr>
      <w:r>
        <w:rPr>
          <w:rFonts w:ascii="Verdana" w:hAnsi="Verdana" w:cs="Arial"/>
          <w:sz w:val="17"/>
          <w:szCs w:val="17"/>
          <w:u w:val="single"/>
        </w:rPr>
        <w:br w:type="page"/>
      </w:r>
    </w:p>
    <w:p w14:paraId="785708FE" w14:textId="77777777" w:rsidR="00C82F0D" w:rsidRPr="00107B4D" w:rsidRDefault="00C82F0D" w:rsidP="00D84952">
      <w:pPr>
        <w:pStyle w:val="Ttulo1"/>
        <w:keepNext w:val="0"/>
        <w:keepLines w:val="0"/>
        <w:numPr>
          <w:ilvl w:val="0"/>
          <w:numId w:val="3"/>
        </w:numPr>
        <w:tabs>
          <w:tab w:val="left" w:pos="426"/>
        </w:tabs>
        <w:spacing w:before="0"/>
        <w:ind w:right="-22"/>
        <w:jc w:val="both"/>
        <w:rPr>
          <w:rFonts w:ascii="Verdana" w:eastAsia="Times New Roman" w:hAnsi="Verdana" w:cs="Arial"/>
          <w:b w:val="0"/>
          <w:bCs w:val="0"/>
          <w:color w:val="auto"/>
          <w:sz w:val="17"/>
          <w:szCs w:val="17"/>
          <w:u w:val="single"/>
          <w:lang w:eastAsia="en-US"/>
        </w:rPr>
      </w:pPr>
      <w:r w:rsidRPr="00107B4D">
        <w:rPr>
          <w:rFonts w:ascii="Verdana" w:eastAsia="Times New Roman" w:hAnsi="Verdana" w:cs="Arial"/>
          <w:b w:val="0"/>
          <w:bCs w:val="0"/>
          <w:color w:val="auto"/>
          <w:sz w:val="17"/>
          <w:szCs w:val="17"/>
          <w:u w:val="single"/>
          <w:lang w:eastAsia="en-US"/>
        </w:rPr>
        <w:lastRenderedPageBreak/>
        <w:t>PROVISÕES E PERDAS POR IMPARIDADE</w:t>
      </w:r>
    </w:p>
    <w:p w14:paraId="3E00E837" w14:textId="77777777" w:rsidR="00C82F0D" w:rsidRPr="00107B4D" w:rsidRDefault="00C82F0D" w:rsidP="00633A3B">
      <w:pPr>
        <w:tabs>
          <w:tab w:val="left" w:pos="426"/>
          <w:tab w:val="left" w:pos="720"/>
          <w:tab w:val="right" w:pos="6600"/>
          <w:tab w:val="right" w:pos="8040"/>
        </w:tabs>
        <w:ind w:right="-22"/>
        <w:jc w:val="both"/>
        <w:rPr>
          <w:rFonts w:ascii="Verdana" w:hAnsi="Verdana" w:cs="Arial"/>
          <w:sz w:val="17"/>
          <w:szCs w:val="17"/>
        </w:rPr>
      </w:pPr>
    </w:p>
    <w:p w14:paraId="43D96E35" w14:textId="77777777" w:rsidR="00C82F0D" w:rsidRPr="008F6AB5" w:rsidRDefault="00C82F0D" w:rsidP="008F6AB5">
      <w:pPr>
        <w:tabs>
          <w:tab w:val="left" w:pos="426"/>
          <w:tab w:val="left" w:pos="720"/>
          <w:tab w:val="right" w:pos="6600"/>
          <w:tab w:val="right" w:pos="8040"/>
        </w:tabs>
        <w:ind w:left="426" w:right="-22"/>
        <w:jc w:val="both"/>
        <w:rPr>
          <w:rFonts w:ascii="Verdana" w:hAnsi="Verdana" w:cs="Arial"/>
          <w:sz w:val="17"/>
          <w:szCs w:val="17"/>
        </w:rPr>
      </w:pPr>
      <w:r w:rsidRPr="008F6AB5">
        <w:rPr>
          <w:rFonts w:ascii="Verdana" w:hAnsi="Verdana" w:cs="Arial"/>
          <w:sz w:val="17"/>
          <w:szCs w:val="17"/>
        </w:rPr>
        <w:t xml:space="preserve">O movimento ocorrido nestas rubricas nos exercícios de 2025 e 2024 foi o seguinte: </w:t>
      </w:r>
    </w:p>
    <w:p w14:paraId="0765B422" w14:textId="77777777" w:rsidR="00C82F0D" w:rsidRPr="008F6AB5" w:rsidRDefault="00C82F0D" w:rsidP="002A18BE">
      <w:pPr>
        <w:tabs>
          <w:tab w:val="left" w:pos="426"/>
          <w:tab w:val="left" w:pos="720"/>
          <w:tab w:val="right" w:pos="6600"/>
          <w:tab w:val="right" w:pos="8040"/>
        </w:tabs>
        <w:ind w:left="426" w:right="-22"/>
        <w:jc w:val="both"/>
        <w:rPr>
          <w:rFonts w:ascii="Verdana" w:hAnsi="Verdana" w:cs="Arial"/>
          <w:sz w:val="17"/>
          <w:szCs w:val="17"/>
        </w:rPr>
      </w:pPr>
    </w:p>
    <w:p w14:paraId="63BC3DC3" w14:textId="77777777" w:rsidR="00C82F0D" w:rsidRPr="008F6AB5" w:rsidRDefault="00C82F0D" w:rsidP="002A18BE">
      <w:pPr>
        <w:tabs>
          <w:tab w:val="left" w:pos="426"/>
          <w:tab w:val="left" w:pos="720"/>
          <w:tab w:val="right" w:pos="6600"/>
          <w:tab w:val="right" w:pos="8040"/>
        </w:tabs>
        <w:ind w:left="426" w:right="-22"/>
        <w:jc w:val="both"/>
        <w:rPr>
          <w:rFonts w:ascii="Verdana" w:hAnsi="Verdana" w:cs="Arial"/>
          <w:sz w:val="17"/>
          <w:szCs w:val="17"/>
        </w:rPr>
      </w:pPr>
      <w:r w:rsidRPr="00DE5C36">
        <w:rPr>
          <w:noProof/>
        </w:rPr>
        <w:drawing>
          <wp:inline distT="0" distB="0" distL="0" distR="0" wp14:anchorId="3FC9F204" wp14:editId="41566BD4">
            <wp:extent cx="5061585" cy="1247241"/>
            <wp:effectExtent l="0" t="0" r="5715" b="0"/>
            <wp:docPr id="8010123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069292" cy="1249140"/>
                    </a:xfrm>
                    <a:prstGeom prst="rect">
                      <a:avLst/>
                    </a:prstGeom>
                    <a:noFill/>
                    <a:ln>
                      <a:noFill/>
                    </a:ln>
                  </pic:spPr>
                </pic:pic>
              </a:graphicData>
            </a:graphic>
          </wp:inline>
        </w:drawing>
      </w:r>
    </w:p>
    <w:p w14:paraId="479A51A2" w14:textId="77777777" w:rsidR="00C82F0D" w:rsidRPr="008F6AB5" w:rsidRDefault="00C82F0D" w:rsidP="002A18BE">
      <w:pPr>
        <w:tabs>
          <w:tab w:val="left" w:pos="426"/>
          <w:tab w:val="left" w:pos="720"/>
          <w:tab w:val="right" w:pos="6600"/>
          <w:tab w:val="right" w:pos="8040"/>
        </w:tabs>
        <w:ind w:left="426" w:right="-22"/>
        <w:jc w:val="both"/>
        <w:rPr>
          <w:rFonts w:ascii="Verdana" w:hAnsi="Verdana" w:cs="Arial"/>
          <w:sz w:val="17"/>
          <w:szCs w:val="17"/>
        </w:rPr>
      </w:pPr>
    </w:p>
    <w:p w14:paraId="063A8DFF" w14:textId="77777777" w:rsidR="00C82F0D" w:rsidRPr="008F6AB5" w:rsidRDefault="00C82F0D" w:rsidP="008F6AB5">
      <w:pPr>
        <w:tabs>
          <w:tab w:val="left" w:pos="426"/>
          <w:tab w:val="left" w:pos="720"/>
          <w:tab w:val="right" w:pos="6600"/>
          <w:tab w:val="right" w:pos="8040"/>
        </w:tabs>
        <w:ind w:left="426" w:right="-22"/>
        <w:jc w:val="both"/>
        <w:rPr>
          <w:rFonts w:ascii="Verdana" w:hAnsi="Verdana" w:cs="Arial"/>
          <w:sz w:val="17"/>
          <w:szCs w:val="17"/>
        </w:rPr>
      </w:pPr>
      <w:r w:rsidRPr="008F6AB5">
        <w:rPr>
          <w:noProof/>
        </w:rPr>
        <w:drawing>
          <wp:inline distT="0" distB="0" distL="0" distR="0" wp14:anchorId="2B737ED5" wp14:editId="08D56A8E">
            <wp:extent cx="5061585" cy="1299891"/>
            <wp:effectExtent l="0" t="0" r="5715" b="0"/>
            <wp:docPr id="158840408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089260" cy="1306998"/>
                    </a:xfrm>
                    <a:prstGeom prst="rect">
                      <a:avLst/>
                    </a:prstGeom>
                    <a:noFill/>
                    <a:ln>
                      <a:noFill/>
                    </a:ln>
                  </pic:spPr>
                </pic:pic>
              </a:graphicData>
            </a:graphic>
          </wp:inline>
        </w:drawing>
      </w:r>
    </w:p>
    <w:p w14:paraId="0F661075" w14:textId="77777777" w:rsidR="00C82F0D" w:rsidRPr="008F6AB5" w:rsidRDefault="00C82F0D" w:rsidP="00740F26">
      <w:pPr>
        <w:tabs>
          <w:tab w:val="left" w:pos="426"/>
          <w:tab w:val="left" w:pos="720"/>
          <w:tab w:val="right" w:pos="6600"/>
          <w:tab w:val="right" w:pos="8040"/>
        </w:tabs>
        <w:ind w:left="426" w:right="-22"/>
        <w:jc w:val="both"/>
        <w:rPr>
          <w:rFonts w:ascii="Verdana" w:hAnsi="Verdana" w:cs="Arial"/>
          <w:sz w:val="17"/>
          <w:szCs w:val="17"/>
        </w:rPr>
      </w:pPr>
    </w:p>
    <w:p w14:paraId="59922168" w14:textId="77777777" w:rsidR="00C82F0D" w:rsidRPr="008F6AB5" w:rsidRDefault="00C82F0D" w:rsidP="007C50D6">
      <w:pPr>
        <w:pStyle w:val="Corpodetexto2"/>
        <w:ind w:left="426" w:right="27" w:firstLine="0"/>
        <w:rPr>
          <w:rFonts w:ascii="Verdana" w:hAnsi="Verdana" w:cs="Arial"/>
          <w:sz w:val="17"/>
          <w:szCs w:val="17"/>
        </w:rPr>
      </w:pPr>
      <w:r w:rsidRPr="008F6AB5">
        <w:rPr>
          <w:rFonts w:ascii="Verdana" w:hAnsi="Verdana" w:cs="Arial"/>
          <w:sz w:val="17"/>
          <w:szCs w:val="17"/>
        </w:rPr>
        <w:t>Durante os exercícios findos em 31 de dezembro de 2025 e 2024, a rubrica “Imparidade para outras contas a receber” inclui os reforços de imparidade decorrente de variações cambiais de imparidade registadas em moeda estrangeira, bem como as utilizações de imparidade decorrentes do facto de ser ter considerado algumas dívidas como sendo incobráveis.</w:t>
      </w:r>
    </w:p>
    <w:p w14:paraId="561888DE" w14:textId="77777777" w:rsidR="00C82F0D" w:rsidRPr="008F6AB5" w:rsidRDefault="00C82F0D" w:rsidP="007C50D6">
      <w:pPr>
        <w:pStyle w:val="Corpodetexto2"/>
        <w:ind w:left="426" w:right="27" w:firstLine="0"/>
        <w:rPr>
          <w:rFonts w:ascii="Verdana" w:hAnsi="Verdana" w:cs="Arial"/>
          <w:sz w:val="17"/>
          <w:szCs w:val="17"/>
        </w:rPr>
      </w:pPr>
    </w:p>
    <w:p w14:paraId="064790AE" w14:textId="77777777" w:rsidR="00C82F0D" w:rsidRPr="008F6AB5" w:rsidRDefault="00C82F0D" w:rsidP="00AA5005">
      <w:pPr>
        <w:pStyle w:val="Corpodetexto2"/>
        <w:ind w:left="426" w:right="27" w:firstLine="0"/>
        <w:rPr>
          <w:rFonts w:ascii="Verdana" w:hAnsi="Verdana" w:cs="Arial"/>
          <w:sz w:val="17"/>
          <w:szCs w:val="17"/>
        </w:rPr>
      </w:pPr>
      <w:r w:rsidRPr="008F6AB5">
        <w:rPr>
          <w:rFonts w:ascii="Verdana" w:hAnsi="Verdana" w:cs="Arial"/>
          <w:sz w:val="17"/>
          <w:szCs w:val="17"/>
        </w:rPr>
        <w:t xml:space="preserve">As Outras contas a receber a 31 de dezembro de 2025, no montante bruto de 1 388 044 m. euros, têm sido sujeitas a ajustamentos de imparidade desde a constituição da Parvalorem, ascendendo essa imparidade a 1 310 627 m. euros, tendo por base os critérios definidos na IFRS 9 – Instrumentos financeiros), conforme se refere na nota 2.4 d) </w:t>
      </w:r>
      <w:proofErr w:type="spellStart"/>
      <w:r w:rsidRPr="008F6AB5">
        <w:rPr>
          <w:rFonts w:ascii="Verdana" w:hAnsi="Verdana" w:cs="Arial"/>
          <w:sz w:val="17"/>
          <w:szCs w:val="17"/>
        </w:rPr>
        <w:t>ii</w:t>
      </w:r>
      <w:proofErr w:type="spellEnd"/>
      <w:r w:rsidRPr="008F6AB5">
        <w:rPr>
          <w:rFonts w:ascii="Verdana" w:hAnsi="Verdana" w:cs="Arial"/>
          <w:sz w:val="17"/>
          <w:szCs w:val="17"/>
        </w:rPr>
        <w:t xml:space="preserve">) deste anexo. </w:t>
      </w:r>
    </w:p>
    <w:p w14:paraId="0286297F" w14:textId="77777777" w:rsidR="00C82F0D" w:rsidRPr="008F6AB5" w:rsidRDefault="00C82F0D" w:rsidP="00383C8E">
      <w:pPr>
        <w:pStyle w:val="Corpodetexto2"/>
        <w:ind w:left="426" w:right="27"/>
        <w:rPr>
          <w:rFonts w:ascii="Verdana" w:hAnsi="Verdana" w:cs="Arial"/>
          <w:sz w:val="17"/>
          <w:szCs w:val="17"/>
        </w:rPr>
      </w:pPr>
    </w:p>
    <w:p w14:paraId="6FF2AF25" w14:textId="77777777" w:rsidR="00C82F0D" w:rsidRPr="008F6AB5" w:rsidRDefault="00C82F0D" w:rsidP="00383C8E">
      <w:pPr>
        <w:pStyle w:val="Corpodetexto2"/>
        <w:ind w:left="426" w:right="27" w:firstLine="0"/>
        <w:rPr>
          <w:rFonts w:ascii="Verdana" w:hAnsi="Verdana" w:cs="Arial"/>
          <w:sz w:val="17"/>
          <w:szCs w:val="17"/>
        </w:rPr>
      </w:pPr>
      <w:r w:rsidRPr="008F6AB5">
        <w:rPr>
          <w:rFonts w:ascii="Verdana" w:hAnsi="Verdana" w:cs="Arial"/>
          <w:sz w:val="17"/>
          <w:szCs w:val="17"/>
        </w:rPr>
        <w:t xml:space="preserve">Conforme referido na nota 2.5 “Imparidade de outras contas a receber”, a determinação das imparidades resulta, nomeadamente, de dois grandes grupos de clientes: </w:t>
      </w:r>
    </w:p>
    <w:p w14:paraId="4C361F9F" w14:textId="77777777" w:rsidR="00C82F0D" w:rsidRPr="008F6AB5" w:rsidRDefault="00C82F0D" w:rsidP="00383C8E">
      <w:pPr>
        <w:pStyle w:val="Corpodetexto2"/>
        <w:ind w:left="426" w:right="27" w:firstLine="0"/>
        <w:rPr>
          <w:rFonts w:ascii="Verdana" w:hAnsi="Verdana" w:cs="Arial"/>
          <w:sz w:val="17"/>
          <w:szCs w:val="17"/>
        </w:rPr>
      </w:pPr>
    </w:p>
    <w:p w14:paraId="5367E702" w14:textId="77777777" w:rsidR="00C82F0D" w:rsidRPr="008F6AB5" w:rsidRDefault="00C82F0D" w:rsidP="00383C8E">
      <w:pPr>
        <w:pStyle w:val="Corpodetexto2"/>
        <w:ind w:left="1158" w:right="27"/>
        <w:rPr>
          <w:rFonts w:ascii="Verdana" w:hAnsi="Verdana" w:cs="Arial"/>
          <w:sz w:val="17"/>
          <w:szCs w:val="17"/>
        </w:rPr>
      </w:pPr>
      <w:r w:rsidRPr="008F6AB5">
        <w:rPr>
          <w:rFonts w:ascii="Verdana" w:hAnsi="Verdana" w:cs="Arial"/>
          <w:sz w:val="17"/>
          <w:szCs w:val="17"/>
        </w:rPr>
        <w:t>(i)</w:t>
      </w:r>
      <w:r w:rsidRPr="008F6AB5">
        <w:rPr>
          <w:rFonts w:ascii="Verdana" w:hAnsi="Verdana" w:cs="Arial"/>
          <w:sz w:val="17"/>
          <w:szCs w:val="17"/>
        </w:rPr>
        <w:tab/>
        <w:t xml:space="preserve">Analise individual, cuja imparidade resulta de uma análise especifica efetuada pela Empresa com base no conhecimento da realidade dos clientes e nas garantias associadas às operações em questão; </w:t>
      </w:r>
    </w:p>
    <w:p w14:paraId="5416262C" w14:textId="77777777" w:rsidR="00C82F0D" w:rsidRPr="008F6AB5" w:rsidRDefault="00C82F0D" w:rsidP="00383C8E">
      <w:pPr>
        <w:pStyle w:val="Corpodetexto2"/>
        <w:ind w:left="1158" w:right="27"/>
        <w:rPr>
          <w:rFonts w:ascii="Verdana" w:hAnsi="Verdana" w:cs="Arial"/>
          <w:sz w:val="17"/>
          <w:szCs w:val="17"/>
        </w:rPr>
      </w:pPr>
      <w:r w:rsidRPr="008F6AB5">
        <w:rPr>
          <w:rFonts w:ascii="Verdana" w:hAnsi="Verdana" w:cs="Arial"/>
          <w:sz w:val="17"/>
          <w:szCs w:val="17"/>
        </w:rPr>
        <w:t>(</w:t>
      </w:r>
      <w:proofErr w:type="spellStart"/>
      <w:r w:rsidRPr="008F6AB5">
        <w:rPr>
          <w:rFonts w:ascii="Verdana" w:hAnsi="Verdana" w:cs="Arial"/>
          <w:sz w:val="17"/>
          <w:szCs w:val="17"/>
        </w:rPr>
        <w:t>ii</w:t>
      </w:r>
      <w:proofErr w:type="spellEnd"/>
      <w:r w:rsidRPr="008F6AB5">
        <w:rPr>
          <w:rFonts w:ascii="Verdana" w:hAnsi="Verdana" w:cs="Arial"/>
          <w:sz w:val="17"/>
          <w:szCs w:val="17"/>
        </w:rPr>
        <w:t>)</w:t>
      </w:r>
      <w:r w:rsidRPr="008F6AB5">
        <w:rPr>
          <w:rFonts w:ascii="Verdana" w:hAnsi="Verdana" w:cs="Arial"/>
          <w:sz w:val="17"/>
          <w:szCs w:val="17"/>
        </w:rPr>
        <w:tab/>
        <w:t xml:space="preserve">Análise coletiva: </w:t>
      </w:r>
    </w:p>
    <w:p w14:paraId="70C335C8" w14:textId="77777777" w:rsidR="00C82F0D" w:rsidRPr="008F6AB5" w:rsidRDefault="00C82F0D" w:rsidP="00383C8E">
      <w:pPr>
        <w:pStyle w:val="Corpodetexto2"/>
        <w:ind w:left="1608" w:right="27"/>
        <w:rPr>
          <w:rFonts w:ascii="Verdana" w:hAnsi="Verdana" w:cs="Arial"/>
          <w:sz w:val="17"/>
          <w:szCs w:val="17"/>
        </w:rPr>
      </w:pPr>
      <w:r w:rsidRPr="008F6AB5">
        <w:rPr>
          <w:rFonts w:ascii="Verdana" w:hAnsi="Verdana" w:cs="Arial"/>
          <w:sz w:val="17"/>
          <w:szCs w:val="17"/>
        </w:rPr>
        <w:t>a.</w:t>
      </w:r>
      <w:r w:rsidRPr="008F6AB5">
        <w:rPr>
          <w:rFonts w:ascii="Verdana" w:hAnsi="Verdana" w:cs="Arial"/>
          <w:sz w:val="17"/>
          <w:szCs w:val="17"/>
        </w:rPr>
        <w:tab/>
        <w:t>até 2022, a imparidade era determinada pela aplicação da média das taxas de imparidade dos segmentos semelhantes de clientes analisados individualmente;</w:t>
      </w:r>
    </w:p>
    <w:p w14:paraId="0BF324A8" w14:textId="77777777" w:rsidR="00C82F0D" w:rsidRPr="008F6AB5" w:rsidRDefault="00C82F0D" w:rsidP="009A4BC2">
      <w:pPr>
        <w:pStyle w:val="Corpodetexto2"/>
        <w:ind w:left="1608" w:right="27"/>
        <w:rPr>
          <w:rFonts w:ascii="Verdana" w:hAnsi="Verdana" w:cs="Arial"/>
          <w:sz w:val="17"/>
          <w:szCs w:val="17"/>
        </w:rPr>
      </w:pPr>
      <w:r w:rsidRPr="008F6AB5">
        <w:rPr>
          <w:rFonts w:ascii="Verdana" w:hAnsi="Verdana" w:cs="Arial"/>
          <w:sz w:val="17"/>
          <w:szCs w:val="17"/>
        </w:rPr>
        <w:t>b.</w:t>
      </w:r>
      <w:r w:rsidRPr="008F6AB5">
        <w:rPr>
          <w:rFonts w:ascii="Verdana" w:hAnsi="Verdana" w:cs="Arial"/>
          <w:sz w:val="17"/>
          <w:szCs w:val="17"/>
        </w:rPr>
        <w:tab/>
        <w:t>Em 2023, perante a constatação de que este segmento de clientes (Análise coletiva) não se comportava de forma semelhante ao da Análise individual, efetuou-se novo apuramento da perda de crédito esperada (ECL) atendendo ao histórico destes clientes, à probabilidade ponderada de recuperabilidade, ao valor temporal do dinheiro, aos planos de pagamento em vigor e à existência de garantias reais associadas.</w:t>
      </w:r>
    </w:p>
    <w:p w14:paraId="09D20332" w14:textId="77777777" w:rsidR="00C82F0D" w:rsidRPr="008F6AB5" w:rsidRDefault="00C82F0D" w:rsidP="00533CD8">
      <w:pPr>
        <w:pStyle w:val="Corpodetexto2"/>
        <w:ind w:left="1608" w:right="27"/>
        <w:rPr>
          <w:rFonts w:ascii="Verdana" w:hAnsi="Verdana" w:cs="Arial"/>
          <w:sz w:val="17"/>
          <w:szCs w:val="17"/>
        </w:rPr>
      </w:pPr>
      <w:r w:rsidRPr="008F6AB5">
        <w:rPr>
          <w:rFonts w:ascii="Verdana" w:hAnsi="Verdana" w:cs="Arial"/>
          <w:sz w:val="17"/>
          <w:szCs w:val="17"/>
        </w:rPr>
        <w:t xml:space="preserve">c. </w:t>
      </w:r>
      <w:r w:rsidRPr="008F6AB5">
        <w:rPr>
          <w:rFonts w:ascii="Verdana" w:hAnsi="Verdana" w:cs="Arial"/>
          <w:sz w:val="17"/>
          <w:szCs w:val="17"/>
        </w:rPr>
        <w:tab/>
        <w:t xml:space="preserve">A partir de 2024, a imparidade resulta da análise ao histórico destes clientes, à probabilidade ponderada de recuperabilidade, ao valor temporal do dinheiro, aos planos de pagamento em vigor e à existência de garantias reais associadas. </w:t>
      </w:r>
    </w:p>
    <w:p w14:paraId="58D1578D" w14:textId="77777777" w:rsidR="00C82F0D" w:rsidRPr="008F6AB5" w:rsidRDefault="00C82F0D" w:rsidP="00533CD8">
      <w:pPr>
        <w:pStyle w:val="Corpodetexto2"/>
        <w:ind w:left="1608" w:right="27"/>
        <w:rPr>
          <w:rFonts w:ascii="Verdana" w:hAnsi="Verdana" w:cs="Arial"/>
          <w:sz w:val="17"/>
          <w:szCs w:val="17"/>
        </w:rPr>
      </w:pPr>
    </w:p>
    <w:p w14:paraId="72189383" w14:textId="46065417" w:rsidR="00C82F0D" w:rsidRPr="008F6AB5" w:rsidRDefault="00C82F0D" w:rsidP="00533CD8">
      <w:pPr>
        <w:pStyle w:val="Corpodetexto2"/>
        <w:ind w:left="1608" w:right="27"/>
        <w:rPr>
          <w:rFonts w:ascii="Verdana" w:hAnsi="Verdana" w:cs="Arial"/>
          <w:sz w:val="17"/>
          <w:szCs w:val="17"/>
        </w:rPr>
      </w:pPr>
      <w:r w:rsidRPr="008F6AB5">
        <w:rPr>
          <w:rFonts w:ascii="Verdana" w:hAnsi="Verdana" w:cs="Arial"/>
          <w:sz w:val="17"/>
          <w:szCs w:val="17"/>
        </w:rPr>
        <w:tab/>
        <w:t>Adicionalmente e para os dois grandes grupo</w:t>
      </w:r>
      <w:r w:rsidR="008A0314">
        <w:rPr>
          <w:rFonts w:ascii="Verdana" w:hAnsi="Verdana" w:cs="Arial"/>
          <w:sz w:val="17"/>
          <w:szCs w:val="17"/>
        </w:rPr>
        <w:t>s</w:t>
      </w:r>
      <w:r w:rsidRPr="008F6AB5">
        <w:rPr>
          <w:rFonts w:ascii="Verdana" w:hAnsi="Verdana" w:cs="Arial"/>
          <w:sz w:val="17"/>
          <w:szCs w:val="17"/>
        </w:rPr>
        <w:t xml:space="preserve"> de clientes, em conformidade com o disposto na IFRS 9 – Instrumentos Financeiros, procedeu-se, em 2024, ao apuramento das perdas esperadas por crédito ("</w:t>
      </w:r>
      <w:proofErr w:type="spellStart"/>
      <w:r w:rsidRPr="008F6AB5">
        <w:rPr>
          <w:rFonts w:ascii="Verdana" w:hAnsi="Verdana" w:cs="Arial"/>
          <w:sz w:val="17"/>
          <w:szCs w:val="17"/>
        </w:rPr>
        <w:t>Expected</w:t>
      </w:r>
      <w:proofErr w:type="spellEnd"/>
      <w:r w:rsidRPr="008F6AB5">
        <w:rPr>
          <w:rFonts w:ascii="Verdana" w:hAnsi="Verdana" w:cs="Arial"/>
          <w:sz w:val="17"/>
          <w:szCs w:val="17"/>
        </w:rPr>
        <w:t xml:space="preserve"> </w:t>
      </w:r>
      <w:proofErr w:type="spellStart"/>
      <w:r w:rsidRPr="008F6AB5">
        <w:rPr>
          <w:rFonts w:ascii="Verdana" w:hAnsi="Verdana" w:cs="Arial"/>
          <w:sz w:val="17"/>
          <w:szCs w:val="17"/>
        </w:rPr>
        <w:t>Credit</w:t>
      </w:r>
      <w:proofErr w:type="spellEnd"/>
      <w:r w:rsidRPr="008F6AB5">
        <w:rPr>
          <w:rFonts w:ascii="Verdana" w:hAnsi="Verdana" w:cs="Arial"/>
          <w:sz w:val="17"/>
          <w:szCs w:val="17"/>
        </w:rPr>
        <w:t xml:space="preserve"> </w:t>
      </w:r>
      <w:proofErr w:type="spellStart"/>
      <w:r w:rsidRPr="008F6AB5">
        <w:rPr>
          <w:rFonts w:ascii="Verdana" w:hAnsi="Verdana" w:cs="Arial"/>
          <w:sz w:val="17"/>
          <w:szCs w:val="17"/>
        </w:rPr>
        <w:t>Losses</w:t>
      </w:r>
      <w:proofErr w:type="spellEnd"/>
      <w:r w:rsidRPr="008F6AB5">
        <w:rPr>
          <w:rFonts w:ascii="Verdana" w:hAnsi="Verdana" w:cs="Arial"/>
          <w:sz w:val="17"/>
          <w:szCs w:val="17"/>
        </w:rPr>
        <w:t xml:space="preserve">" – ECL) sobre os ativos financeiros incluídos na sua carteira de crédito, com base no modelo de perdas esperadas </w:t>
      </w:r>
      <w:proofErr w:type="gramStart"/>
      <w:r w:rsidRPr="008F6AB5">
        <w:rPr>
          <w:rFonts w:ascii="Verdana" w:hAnsi="Verdana" w:cs="Arial"/>
          <w:sz w:val="17"/>
          <w:szCs w:val="17"/>
        </w:rPr>
        <w:t>a</w:t>
      </w:r>
      <w:proofErr w:type="gramEnd"/>
      <w:r w:rsidRPr="008F6AB5">
        <w:rPr>
          <w:rFonts w:ascii="Verdana" w:hAnsi="Verdana" w:cs="Arial"/>
          <w:sz w:val="17"/>
          <w:szCs w:val="17"/>
        </w:rPr>
        <w:t xml:space="preserve"> 12 meses ou ao longo da vida, conforme aplicável (nota 2.4 </w:t>
      </w:r>
      <w:proofErr w:type="spellStart"/>
      <w:r w:rsidRPr="008F6AB5">
        <w:rPr>
          <w:rFonts w:ascii="Verdana" w:hAnsi="Verdana" w:cs="Arial"/>
          <w:sz w:val="17"/>
          <w:szCs w:val="17"/>
        </w:rPr>
        <w:t>ii</w:t>
      </w:r>
      <w:proofErr w:type="spellEnd"/>
      <w:r w:rsidRPr="008F6AB5">
        <w:rPr>
          <w:rFonts w:ascii="Verdana" w:hAnsi="Verdana" w:cs="Arial"/>
          <w:sz w:val="17"/>
          <w:szCs w:val="17"/>
        </w:rPr>
        <w:t>)).</w:t>
      </w:r>
    </w:p>
    <w:p w14:paraId="33DFF9E2" w14:textId="77777777" w:rsidR="00C82F0D" w:rsidRPr="008F6AB5" w:rsidRDefault="00C82F0D" w:rsidP="00383C8E">
      <w:pPr>
        <w:pStyle w:val="Corpodetexto2"/>
        <w:ind w:left="426" w:right="27" w:firstLine="0"/>
        <w:rPr>
          <w:rFonts w:ascii="Verdana" w:hAnsi="Verdana" w:cs="Arial"/>
          <w:sz w:val="17"/>
          <w:szCs w:val="17"/>
        </w:rPr>
      </w:pPr>
    </w:p>
    <w:p w14:paraId="32821F28" w14:textId="6EF63A4C" w:rsidR="00C82F0D" w:rsidRPr="008F6AB5" w:rsidRDefault="00C82F0D" w:rsidP="00383C8E">
      <w:pPr>
        <w:pStyle w:val="Corpodetexto2"/>
        <w:ind w:left="426" w:right="27" w:firstLine="0"/>
        <w:rPr>
          <w:rFonts w:ascii="Verdana" w:hAnsi="Verdana" w:cs="Arial"/>
          <w:sz w:val="17"/>
          <w:szCs w:val="17"/>
        </w:rPr>
      </w:pPr>
      <w:r w:rsidRPr="008F6AB5">
        <w:rPr>
          <w:rFonts w:ascii="Verdana" w:hAnsi="Verdana" w:cs="Arial"/>
          <w:sz w:val="17"/>
          <w:szCs w:val="17"/>
        </w:rPr>
        <w:t xml:space="preserve">De acordo com os termos definidos no parágrafo 5.5 – Imparidade, da IFRS 9 – Instrumentos Financeiros “em cada data de relato, uma entidade deve mensurar a provisão para perdas relativamente a um instrumento financeiro por uma quantia igual às perdas de crédito esperadas ao longo da respetiva duração se o risco de crédito associado a esse instrumento financeiro tiver aumentado significativamente desde o reconhecimento inicial (…)— avaliado </w:t>
      </w:r>
      <w:r w:rsidRPr="008F6AB5">
        <w:rPr>
          <w:rFonts w:ascii="Verdana" w:hAnsi="Verdana" w:cs="Arial"/>
          <w:sz w:val="17"/>
          <w:szCs w:val="17"/>
        </w:rPr>
        <w:lastRenderedPageBreak/>
        <w:t xml:space="preserve">numa base individual ou coletiva — tendo em conta todas as informações razoáveis e sustentáveis, incluindo as prospetivas”.  Desta forma, aplicando o acima descrito foi efetuado uma </w:t>
      </w:r>
      <w:r>
        <w:rPr>
          <w:rFonts w:ascii="Verdana" w:hAnsi="Verdana" w:cs="Arial"/>
          <w:sz w:val="17"/>
          <w:szCs w:val="17"/>
        </w:rPr>
        <w:t xml:space="preserve">constituição </w:t>
      </w:r>
      <w:r w:rsidRPr="008F6AB5">
        <w:rPr>
          <w:rFonts w:ascii="Verdana" w:hAnsi="Verdana" w:cs="Arial"/>
          <w:sz w:val="17"/>
          <w:szCs w:val="17"/>
        </w:rPr>
        <w:t xml:space="preserve">da imparidade para Outros contas a receber no montante </w:t>
      </w:r>
      <w:r w:rsidRPr="006527AD">
        <w:rPr>
          <w:rFonts w:ascii="Verdana" w:hAnsi="Verdana" w:cs="Arial"/>
          <w:sz w:val="17"/>
          <w:szCs w:val="17"/>
        </w:rPr>
        <w:t xml:space="preserve">de </w:t>
      </w:r>
      <w:r w:rsidR="006527AD">
        <w:rPr>
          <w:rFonts w:ascii="Verdana" w:hAnsi="Verdana" w:cs="Arial"/>
          <w:sz w:val="17"/>
          <w:szCs w:val="17"/>
        </w:rPr>
        <w:t>13</w:t>
      </w:r>
      <w:r w:rsidR="006527AD" w:rsidRPr="008F6AB5">
        <w:rPr>
          <w:rFonts w:ascii="Verdana" w:hAnsi="Verdana" w:cs="Arial"/>
          <w:sz w:val="17"/>
          <w:szCs w:val="17"/>
        </w:rPr>
        <w:t xml:space="preserve"> </w:t>
      </w:r>
      <w:r w:rsidR="006527AD">
        <w:rPr>
          <w:rFonts w:ascii="Verdana" w:hAnsi="Verdana" w:cs="Arial"/>
          <w:sz w:val="17"/>
          <w:szCs w:val="17"/>
        </w:rPr>
        <w:t>538</w:t>
      </w:r>
      <w:r w:rsidR="006527AD" w:rsidRPr="008F6AB5">
        <w:rPr>
          <w:rFonts w:ascii="Verdana" w:hAnsi="Verdana" w:cs="Arial"/>
          <w:sz w:val="17"/>
          <w:szCs w:val="17"/>
        </w:rPr>
        <w:t xml:space="preserve"> </w:t>
      </w:r>
      <w:proofErr w:type="spellStart"/>
      <w:proofErr w:type="gramStart"/>
      <w:r w:rsidR="006527AD" w:rsidRPr="008F6AB5">
        <w:rPr>
          <w:rFonts w:ascii="Verdana" w:hAnsi="Verdana" w:cs="Arial"/>
          <w:sz w:val="17"/>
          <w:szCs w:val="17"/>
        </w:rPr>
        <w:t>m.euros</w:t>
      </w:r>
      <w:proofErr w:type="spellEnd"/>
      <w:proofErr w:type="gramEnd"/>
      <w:r w:rsidR="006527AD" w:rsidRPr="008F6AB5">
        <w:rPr>
          <w:rFonts w:ascii="Verdana" w:hAnsi="Verdana" w:cs="Arial"/>
          <w:sz w:val="17"/>
          <w:szCs w:val="17"/>
        </w:rPr>
        <w:t xml:space="preserve"> (Análise individual: </w:t>
      </w:r>
      <w:r w:rsidR="006527AD">
        <w:rPr>
          <w:rFonts w:ascii="Verdana" w:hAnsi="Verdana" w:cs="Arial"/>
          <w:sz w:val="17"/>
          <w:szCs w:val="17"/>
        </w:rPr>
        <w:t>10</w:t>
      </w:r>
      <w:r w:rsidR="006527AD" w:rsidRPr="008F6AB5">
        <w:rPr>
          <w:rFonts w:ascii="Verdana" w:hAnsi="Verdana" w:cs="Arial"/>
          <w:sz w:val="17"/>
          <w:szCs w:val="17"/>
        </w:rPr>
        <w:t xml:space="preserve"> </w:t>
      </w:r>
      <w:r w:rsidR="006527AD">
        <w:rPr>
          <w:rFonts w:ascii="Verdana" w:hAnsi="Verdana" w:cs="Arial"/>
          <w:sz w:val="17"/>
          <w:szCs w:val="17"/>
        </w:rPr>
        <w:t>803</w:t>
      </w:r>
      <w:r w:rsidR="006527AD" w:rsidRPr="008F6AB5">
        <w:rPr>
          <w:rFonts w:ascii="Verdana" w:hAnsi="Verdana" w:cs="Arial"/>
          <w:sz w:val="17"/>
          <w:szCs w:val="17"/>
        </w:rPr>
        <w:t xml:space="preserve"> </w:t>
      </w:r>
      <w:proofErr w:type="spellStart"/>
      <w:proofErr w:type="gramStart"/>
      <w:r w:rsidR="006527AD" w:rsidRPr="008F6AB5">
        <w:rPr>
          <w:rFonts w:ascii="Verdana" w:hAnsi="Verdana" w:cs="Arial"/>
          <w:sz w:val="17"/>
          <w:szCs w:val="17"/>
        </w:rPr>
        <w:t>m.euros</w:t>
      </w:r>
      <w:proofErr w:type="spellEnd"/>
      <w:proofErr w:type="gramEnd"/>
      <w:r w:rsidR="006527AD" w:rsidRPr="008F6AB5">
        <w:rPr>
          <w:rFonts w:ascii="Verdana" w:hAnsi="Verdana" w:cs="Arial"/>
          <w:sz w:val="17"/>
          <w:szCs w:val="17"/>
        </w:rPr>
        <w:t xml:space="preserve">; Análise coletiva: 2 </w:t>
      </w:r>
      <w:r w:rsidR="006527AD">
        <w:rPr>
          <w:rFonts w:ascii="Verdana" w:hAnsi="Verdana" w:cs="Arial"/>
          <w:sz w:val="17"/>
          <w:szCs w:val="17"/>
        </w:rPr>
        <w:t>735</w:t>
      </w:r>
      <w:r w:rsidR="006527AD" w:rsidRPr="008F6AB5">
        <w:rPr>
          <w:rFonts w:ascii="Verdana" w:hAnsi="Verdana" w:cs="Arial"/>
          <w:sz w:val="17"/>
          <w:szCs w:val="17"/>
        </w:rPr>
        <w:t xml:space="preserve"> </w:t>
      </w:r>
      <w:proofErr w:type="spellStart"/>
      <w:proofErr w:type="gramStart"/>
      <w:r w:rsidR="006527AD" w:rsidRPr="008F6AB5">
        <w:rPr>
          <w:rFonts w:ascii="Verdana" w:hAnsi="Verdana" w:cs="Arial"/>
          <w:sz w:val="17"/>
          <w:szCs w:val="17"/>
        </w:rPr>
        <w:t>m.euros</w:t>
      </w:r>
      <w:proofErr w:type="spellEnd"/>
      <w:proofErr w:type="gramEnd"/>
      <w:r w:rsidR="006527AD" w:rsidRPr="008F6AB5">
        <w:rPr>
          <w:rFonts w:ascii="Verdana" w:hAnsi="Verdana" w:cs="Arial"/>
          <w:sz w:val="17"/>
          <w:szCs w:val="17"/>
        </w:rPr>
        <w:t>)</w:t>
      </w:r>
      <w:r w:rsidRPr="008F6AB5">
        <w:rPr>
          <w:rFonts w:ascii="Verdana" w:hAnsi="Verdana" w:cs="Arial"/>
          <w:sz w:val="17"/>
          <w:szCs w:val="17"/>
        </w:rPr>
        <w:t>, com impacto refletido na demonstração de resultados do exercício e no balanço.</w:t>
      </w:r>
    </w:p>
    <w:p w14:paraId="44F20305" w14:textId="77777777" w:rsidR="00C82F0D" w:rsidRPr="008F6AB5" w:rsidRDefault="00C82F0D" w:rsidP="00952E84">
      <w:pPr>
        <w:pStyle w:val="Corpodetexto2"/>
        <w:ind w:left="0" w:right="27" w:firstLine="0"/>
        <w:rPr>
          <w:rFonts w:ascii="Verdana" w:hAnsi="Verdana" w:cs="Arial"/>
          <w:sz w:val="17"/>
          <w:szCs w:val="17"/>
        </w:rPr>
      </w:pPr>
    </w:p>
    <w:p w14:paraId="136AA738" w14:textId="77777777" w:rsidR="00C82F0D" w:rsidRPr="008F6AB5" w:rsidRDefault="00C82F0D" w:rsidP="00486C40">
      <w:pPr>
        <w:pStyle w:val="Corpodetexto2"/>
        <w:ind w:left="426" w:right="27" w:firstLine="0"/>
        <w:rPr>
          <w:rFonts w:ascii="Verdana" w:hAnsi="Verdana" w:cs="Arial"/>
          <w:sz w:val="17"/>
          <w:szCs w:val="17"/>
        </w:rPr>
      </w:pPr>
      <w:r w:rsidRPr="008F6AB5">
        <w:rPr>
          <w:rFonts w:ascii="Verdana" w:hAnsi="Verdana" w:cs="Arial"/>
          <w:sz w:val="17"/>
          <w:szCs w:val="17"/>
        </w:rPr>
        <w:t xml:space="preserve">A rubrica “Outros” refere-se essencialmente a imparidades que transitaram na sequência da cessão de Créditos do Banco </w:t>
      </w:r>
      <w:proofErr w:type="spellStart"/>
      <w:r w:rsidRPr="008F6AB5">
        <w:rPr>
          <w:rFonts w:ascii="Verdana" w:hAnsi="Verdana" w:cs="Arial"/>
          <w:sz w:val="17"/>
          <w:szCs w:val="17"/>
        </w:rPr>
        <w:t>Efisa</w:t>
      </w:r>
      <w:proofErr w:type="spellEnd"/>
      <w:r w:rsidRPr="008F6AB5">
        <w:rPr>
          <w:rFonts w:ascii="Verdana" w:hAnsi="Verdana" w:cs="Arial"/>
          <w:sz w:val="17"/>
          <w:szCs w:val="17"/>
        </w:rPr>
        <w:t>, refletindo a diferença entre o valor pago pelos créditos e o valor bruto registado na Parvalorem bem como a variação do ano da rubrica Responsabilidades por benefícios pós-emprego, resultante do impacto do Estudo Atuarial para 2025.</w:t>
      </w:r>
    </w:p>
    <w:p w14:paraId="7D9DBEFF" w14:textId="77777777" w:rsidR="00C82F0D" w:rsidRDefault="00C82F0D" w:rsidP="007C50D6">
      <w:pPr>
        <w:pStyle w:val="Corpodetexto2"/>
        <w:ind w:left="426" w:right="27" w:firstLine="0"/>
        <w:rPr>
          <w:rFonts w:ascii="Verdana" w:hAnsi="Verdana" w:cs="Arial"/>
          <w:sz w:val="17"/>
          <w:szCs w:val="17"/>
          <w:highlight w:val="yellow"/>
        </w:rPr>
      </w:pPr>
    </w:p>
    <w:p w14:paraId="27B52A8F" w14:textId="77777777" w:rsidR="00C82F0D" w:rsidRPr="00843988" w:rsidRDefault="00C82F0D" w:rsidP="00843988">
      <w:pPr>
        <w:pStyle w:val="Corpodetexto2"/>
        <w:ind w:left="426" w:right="27"/>
        <w:rPr>
          <w:rFonts w:ascii="Verdana" w:hAnsi="Verdana" w:cs="Arial"/>
          <w:sz w:val="17"/>
          <w:szCs w:val="17"/>
        </w:rPr>
      </w:pPr>
      <w:r w:rsidRPr="00802F38">
        <w:rPr>
          <w:rFonts w:ascii="Verdana" w:hAnsi="Verdana" w:cs="Arial"/>
          <w:sz w:val="17"/>
          <w:szCs w:val="17"/>
        </w:rPr>
        <w:tab/>
      </w:r>
      <w:r w:rsidRPr="00843988">
        <w:rPr>
          <w:rFonts w:ascii="Verdana" w:hAnsi="Verdana" w:cs="Arial"/>
          <w:sz w:val="17"/>
          <w:szCs w:val="17"/>
        </w:rPr>
        <w:t xml:space="preserve">Em 2015 ocorreu um despedimento coletivo, o qual está a ser contestado por alguns dos trabalhadores(as) abrangidos(as). Uma vez que a probabilidade de decaimento é superior a 50%, a Sociedade tem registado nas suas contas em 31 de dezembro de 2024, uma provisão no valor de 3.715 </w:t>
      </w:r>
      <w:proofErr w:type="spellStart"/>
      <w:proofErr w:type="gramStart"/>
      <w:r w:rsidRPr="00843988">
        <w:rPr>
          <w:rFonts w:ascii="Verdana" w:hAnsi="Verdana" w:cs="Arial"/>
          <w:sz w:val="17"/>
          <w:szCs w:val="17"/>
        </w:rPr>
        <w:t>m.euros</w:t>
      </w:r>
      <w:proofErr w:type="spellEnd"/>
      <w:proofErr w:type="gramEnd"/>
      <w:r w:rsidRPr="00843988">
        <w:rPr>
          <w:rFonts w:ascii="Verdana" w:hAnsi="Verdana" w:cs="Arial"/>
          <w:sz w:val="17"/>
          <w:szCs w:val="17"/>
        </w:rPr>
        <w:t xml:space="preserve"> para fazer face a perdas relacionadas com este processo. Em 31 de dezembro de 2025 o valor desta provisão ascende a 3.277 </w:t>
      </w:r>
      <w:proofErr w:type="spellStart"/>
      <w:proofErr w:type="gramStart"/>
      <w:r w:rsidRPr="00843988">
        <w:rPr>
          <w:rFonts w:ascii="Verdana" w:hAnsi="Verdana" w:cs="Arial"/>
          <w:sz w:val="17"/>
          <w:szCs w:val="17"/>
        </w:rPr>
        <w:t>m.euros</w:t>
      </w:r>
      <w:proofErr w:type="spellEnd"/>
      <w:proofErr w:type="gramEnd"/>
      <w:r w:rsidRPr="00843988">
        <w:rPr>
          <w:rFonts w:ascii="Verdana" w:hAnsi="Verdana" w:cs="Arial"/>
          <w:sz w:val="17"/>
          <w:szCs w:val="17"/>
        </w:rPr>
        <w:t>.</w:t>
      </w:r>
    </w:p>
    <w:p w14:paraId="6C2E7568" w14:textId="77777777" w:rsidR="00C82F0D" w:rsidRPr="00843988" w:rsidRDefault="00C82F0D" w:rsidP="00843988">
      <w:pPr>
        <w:pStyle w:val="Corpodetexto2"/>
        <w:ind w:left="426" w:right="27"/>
        <w:rPr>
          <w:rFonts w:ascii="Verdana" w:hAnsi="Verdana" w:cs="Arial"/>
          <w:sz w:val="17"/>
          <w:szCs w:val="17"/>
        </w:rPr>
      </w:pPr>
    </w:p>
    <w:p w14:paraId="4D5AFF3B" w14:textId="77777777" w:rsidR="00C82F0D" w:rsidRPr="00843988" w:rsidRDefault="00C82F0D" w:rsidP="00843988">
      <w:pPr>
        <w:pStyle w:val="Corpodetexto2"/>
        <w:ind w:left="426" w:right="27"/>
        <w:rPr>
          <w:rFonts w:ascii="Verdana" w:hAnsi="Verdana" w:cs="Arial"/>
          <w:sz w:val="17"/>
          <w:szCs w:val="17"/>
        </w:rPr>
      </w:pPr>
      <w:r w:rsidRPr="00802F38">
        <w:rPr>
          <w:rFonts w:ascii="Verdana" w:hAnsi="Verdana" w:cs="Arial"/>
          <w:sz w:val="17"/>
          <w:szCs w:val="17"/>
        </w:rPr>
        <w:tab/>
      </w:r>
      <w:r w:rsidRPr="00843988">
        <w:rPr>
          <w:rFonts w:ascii="Verdana" w:hAnsi="Verdana" w:cs="Arial"/>
          <w:sz w:val="17"/>
          <w:szCs w:val="17"/>
        </w:rPr>
        <w:t xml:space="preserve">A Sociedade registou nas suas contas em 31 de dezembro de 2024, uma provisão no valor de 8.795 </w:t>
      </w:r>
      <w:proofErr w:type="spellStart"/>
      <w:proofErr w:type="gramStart"/>
      <w:r w:rsidRPr="00843988">
        <w:rPr>
          <w:rFonts w:ascii="Verdana" w:hAnsi="Verdana" w:cs="Arial"/>
          <w:sz w:val="17"/>
          <w:szCs w:val="17"/>
        </w:rPr>
        <w:t>m.euros</w:t>
      </w:r>
      <w:proofErr w:type="spellEnd"/>
      <w:proofErr w:type="gramEnd"/>
      <w:r w:rsidRPr="00843988">
        <w:rPr>
          <w:rFonts w:ascii="Verdana" w:hAnsi="Verdana" w:cs="Arial"/>
          <w:sz w:val="17"/>
          <w:szCs w:val="17"/>
        </w:rPr>
        <w:t xml:space="preserve"> para fazer face a perdas relacionadas com o processo Judicial </w:t>
      </w:r>
      <w:proofErr w:type="spellStart"/>
      <w:r w:rsidRPr="00843988">
        <w:rPr>
          <w:rFonts w:ascii="Verdana" w:hAnsi="Verdana" w:cs="Arial"/>
          <w:sz w:val="17"/>
          <w:szCs w:val="17"/>
        </w:rPr>
        <w:t>Visesh</w:t>
      </w:r>
      <w:proofErr w:type="spellEnd"/>
      <w:r w:rsidRPr="00843988">
        <w:rPr>
          <w:rFonts w:ascii="Verdana" w:hAnsi="Verdana" w:cs="Arial"/>
          <w:sz w:val="17"/>
          <w:szCs w:val="17"/>
        </w:rPr>
        <w:t>. Em dezembro de 2025 esta provisão foi reforçada para 17.634 m. euros por forma a cobrir a totalidade das eventuais perdas estimadas com este processo.</w:t>
      </w:r>
    </w:p>
    <w:p w14:paraId="36FE5C5E" w14:textId="77777777" w:rsidR="00C82F0D" w:rsidRPr="00843988" w:rsidRDefault="00C82F0D" w:rsidP="00843988">
      <w:pPr>
        <w:pStyle w:val="Corpodetexto2"/>
        <w:ind w:left="426" w:right="27"/>
        <w:rPr>
          <w:rFonts w:ascii="Verdana" w:hAnsi="Verdana" w:cs="Arial"/>
          <w:sz w:val="17"/>
          <w:szCs w:val="17"/>
        </w:rPr>
      </w:pPr>
    </w:p>
    <w:p w14:paraId="572A4522" w14:textId="77777777" w:rsidR="00C82F0D" w:rsidRPr="00843988" w:rsidRDefault="00C82F0D" w:rsidP="00843988">
      <w:pPr>
        <w:pStyle w:val="Corpodetexto2"/>
        <w:ind w:left="426" w:right="27"/>
        <w:rPr>
          <w:rFonts w:ascii="Verdana" w:hAnsi="Verdana" w:cs="Arial"/>
          <w:sz w:val="17"/>
          <w:szCs w:val="17"/>
        </w:rPr>
      </w:pPr>
      <w:r w:rsidRPr="00802F38">
        <w:rPr>
          <w:rFonts w:ascii="Verdana" w:hAnsi="Verdana" w:cs="Arial"/>
          <w:sz w:val="17"/>
          <w:szCs w:val="17"/>
        </w:rPr>
        <w:tab/>
      </w:r>
      <w:r w:rsidRPr="00843988">
        <w:rPr>
          <w:rFonts w:ascii="Verdana" w:hAnsi="Verdana" w:cs="Arial"/>
          <w:sz w:val="17"/>
          <w:szCs w:val="17"/>
        </w:rPr>
        <w:t xml:space="preserve">Em julho de 2025, foi lançado um novo Programa de Revogações por Mútuo Acordo (RMA 2025-2027), com uma adesão de 70 colaboradores(as), que irão sair até 31 de dezembro de 2027. Para fazer face aos valores acordados no RMA, a Parvalorem constituiu uma provisão de </w:t>
      </w:r>
      <w:r w:rsidRPr="00DE5C36">
        <w:rPr>
          <w:rFonts w:ascii="Verdana" w:hAnsi="Verdana" w:cs="Arial"/>
          <w:sz w:val="17"/>
          <w:szCs w:val="17"/>
        </w:rPr>
        <w:t>9.861</w:t>
      </w:r>
      <w:r w:rsidRPr="00843988">
        <w:rPr>
          <w:rFonts w:ascii="Verdana" w:hAnsi="Verdana" w:cs="Arial"/>
          <w:sz w:val="17"/>
          <w:szCs w:val="17"/>
        </w:rPr>
        <w:t xml:space="preserve"> m. euros.</w:t>
      </w:r>
    </w:p>
    <w:p w14:paraId="0BAB1208" w14:textId="77777777" w:rsidR="00C82F0D" w:rsidRPr="00843988" w:rsidRDefault="00C82F0D" w:rsidP="00843988">
      <w:pPr>
        <w:pStyle w:val="Corpodetexto2"/>
        <w:ind w:left="426" w:right="27"/>
        <w:rPr>
          <w:rFonts w:ascii="Verdana" w:hAnsi="Verdana" w:cs="Arial"/>
          <w:sz w:val="17"/>
          <w:szCs w:val="17"/>
        </w:rPr>
      </w:pPr>
    </w:p>
    <w:p w14:paraId="3CDF66DE" w14:textId="77777777" w:rsidR="00C82F0D" w:rsidRPr="00843988" w:rsidRDefault="00C82F0D" w:rsidP="00843988">
      <w:pPr>
        <w:pStyle w:val="Corpodetexto2"/>
        <w:ind w:left="426" w:right="27"/>
        <w:rPr>
          <w:rFonts w:ascii="Verdana" w:hAnsi="Verdana" w:cs="Arial"/>
          <w:sz w:val="17"/>
          <w:szCs w:val="17"/>
        </w:rPr>
      </w:pPr>
      <w:r w:rsidRPr="00802F38">
        <w:rPr>
          <w:rFonts w:ascii="Verdana" w:hAnsi="Verdana" w:cs="Arial"/>
          <w:sz w:val="17"/>
          <w:szCs w:val="17"/>
        </w:rPr>
        <w:tab/>
      </w:r>
      <w:r w:rsidRPr="00843988">
        <w:rPr>
          <w:rFonts w:ascii="Verdana" w:hAnsi="Verdana" w:cs="Arial"/>
          <w:sz w:val="17"/>
          <w:szCs w:val="17"/>
        </w:rPr>
        <w:t xml:space="preserve">Em 31 de dezembro de 2024, a Parvalorem tinha registada uma provisão relativa a contingências fiscais decorrentes da liquidação da participada BPN </w:t>
      </w:r>
      <w:proofErr w:type="spellStart"/>
      <w:r w:rsidRPr="00843988">
        <w:rPr>
          <w:rFonts w:ascii="Verdana" w:hAnsi="Verdana" w:cs="Arial"/>
          <w:sz w:val="17"/>
          <w:szCs w:val="17"/>
        </w:rPr>
        <w:t>Creditus</w:t>
      </w:r>
      <w:proofErr w:type="spellEnd"/>
      <w:r w:rsidRPr="00843988">
        <w:rPr>
          <w:rFonts w:ascii="Verdana" w:hAnsi="Verdana" w:cs="Arial"/>
          <w:sz w:val="17"/>
          <w:szCs w:val="17"/>
        </w:rPr>
        <w:t xml:space="preserve"> Brasil – </w:t>
      </w:r>
      <w:proofErr w:type="spellStart"/>
      <w:r w:rsidRPr="00843988">
        <w:rPr>
          <w:rFonts w:ascii="Verdana" w:hAnsi="Verdana" w:cs="Arial"/>
          <w:sz w:val="17"/>
          <w:szCs w:val="17"/>
        </w:rPr>
        <w:t>Promt</w:t>
      </w:r>
      <w:proofErr w:type="spellEnd"/>
      <w:r w:rsidRPr="00843988">
        <w:rPr>
          <w:rFonts w:ascii="Verdana" w:hAnsi="Verdana" w:cs="Arial"/>
          <w:sz w:val="17"/>
          <w:szCs w:val="17"/>
        </w:rPr>
        <w:t xml:space="preserve">. Vendas, </w:t>
      </w:r>
      <w:proofErr w:type="spellStart"/>
      <w:r w:rsidRPr="00843988">
        <w:rPr>
          <w:rFonts w:ascii="Verdana" w:hAnsi="Verdana" w:cs="Arial"/>
          <w:sz w:val="17"/>
          <w:szCs w:val="17"/>
        </w:rPr>
        <w:t>Ldas</w:t>
      </w:r>
      <w:proofErr w:type="spellEnd"/>
      <w:r w:rsidRPr="00843988">
        <w:rPr>
          <w:rFonts w:ascii="Verdana" w:hAnsi="Verdana" w:cs="Arial"/>
          <w:sz w:val="17"/>
          <w:szCs w:val="17"/>
        </w:rPr>
        <w:t xml:space="preserve"> no valor de 2,5 milhões de euros. No dia 2 de janeiro de 2026 caducou o prazo de fiscalização pelas Autoridades fiscais do Brasil, pelo que a provisão foi revertida nas contas de 2025.</w:t>
      </w:r>
    </w:p>
    <w:p w14:paraId="617A21B2" w14:textId="77777777" w:rsidR="00C82F0D" w:rsidRDefault="00C82F0D" w:rsidP="00802F38">
      <w:pPr>
        <w:pStyle w:val="Corpodetexto2"/>
        <w:ind w:left="0" w:right="27" w:firstLine="0"/>
        <w:rPr>
          <w:rFonts w:ascii="Verdana" w:hAnsi="Verdana" w:cs="Arial"/>
          <w:sz w:val="17"/>
          <w:szCs w:val="17"/>
        </w:rPr>
      </w:pPr>
    </w:p>
    <w:p w14:paraId="256B9BB5" w14:textId="77777777" w:rsidR="00C82F0D" w:rsidRPr="00107B4D" w:rsidRDefault="00C82F0D" w:rsidP="00153FC0">
      <w:pPr>
        <w:pStyle w:val="Corpodetexto2"/>
        <w:ind w:left="0" w:right="27" w:firstLine="0"/>
        <w:rPr>
          <w:rFonts w:ascii="Verdana" w:hAnsi="Verdana" w:cs="Arial"/>
          <w:sz w:val="17"/>
          <w:szCs w:val="17"/>
        </w:rPr>
      </w:pPr>
    </w:p>
    <w:p w14:paraId="2C4133C4" w14:textId="77777777" w:rsidR="00C82F0D" w:rsidRPr="00107B4D" w:rsidRDefault="00C82F0D" w:rsidP="005729A5">
      <w:pPr>
        <w:pStyle w:val="Corpodetexto2"/>
        <w:ind w:right="27"/>
        <w:rPr>
          <w:rFonts w:ascii="Verdana" w:hAnsi="Verdana" w:cs="Arial"/>
          <w:sz w:val="17"/>
          <w:szCs w:val="17"/>
          <w:u w:val="single"/>
        </w:rPr>
      </w:pPr>
      <w:r w:rsidRPr="004F1F42">
        <w:rPr>
          <w:rFonts w:ascii="Verdana" w:hAnsi="Verdana" w:cs="Arial"/>
          <w:sz w:val="17"/>
          <w:szCs w:val="17"/>
        </w:rPr>
        <w:tab/>
      </w:r>
      <w:r w:rsidRPr="00107B4D">
        <w:rPr>
          <w:rFonts w:ascii="Verdana" w:hAnsi="Verdana" w:cs="Arial"/>
          <w:sz w:val="17"/>
          <w:szCs w:val="17"/>
          <w:u w:val="single"/>
        </w:rPr>
        <w:t>Passivos contingentes</w:t>
      </w:r>
    </w:p>
    <w:p w14:paraId="5C6BA4D7" w14:textId="77777777" w:rsidR="00C82F0D" w:rsidRPr="00107B4D" w:rsidRDefault="00C82F0D" w:rsidP="007C50D6">
      <w:pPr>
        <w:pStyle w:val="Corpodetexto2"/>
        <w:ind w:left="426" w:right="27" w:firstLine="0"/>
        <w:rPr>
          <w:rFonts w:ascii="Verdana" w:hAnsi="Verdana" w:cs="Arial"/>
          <w:sz w:val="17"/>
          <w:szCs w:val="17"/>
        </w:rPr>
      </w:pPr>
    </w:p>
    <w:p w14:paraId="289FC69D" w14:textId="77276759" w:rsidR="00C82F0D" w:rsidRPr="00894FA9" w:rsidRDefault="00C82F0D" w:rsidP="005729A5">
      <w:pPr>
        <w:pStyle w:val="Corpodetexto2"/>
        <w:ind w:left="426" w:right="27"/>
        <w:rPr>
          <w:rFonts w:ascii="Verdana" w:hAnsi="Verdana" w:cs="Arial"/>
          <w:sz w:val="17"/>
          <w:szCs w:val="17"/>
        </w:rPr>
      </w:pPr>
      <w:r w:rsidRPr="00107B4D">
        <w:rPr>
          <w:rFonts w:ascii="Verdana" w:hAnsi="Verdana" w:cs="Arial"/>
          <w:sz w:val="17"/>
          <w:szCs w:val="17"/>
        </w:rPr>
        <w:tab/>
      </w:r>
      <w:r w:rsidRPr="00894FA9">
        <w:rPr>
          <w:rFonts w:ascii="Verdana" w:hAnsi="Verdana" w:cs="Arial"/>
          <w:sz w:val="17"/>
          <w:szCs w:val="17"/>
        </w:rPr>
        <w:t xml:space="preserve">Durante o exercício de 2014 a Sociedade foi notificada da instauração de um processo judicial por um conjunto de colaboradores contra a Sociedade, o </w:t>
      </w:r>
      <w:r>
        <w:rPr>
          <w:rFonts w:ascii="Verdana" w:hAnsi="Verdana" w:cs="Arial"/>
          <w:sz w:val="17"/>
          <w:szCs w:val="17"/>
        </w:rPr>
        <w:t xml:space="preserve">Banco Abanca (antigo </w:t>
      </w:r>
      <w:r w:rsidRPr="00894FA9">
        <w:rPr>
          <w:rFonts w:ascii="Verdana" w:hAnsi="Verdana" w:cs="Arial"/>
          <w:sz w:val="17"/>
          <w:szCs w:val="17"/>
        </w:rPr>
        <w:t>Banco BIC Português, S.A.</w:t>
      </w:r>
      <w:r w:rsidR="00F04ECD">
        <w:rPr>
          <w:rFonts w:ascii="Verdana" w:hAnsi="Verdana" w:cs="Arial"/>
          <w:sz w:val="17"/>
          <w:szCs w:val="17"/>
        </w:rPr>
        <w:t>)</w:t>
      </w:r>
      <w:r w:rsidRPr="00894FA9">
        <w:rPr>
          <w:rFonts w:ascii="Verdana" w:hAnsi="Verdana" w:cs="Arial"/>
          <w:sz w:val="17"/>
          <w:szCs w:val="17"/>
        </w:rPr>
        <w:t xml:space="preserve"> e ainda o Estado Português, no qual é exigida a impugnação do trespasse dos colaboradores do BPN para a Sociedade.</w:t>
      </w:r>
    </w:p>
    <w:p w14:paraId="14934E34" w14:textId="77777777" w:rsidR="00C82F0D" w:rsidRPr="00894FA9" w:rsidRDefault="00C82F0D" w:rsidP="005729A5">
      <w:pPr>
        <w:pStyle w:val="Corpodetexto2"/>
        <w:ind w:left="426" w:right="27"/>
        <w:rPr>
          <w:rFonts w:ascii="Verdana" w:hAnsi="Verdana" w:cs="Arial"/>
          <w:sz w:val="17"/>
          <w:szCs w:val="17"/>
        </w:rPr>
      </w:pPr>
    </w:p>
    <w:p w14:paraId="722BDA35" w14:textId="2D8EDEFD" w:rsidR="00C82F0D" w:rsidRPr="00107B4D" w:rsidRDefault="00C82F0D" w:rsidP="00952E84">
      <w:pPr>
        <w:pStyle w:val="Corpodetexto2"/>
        <w:ind w:left="426" w:right="27"/>
        <w:rPr>
          <w:rFonts w:ascii="Verdana" w:hAnsi="Verdana" w:cs="Arial"/>
          <w:sz w:val="17"/>
          <w:szCs w:val="17"/>
        </w:rPr>
      </w:pPr>
      <w:r w:rsidRPr="00894FA9">
        <w:rPr>
          <w:rFonts w:ascii="Verdana" w:hAnsi="Verdana" w:cs="Arial"/>
          <w:sz w:val="17"/>
          <w:szCs w:val="17"/>
        </w:rPr>
        <w:tab/>
        <w:t xml:space="preserve">O processo encontra-se atualmente em curso. É entendimento do Conselho de Administração que, mesmo num cenário de eventual procedência da ação, não existiria qualquer impacto financeiro para a Sociedade, na medida em que os colaboradores seriam integrados no </w:t>
      </w:r>
      <w:proofErr w:type="gramStart"/>
      <w:r w:rsidRPr="00894FA9">
        <w:rPr>
          <w:rFonts w:ascii="Verdana" w:hAnsi="Verdana" w:cs="Arial"/>
          <w:sz w:val="17"/>
          <w:szCs w:val="17"/>
        </w:rPr>
        <w:t>atual</w:t>
      </w:r>
      <w:r w:rsidR="008A0314">
        <w:rPr>
          <w:rFonts w:ascii="Verdana" w:hAnsi="Verdana" w:cs="Arial"/>
          <w:sz w:val="17"/>
          <w:szCs w:val="17"/>
        </w:rPr>
        <w:t xml:space="preserve"> </w:t>
      </w:r>
      <w:r w:rsidR="00F04ECD">
        <w:rPr>
          <w:rFonts w:ascii="Verdana" w:hAnsi="Verdana" w:cs="Arial"/>
          <w:sz w:val="17"/>
          <w:szCs w:val="17"/>
        </w:rPr>
        <w:t>Abanca</w:t>
      </w:r>
      <w:proofErr w:type="gramEnd"/>
      <w:r w:rsidRPr="00894FA9">
        <w:rPr>
          <w:rFonts w:ascii="Verdana" w:hAnsi="Verdana" w:cs="Arial"/>
          <w:sz w:val="17"/>
          <w:szCs w:val="17"/>
        </w:rPr>
        <w:t>. Desta forma a Sociedade não registou qualquer provisão para fazer face a perdas relacionadas com este processo nas demonstrações financeiras em 31 de dezembro de 2025.</w:t>
      </w:r>
    </w:p>
    <w:p w14:paraId="175F21BC" w14:textId="77777777" w:rsidR="00C82F0D" w:rsidRPr="00107B4D" w:rsidRDefault="00C82F0D">
      <w:pPr>
        <w:rPr>
          <w:rFonts w:ascii="Verdana" w:hAnsi="Verdana" w:cs="Arial"/>
          <w:sz w:val="17"/>
          <w:szCs w:val="17"/>
          <w:u w:val="single"/>
          <w:lang w:eastAsia="en-US"/>
        </w:rPr>
      </w:pPr>
    </w:p>
    <w:p w14:paraId="379DF427" w14:textId="77777777" w:rsidR="00C82F0D" w:rsidRPr="00107B4D" w:rsidRDefault="00C82F0D">
      <w:pPr>
        <w:rPr>
          <w:rFonts w:ascii="Verdana" w:hAnsi="Verdana" w:cs="Arial"/>
          <w:sz w:val="17"/>
          <w:szCs w:val="17"/>
          <w:u w:val="single"/>
          <w:lang w:eastAsia="en-US"/>
        </w:rPr>
      </w:pPr>
    </w:p>
    <w:p w14:paraId="41AC4141" w14:textId="77777777" w:rsidR="00C82F0D" w:rsidRPr="00107B4D" w:rsidRDefault="00C82F0D" w:rsidP="00D84952">
      <w:pPr>
        <w:pStyle w:val="Ttulo1"/>
        <w:keepNext w:val="0"/>
        <w:keepLines w:val="0"/>
        <w:numPr>
          <w:ilvl w:val="0"/>
          <w:numId w:val="3"/>
        </w:numPr>
        <w:tabs>
          <w:tab w:val="left" w:pos="426"/>
        </w:tabs>
        <w:spacing w:before="0"/>
        <w:ind w:right="-22"/>
        <w:jc w:val="both"/>
        <w:rPr>
          <w:rFonts w:ascii="Verdana" w:eastAsia="Times New Roman" w:hAnsi="Verdana" w:cs="Arial"/>
          <w:b w:val="0"/>
          <w:bCs w:val="0"/>
          <w:color w:val="auto"/>
          <w:sz w:val="17"/>
          <w:szCs w:val="17"/>
          <w:u w:val="single"/>
          <w:lang w:eastAsia="en-US"/>
        </w:rPr>
      </w:pPr>
      <w:r>
        <w:rPr>
          <w:rFonts w:ascii="Verdana" w:eastAsia="Times New Roman" w:hAnsi="Verdana" w:cs="Arial"/>
          <w:b w:val="0"/>
          <w:bCs w:val="0"/>
          <w:color w:val="auto"/>
          <w:sz w:val="17"/>
          <w:szCs w:val="17"/>
          <w:u w:val="single"/>
          <w:lang w:eastAsia="en-US"/>
        </w:rPr>
        <w:t>RESPONSABILIDADES POR BENEFÍCIOS PÓS-EMPREGO</w:t>
      </w:r>
    </w:p>
    <w:p w14:paraId="0850203A" w14:textId="77777777" w:rsidR="00C82F0D" w:rsidRPr="00107B4D" w:rsidRDefault="00C82F0D" w:rsidP="00633A3B">
      <w:pPr>
        <w:autoSpaceDE w:val="0"/>
        <w:autoSpaceDN w:val="0"/>
        <w:adjustRightInd w:val="0"/>
        <w:ind w:right="-22"/>
        <w:jc w:val="both"/>
        <w:rPr>
          <w:rFonts w:ascii="Verdana" w:hAnsi="Verdana" w:cs="Arial"/>
          <w:color w:val="000000"/>
          <w:sz w:val="17"/>
          <w:szCs w:val="17"/>
          <w:u w:val="single"/>
        </w:rPr>
      </w:pPr>
    </w:p>
    <w:p w14:paraId="04F0FABC" w14:textId="77777777" w:rsidR="00C82F0D" w:rsidRPr="00107B4D" w:rsidRDefault="00C82F0D" w:rsidP="00633A3B">
      <w:pPr>
        <w:pStyle w:val="Corpodetexto"/>
        <w:ind w:left="426" w:right="-22"/>
        <w:jc w:val="both"/>
        <w:rPr>
          <w:rFonts w:ascii="Verdana" w:hAnsi="Verdana" w:cs="Arial"/>
          <w:sz w:val="17"/>
          <w:szCs w:val="17"/>
        </w:rPr>
      </w:pPr>
      <w:r w:rsidRPr="00107B4D">
        <w:rPr>
          <w:rFonts w:ascii="Verdana" w:hAnsi="Verdana" w:cs="Arial"/>
          <w:sz w:val="17"/>
          <w:szCs w:val="17"/>
        </w:rPr>
        <w:t xml:space="preserve">Até 31 de dezembro de 1997, o Grupo BPN ainda não tinha aderido ao acordo coletivo de trabalho para o setor bancário. Por essa razão, até essa data os seus empregados estavam enquadrados no esquema de reformas da Segurança Social.  Durante o ano de 1998, o Grupo BPN celebrou com os Sindicatos dos Bancários do Norte, Centro e Sul e Ilhas e com o Sindicato dos Quadros e Técnicos Bancários, Acordos de Adesão ao acordo coletivo de trabalho.  Esses acordos previam que o Grupo BPN assegurasse as responsabilidades com pensões de reforma por velhice, invalidez e sobrevivência relativamente à totalidade do seu pessoal abrangido pelo acordo coletivo de trabalho a partir de 31 de dezembro de 1997. Com o objetivo de cobrir as responsabilidades com pensões de reforma então assumidas foi constituído o Fundo de Pensões do Grupo BPN gerido pela Real Vida Seguros, </w:t>
      </w:r>
      <w:proofErr w:type="gramStart"/>
      <w:r w:rsidRPr="00107B4D">
        <w:rPr>
          <w:rFonts w:ascii="Verdana" w:hAnsi="Verdana" w:cs="Arial"/>
          <w:sz w:val="17"/>
          <w:szCs w:val="17"/>
        </w:rPr>
        <w:t>S.A..</w:t>
      </w:r>
      <w:proofErr w:type="gramEnd"/>
    </w:p>
    <w:p w14:paraId="2BCFB179" w14:textId="77777777" w:rsidR="00C82F0D" w:rsidRPr="00107B4D" w:rsidRDefault="00C82F0D" w:rsidP="00633A3B">
      <w:pPr>
        <w:pStyle w:val="Corpodetexto"/>
        <w:ind w:left="426" w:right="-22"/>
        <w:jc w:val="both"/>
        <w:rPr>
          <w:rFonts w:ascii="Verdana" w:hAnsi="Verdana" w:cs="Arial"/>
          <w:sz w:val="17"/>
          <w:szCs w:val="17"/>
        </w:rPr>
      </w:pPr>
    </w:p>
    <w:p w14:paraId="59D84B1E" w14:textId="77777777" w:rsidR="00C82F0D" w:rsidRPr="00107B4D" w:rsidRDefault="00C82F0D" w:rsidP="00633A3B">
      <w:pPr>
        <w:pStyle w:val="Corpodetexto"/>
        <w:ind w:left="426" w:right="-22"/>
        <w:jc w:val="both"/>
        <w:rPr>
          <w:rFonts w:ascii="Verdana" w:hAnsi="Verdana" w:cs="Arial"/>
          <w:sz w:val="17"/>
          <w:szCs w:val="17"/>
        </w:rPr>
      </w:pPr>
      <w:r w:rsidRPr="00107B4D">
        <w:rPr>
          <w:rFonts w:ascii="Verdana" w:hAnsi="Verdana" w:cs="Arial"/>
          <w:sz w:val="17"/>
          <w:szCs w:val="17"/>
        </w:rPr>
        <w:t>As responsabilidades com pensões de reforma por velhice, invalidez e sobrevivência assumidas pelas subsidiárias do setor financeiro, estavam igualmente cobertas pelo Fundo de Pensões acima referido.</w:t>
      </w:r>
    </w:p>
    <w:p w14:paraId="59C6A7C5" w14:textId="77777777" w:rsidR="00C82F0D" w:rsidRPr="00107B4D" w:rsidRDefault="00C82F0D" w:rsidP="00633A3B">
      <w:pPr>
        <w:pStyle w:val="Corpodetexto"/>
        <w:ind w:left="426" w:right="-22"/>
        <w:jc w:val="both"/>
        <w:rPr>
          <w:rFonts w:ascii="Verdana" w:hAnsi="Verdana" w:cs="Arial"/>
          <w:sz w:val="17"/>
          <w:szCs w:val="17"/>
        </w:rPr>
      </w:pPr>
    </w:p>
    <w:p w14:paraId="351F23A8" w14:textId="77777777" w:rsidR="00C82F0D" w:rsidRPr="00107B4D" w:rsidRDefault="00C82F0D" w:rsidP="00633A3B">
      <w:pPr>
        <w:pStyle w:val="Corpodetexto"/>
        <w:ind w:left="426" w:right="-22"/>
        <w:jc w:val="both"/>
        <w:rPr>
          <w:rFonts w:ascii="Verdana" w:hAnsi="Verdana" w:cs="Arial"/>
          <w:sz w:val="17"/>
          <w:szCs w:val="17"/>
        </w:rPr>
      </w:pPr>
      <w:r w:rsidRPr="00107B4D">
        <w:rPr>
          <w:rFonts w:ascii="Verdana" w:hAnsi="Verdana" w:cs="Arial"/>
          <w:sz w:val="17"/>
          <w:szCs w:val="17"/>
        </w:rPr>
        <w:lastRenderedPageBreak/>
        <w:t>Em 31 de dezembro de 2011, foi publicado o Decreto-Lei n.º 127/2011, que determina a transmissão das responsabilidades e ativos dos fundos de pensões de um conjunto de instituições financeiras para a Segurança Social, tendo, no entanto, o BPN sido excluído dessa obrigação.</w:t>
      </w:r>
    </w:p>
    <w:p w14:paraId="06A7BDE0" w14:textId="77777777" w:rsidR="00C82F0D" w:rsidRPr="00107B4D" w:rsidRDefault="00C82F0D" w:rsidP="00633A3B">
      <w:pPr>
        <w:pStyle w:val="Corpodetexto"/>
        <w:ind w:left="426" w:right="-22"/>
        <w:jc w:val="both"/>
        <w:rPr>
          <w:rFonts w:ascii="Verdana" w:hAnsi="Verdana" w:cs="Arial"/>
          <w:sz w:val="17"/>
          <w:szCs w:val="17"/>
        </w:rPr>
      </w:pPr>
    </w:p>
    <w:p w14:paraId="6C2BE5AE" w14:textId="77777777" w:rsidR="00C82F0D" w:rsidRPr="00107B4D" w:rsidRDefault="00C82F0D" w:rsidP="00633A3B">
      <w:pPr>
        <w:pStyle w:val="Corpodetexto"/>
        <w:ind w:left="426" w:right="-22"/>
        <w:jc w:val="both"/>
        <w:rPr>
          <w:rFonts w:ascii="Verdana" w:hAnsi="Verdana" w:cs="Arial"/>
          <w:sz w:val="17"/>
          <w:szCs w:val="17"/>
        </w:rPr>
      </w:pPr>
      <w:r w:rsidRPr="00107B4D">
        <w:rPr>
          <w:rFonts w:ascii="Verdana" w:hAnsi="Verdana" w:cs="Arial"/>
          <w:sz w:val="17"/>
          <w:szCs w:val="17"/>
        </w:rPr>
        <w:t xml:space="preserve">Em 10 de fevereiro de 2012, o BPN efetuou a transmissão para a Sociedade da parte do estabelecimento correspondente à denominada “Direção de Meios”, constituída pelas unidades dedicadas ao desenvolvimento das atividades acessórias da atividade comercial bancária da rede comercial de agências e de empresas, designadamente, atividades de </w:t>
      </w:r>
      <w:proofErr w:type="spellStart"/>
      <w:r w:rsidRPr="00107B4D">
        <w:rPr>
          <w:rFonts w:ascii="Verdana" w:hAnsi="Verdana" w:cs="Arial"/>
          <w:i/>
          <w:sz w:val="17"/>
          <w:szCs w:val="17"/>
        </w:rPr>
        <w:t>back-office</w:t>
      </w:r>
      <w:proofErr w:type="spellEnd"/>
      <w:r w:rsidRPr="00107B4D">
        <w:rPr>
          <w:rFonts w:ascii="Verdana" w:hAnsi="Verdana" w:cs="Arial"/>
          <w:sz w:val="17"/>
          <w:szCs w:val="17"/>
        </w:rPr>
        <w:t>, de gestão de recursos humanos, serviços de suporte informático, serviços de contabilidade, serviços de gestão organizacional, administrativa e financeira, serviços de análise de risco, serviços de auditoria e inspeção e serviços de apoio jurídico, exercidos pelos Gabinetes, Direções e restantes Unidades.  Adicionalmente, com esta transferência, foi cedida à Sociedade a posição contratual nos contratos de trabalho de 646 colaboradores que integravam as áreas acima descritas, bem como dos contratos de aluguer de viaturas e de arrendamento, bem como os respetivos benefícios pós-emprego.</w:t>
      </w:r>
    </w:p>
    <w:p w14:paraId="6B1743F6" w14:textId="77777777" w:rsidR="00C82F0D" w:rsidRPr="00107B4D" w:rsidRDefault="00C82F0D" w:rsidP="00633A3B">
      <w:pPr>
        <w:pStyle w:val="Corpodetexto"/>
        <w:ind w:left="426" w:right="-22"/>
        <w:jc w:val="both"/>
        <w:rPr>
          <w:rFonts w:ascii="Verdana" w:hAnsi="Verdana" w:cs="Arial"/>
          <w:sz w:val="17"/>
          <w:szCs w:val="17"/>
        </w:rPr>
      </w:pPr>
    </w:p>
    <w:p w14:paraId="76972907" w14:textId="77777777" w:rsidR="00C82F0D" w:rsidRPr="00107B4D" w:rsidRDefault="00C82F0D" w:rsidP="00633A3B">
      <w:pPr>
        <w:pStyle w:val="Corpodetexto"/>
        <w:ind w:left="426" w:right="-22"/>
        <w:jc w:val="both"/>
        <w:rPr>
          <w:rFonts w:ascii="Verdana" w:hAnsi="Verdana" w:cs="Arial"/>
          <w:sz w:val="17"/>
          <w:szCs w:val="17"/>
        </w:rPr>
      </w:pPr>
      <w:r w:rsidRPr="00107B4D">
        <w:rPr>
          <w:rFonts w:ascii="Verdana" w:hAnsi="Verdana" w:cs="Arial"/>
          <w:sz w:val="17"/>
          <w:szCs w:val="17"/>
        </w:rPr>
        <w:t xml:space="preserve">No exercício de 2012, o Decreto-Lei n.º 88/2012, de 11 de abril, determinou a integração no regime geral de segurança social dos trabalhadores da Sociedade, relativamente às eventualidades de invalidez, morte e doença, bem como a extinção do “Fundo de Pensões do Grupo Banco Português de Negócios”, onde se incluía o Fundo de Pensões da Parvalorem, através da sua integração na Caixa Geral de Aposentações (CGA). </w:t>
      </w:r>
    </w:p>
    <w:p w14:paraId="200DEAB4" w14:textId="77777777" w:rsidR="00C82F0D" w:rsidRPr="00107B4D" w:rsidRDefault="00C82F0D" w:rsidP="00633A3B">
      <w:pPr>
        <w:pStyle w:val="Corpodetexto"/>
        <w:ind w:left="426" w:right="-22"/>
        <w:jc w:val="both"/>
        <w:rPr>
          <w:rFonts w:ascii="Verdana" w:hAnsi="Verdana" w:cs="Arial"/>
          <w:sz w:val="17"/>
          <w:szCs w:val="17"/>
        </w:rPr>
      </w:pPr>
    </w:p>
    <w:p w14:paraId="50F1CA4A" w14:textId="77777777" w:rsidR="00C82F0D" w:rsidRPr="00107B4D" w:rsidRDefault="00C82F0D" w:rsidP="00633A3B">
      <w:pPr>
        <w:pStyle w:val="Corpodetexto"/>
        <w:ind w:left="426" w:right="-22"/>
        <w:jc w:val="both"/>
        <w:rPr>
          <w:rFonts w:ascii="Verdana" w:hAnsi="Verdana" w:cs="Arial"/>
          <w:sz w:val="17"/>
          <w:szCs w:val="17"/>
        </w:rPr>
      </w:pPr>
      <w:r w:rsidRPr="00107B4D">
        <w:rPr>
          <w:rFonts w:ascii="Verdana" w:hAnsi="Verdana" w:cs="Arial"/>
          <w:sz w:val="17"/>
          <w:szCs w:val="17"/>
        </w:rPr>
        <w:t>Assim, os trabalhadores admitidos até 2 de março de 2009, até então abrangidos pelo ACT do Setor Bancário, passaram a estar protegidos, tal como os restantes, pelo regime geral da segurança social nas eventualidades de doença, invalidez e morte.  E, por outro lado, mantêm, igualmente, a proteção já atualmente garantida pelo regime geral de segurança social nas eventualidades de maternidade, paternidade e adoção, desemprego, doenças profissionais e velhice.</w:t>
      </w:r>
    </w:p>
    <w:p w14:paraId="66EA5CFC" w14:textId="77777777" w:rsidR="00C82F0D" w:rsidRPr="00107B4D" w:rsidRDefault="00C82F0D" w:rsidP="00633A3B">
      <w:pPr>
        <w:pStyle w:val="Corpodetexto"/>
        <w:ind w:left="426" w:right="-22"/>
        <w:jc w:val="both"/>
        <w:rPr>
          <w:rFonts w:ascii="Verdana" w:hAnsi="Verdana" w:cs="Arial"/>
          <w:sz w:val="17"/>
          <w:szCs w:val="17"/>
        </w:rPr>
      </w:pPr>
    </w:p>
    <w:p w14:paraId="47FE2329" w14:textId="77777777" w:rsidR="00C82F0D" w:rsidRPr="00107B4D" w:rsidRDefault="00C82F0D" w:rsidP="00AD01ED">
      <w:pPr>
        <w:pStyle w:val="Corpodetexto"/>
        <w:ind w:left="426" w:right="-22"/>
        <w:jc w:val="both"/>
        <w:rPr>
          <w:rFonts w:ascii="Verdana" w:hAnsi="Verdana" w:cs="Arial"/>
          <w:sz w:val="17"/>
          <w:szCs w:val="17"/>
        </w:rPr>
      </w:pPr>
      <w:r w:rsidRPr="00107B4D">
        <w:rPr>
          <w:rFonts w:ascii="Verdana" w:hAnsi="Verdana" w:cs="Arial"/>
          <w:sz w:val="17"/>
          <w:szCs w:val="17"/>
        </w:rPr>
        <w:t>O Acordo Coletivo de Trabalho (ACT), publicado no Boletim do Trabalho e Emprego nº 29, de 8 de agosto de 2016, aplica-se às Instituições de Crédito, Sociedades Financeiras e outras entidades públicas ou privadas, do sector bancário, que o subscrevam e aos trabalhadores ao seu serviço filiados nos Sindicatos dos Bancários.</w:t>
      </w:r>
    </w:p>
    <w:p w14:paraId="7B97C025" w14:textId="77777777" w:rsidR="00C82F0D" w:rsidRPr="00107B4D" w:rsidRDefault="00C82F0D" w:rsidP="00AD01ED">
      <w:pPr>
        <w:pStyle w:val="Corpodetexto"/>
        <w:ind w:left="426" w:right="-22"/>
        <w:jc w:val="both"/>
        <w:rPr>
          <w:rFonts w:ascii="Verdana" w:hAnsi="Verdana" w:cs="Arial"/>
          <w:sz w:val="17"/>
          <w:szCs w:val="17"/>
          <w:lang w:eastAsia="x-none"/>
        </w:rPr>
      </w:pPr>
    </w:p>
    <w:p w14:paraId="07B34CFF" w14:textId="77777777" w:rsidR="00C82F0D" w:rsidRPr="00107B4D" w:rsidRDefault="00C82F0D" w:rsidP="00AD01ED">
      <w:pPr>
        <w:ind w:left="426"/>
        <w:jc w:val="both"/>
        <w:rPr>
          <w:rFonts w:ascii="Verdana" w:hAnsi="Verdana" w:cs="Arial"/>
          <w:sz w:val="17"/>
          <w:szCs w:val="17"/>
          <w:lang w:eastAsia="x-none" w:bidi="hi-IN"/>
        </w:rPr>
      </w:pPr>
      <w:r w:rsidRPr="00107B4D">
        <w:rPr>
          <w:rFonts w:ascii="Verdana" w:hAnsi="Verdana" w:cs="Arial"/>
          <w:sz w:val="17"/>
          <w:szCs w:val="17"/>
          <w:lang w:eastAsia="x-none" w:bidi="hi-IN"/>
        </w:rPr>
        <w:t>Foi celebrado e publicado no BTE nº 29, de 8 de agosto de 2016, o acordo coletivo de trabalho do setor Bancário, a que a PARVALOREM não veio a aderir, tendo-se iniciado a negociação de um acordo de empresa, adaptado à realidade da PARVALOREM, em especial a necessidade de compatibilizar a atualização da tabela salarial com a obrigação de redução de custos operacionais que impende sobre o Sector Empresarial do Estado.</w:t>
      </w:r>
    </w:p>
    <w:p w14:paraId="049D885D" w14:textId="77777777" w:rsidR="00C82F0D" w:rsidRPr="00107B4D" w:rsidRDefault="00C82F0D" w:rsidP="00AD01ED">
      <w:pPr>
        <w:ind w:left="426"/>
        <w:jc w:val="both"/>
        <w:rPr>
          <w:rFonts w:ascii="Verdana" w:hAnsi="Verdana" w:cs="Arial"/>
          <w:sz w:val="17"/>
          <w:szCs w:val="17"/>
          <w:lang w:eastAsia="x-none" w:bidi="hi-IN"/>
        </w:rPr>
      </w:pPr>
    </w:p>
    <w:p w14:paraId="2A851454" w14:textId="77777777" w:rsidR="00C82F0D" w:rsidRPr="00107B4D" w:rsidRDefault="00C82F0D" w:rsidP="00AD01ED">
      <w:pPr>
        <w:ind w:left="426"/>
        <w:jc w:val="both"/>
        <w:rPr>
          <w:rFonts w:ascii="Verdana" w:hAnsi="Verdana" w:cs="Arial"/>
          <w:sz w:val="17"/>
          <w:szCs w:val="17"/>
          <w:lang w:eastAsia="x-none" w:bidi="hi-IN"/>
        </w:rPr>
      </w:pPr>
      <w:r w:rsidRPr="00107B4D">
        <w:rPr>
          <w:rFonts w:ascii="Verdana" w:hAnsi="Verdana" w:cs="Arial"/>
          <w:sz w:val="17"/>
          <w:szCs w:val="17"/>
          <w:lang w:eastAsia="x-none" w:bidi="hi-IN"/>
        </w:rPr>
        <w:t xml:space="preserve">O Acordo de Empresa veio a ser celebrado com os vários Sindicatos, no final de 2020, sem atualização da tabela salarial, que será revista anualmente em função da evolução das normas aplicáveis ao Sector. </w:t>
      </w:r>
    </w:p>
    <w:p w14:paraId="4E69AB5D" w14:textId="77777777" w:rsidR="00C82F0D" w:rsidRPr="00107B4D" w:rsidRDefault="00C82F0D" w:rsidP="00AD01ED">
      <w:pPr>
        <w:ind w:left="426"/>
        <w:jc w:val="both"/>
        <w:rPr>
          <w:rFonts w:ascii="Verdana" w:hAnsi="Verdana" w:cs="Arial"/>
          <w:sz w:val="17"/>
          <w:szCs w:val="17"/>
          <w:lang w:eastAsia="x-none" w:bidi="hi-IN"/>
        </w:rPr>
      </w:pPr>
    </w:p>
    <w:p w14:paraId="46DFE840" w14:textId="77777777" w:rsidR="00C82F0D" w:rsidRPr="00107B4D" w:rsidRDefault="00C82F0D" w:rsidP="00AD01ED">
      <w:pPr>
        <w:ind w:left="426"/>
        <w:jc w:val="both"/>
        <w:rPr>
          <w:rFonts w:ascii="Verdana" w:hAnsi="Verdana" w:cs="Arial"/>
          <w:sz w:val="17"/>
          <w:szCs w:val="17"/>
          <w:lang w:eastAsia="x-none" w:bidi="hi-IN"/>
        </w:rPr>
      </w:pPr>
      <w:r w:rsidRPr="00107B4D">
        <w:rPr>
          <w:rFonts w:ascii="Verdana" w:hAnsi="Verdana" w:cs="Arial"/>
          <w:sz w:val="17"/>
          <w:szCs w:val="17"/>
          <w:lang w:eastAsia="x-none" w:bidi="hi-IN"/>
        </w:rPr>
        <w:t>Até à celebração do Acordo de Empresa, procedeu-se em linha com o disposto no anterior instrumento de regulamentação coletiva de trabalho.</w:t>
      </w:r>
    </w:p>
    <w:p w14:paraId="16DDB472" w14:textId="77777777" w:rsidR="00C82F0D" w:rsidRPr="00107B4D" w:rsidRDefault="00C82F0D" w:rsidP="00AD01ED">
      <w:pPr>
        <w:ind w:left="426"/>
        <w:jc w:val="both"/>
        <w:rPr>
          <w:rFonts w:ascii="Verdana" w:hAnsi="Verdana" w:cs="Arial"/>
          <w:sz w:val="17"/>
          <w:szCs w:val="17"/>
          <w:lang w:eastAsia="x-none" w:bidi="hi-IN"/>
        </w:rPr>
      </w:pPr>
    </w:p>
    <w:p w14:paraId="5260410B" w14:textId="77777777" w:rsidR="00C82F0D" w:rsidRPr="00107B4D" w:rsidRDefault="00C82F0D" w:rsidP="00633A3B">
      <w:pPr>
        <w:pStyle w:val="Corpodetexto"/>
        <w:ind w:left="426" w:right="-22"/>
        <w:jc w:val="both"/>
        <w:rPr>
          <w:rFonts w:ascii="Verdana" w:hAnsi="Verdana" w:cs="Arial"/>
          <w:sz w:val="17"/>
          <w:szCs w:val="17"/>
        </w:rPr>
      </w:pPr>
      <w:r w:rsidRPr="00107B4D">
        <w:rPr>
          <w:rFonts w:ascii="Verdana" w:hAnsi="Verdana" w:cs="Arial"/>
          <w:sz w:val="17"/>
          <w:szCs w:val="17"/>
        </w:rPr>
        <w:t>Neste contexto, os benefícios que continuam como responsabilidade da Sociedade são os seguintes:</w:t>
      </w:r>
    </w:p>
    <w:p w14:paraId="51AC35B6" w14:textId="77777777" w:rsidR="00C82F0D" w:rsidRDefault="00C82F0D">
      <w:pPr>
        <w:rPr>
          <w:rFonts w:ascii="Verdana" w:hAnsi="Verdana" w:cs="Arial"/>
          <w:color w:val="000000"/>
          <w:sz w:val="17"/>
          <w:szCs w:val="17"/>
          <w:u w:val="single"/>
        </w:rPr>
      </w:pPr>
    </w:p>
    <w:p w14:paraId="5695647A" w14:textId="77777777" w:rsidR="00C82F0D" w:rsidRPr="00107B4D" w:rsidRDefault="00C82F0D" w:rsidP="00633A3B">
      <w:pPr>
        <w:ind w:left="426" w:right="-22"/>
        <w:jc w:val="both"/>
        <w:rPr>
          <w:rFonts w:ascii="Verdana" w:hAnsi="Verdana" w:cs="Arial"/>
          <w:sz w:val="17"/>
          <w:szCs w:val="17"/>
        </w:rPr>
      </w:pPr>
      <w:r w:rsidRPr="00107B4D">
        <w:rPr>
          <w:rFonts w:ascii="Verdana" w:hAnsi="Verdana" w:cs="Arial"/>
          <w:color w:val="000000"/>
          <w:sz w:val="17"/>
          <w:szCs w:val="17"/>
          <w:u w:val="single"/>
        </w:rPr>
        <w:t>Encargos com Saúde</w:t>
      </w:r>
    </w:p>
    <w:p w14:paraId="3C3C8299" w14:textId="77777777" w:rsidR="00C82F0D" w:rsidRPr="00107B4D" w:rsidRDefault="00C82F0D" w:rsidP="00633A3B">
      <w:pPr>
        <w:tabs>
          <w:tab w:val="left" w:pos="426"/>
          <w:tab w:val="left" w:pos="1276"/>
        </w:tabs>
        <w:ind w:left="400" w:right="-22" w:firstLine="26"/>
        <w:jc w:val="both"/>
        <w:rPr>
          <w:rFonts w:ascii="Verdana" w:hAnsi="Verdana" w:cs="Arial"/>
          <w:sz w:val="17"/>
          <w:szCs w:val="17"/>
        </w:rPr>
      </w:pPr>
    </w:p>
    <w:p w14:paraId="786AFF18" w14:textId="77777777" w:rsidR="00C82F0D" w:rsidRPr="00107B4D" w:rsidRDefault="00C82F0D" w:rsidP="00633A3B">
      <w:pPr>
        <w:pStyle w:val="Corpodetexto"/>
        <w:ind w:left="426" w:right="-22"/>
        <w:jc w:val="both"/>
        <w:rPr>
          <w:rFonts w:ascii="Verdana" w:hAnsi="Verdana" w:cs="Arial"/>
          <w:sz w:val="17"/>
          <w:szCs w:val="17"/>
        </w:rPr>
      </w:pPr>
      <w:r w:rsidRPr="00107B4D">
        <w:rPr>
          <w:rFonts w:ascii="Verdana" w:hAnsi="Verdana" w:cs="Arial"/>
          <w:sz w:val="17"/>
          <w:szCs w:val="17"/>
        </w:rPr>
        <w:t xml:space="preserve">A assistência médica aos empregados no ativo e pensionistas da Sociedade está a cargo dos Serviços de Assistência Médico-Social (SAMS) e da Segurança Social. A contribuição anual da Sociedade para o SAMS </w:t>
      </w:r>
      <w:r w:rsidRPr="002060C3">
        <w:rPr>
          <w:rFonts w:ascii="Verdana" w:hAnsi="Verdana" w:cs="Arial"/>
          <w:sz w:val="17"/>
          <w:szCs w:val="17"/>
        </w:rPr>
        <w:t xml:space="preserve">corresponde a 6,5% do total das retribuições efetivas dos trabalhadores no ativo e pensionistas. Em 31 de dezembro de 2025 e 2024, esta responsabilidade ascende a 1.129 </w:t>
      </w:r>
      <w:proofErr w:type="spellStart"/>
      <w:proofErr w:type="gramStart"/>
      <w:r w:rsidRPr="002060C3">
        <w:rPr>
          <w:rFonts w:ascii="Verdana" w:hAnsi="Verdana" w:cs="Arial"/>
          <w:sz w:val="17"/>
          <w:szCs w:val="17"/>
        </w:rPr>
        <w:t>m.euros</w:t>
      </w:r>
      <w:proofErr w:type="spellEnd"/>
      <w:proofErr w:type="gramEnd"/>
      <w:r w:rsidRPr="002060C3">
        <w:rPr>
          <w:rFonts w:ascii="Verdana" w:hAnsi="Verdana" w:cs="Arial"/>
          <w:sz w:val="17"/>
          <w:szCs w:val="17"/>
        </w:rPr>
        <w:t xml:space="preserve"> e 1.117 </w:t>
      </w:r>
      <w:proofErr w:type="spellStart"/>
      <w:proofErr w:type="gramStart"/>
      <w:r w:rsidRPr="002060C3">
        <w:rPr>
          <w:rFonts w:ascii="Verdana" w:hAnsi="Verdana" w:cs="Arial"/>
          <w:sz w:val="17"/>
          <w:szCs w:val="17"/>
        </w:rPr>
        <w:t>m.euros</w:t>
      </w:r>
      <w:proofErr w:type="spellEnd"/>
      <w:proofErr w:type="gramEnd"/>
      <w:r w:rsidRPr="002060C3">
        <w:rPr>
          <w:rFonts w:ascii="Verdana" w:hAnsi="Verdana" w:cs="Arial"/>
          <w:sz w:val="17"/>
          <w:szCs w:val="17"/>
        </w:rPr>
        <w:t>, respetivamente.</w:t>
      </w:r>
    </w:p>
    <w:p w14:paraId="3BC941EA" w14:textId="77777777" w:rsidR="00C82F0D" w:rsidRPr="00107B4D" w:rsidRDefault="00C82F0D" w:rsidP="00633A3B">
      <w:pPr>
        <w:pStyle w:val="Corpodetexto"/>
        <w:ind w:left="426" w:right="-22"/>
        <w:jc w:val="both"/>
        <w:rPr>
          <w:rFonts w:ascii="Verdana" w:hAnsi="Verdana" w:cs="Arial"/>
          <w:sz w:val="17"/>
          <w:szCs w:val="17"/>
        </w:rPr>
      </w:pPr>
    </w:p>
    <w:p w14:paraId="32F29423" w14:textId="77777777" w:rsidR="00C82F0D" w:rsidRPr="00107B4D" w:rsidRDefault="00C82F0D" w:rsidP="00633A3B">
      <w:pPr>
        <w:ind w:left="426" w:right="-22"/>
        <w:jc w:val="both"/>
        <w:rPr>
          <w:rFonts w:ascii="Verdana" w:hAnsi="Verdana" w:cs="Arial"/>
          <w:color w:val="000000"/>
          <w:sz w:val="17"/>
          <w:szCs w:val="17"/>
          <w:u w:val="single"/>
        </w:rPr>
      </w:pPr>
      <w:r w:rsidRPr="00107B4D">
        <w:rPr>
          <w:rFonts w:ascii="Verdana" w:hAnsi="Verdana" w:cs="Arial"/>
          <w:color w:val="000000"/>
          <w:sz w:val="17"/>
          <w:szCs w:val="17"/>
          <w:u w:val="single"/>
        </w:rPr>
        <w:t>Subsídio por morte antes da idade da reforma</w:t>
      </w:r>
    </w:p>
    <w:p w14:paraId="1F29CC4C" w14:textId="77777777" w:rsidR="00C82F0D" w:rsidRPr="00107B4D" w:rsidRDefault="00C82F0D" w:rsidP="00633A3B">
      <w:pPr>
        <w:autoSpaceDE w:val="0"/>
        <w:autoSpaceDN w:val="0"/>
        <w:adjustRightInd w:val="0"/>
        <w:ind w:left="360" w:right="-22"/>
        <w:jc w:val="both"/>
        <w:rPr>
          <w:rFonts w:ascii="Verdana" w:hAnsi="Verdana" w:cs="Arial"/>
          <w:color w:val="000000"/>
          <w:sz w:val="17"/>
          <w:szCs w:val="17"/>
        </w:rPr>
      </w:pPr>
    </w:p>
    <w:p w14:paraId="218F4153" w14:textId="77777777" w:rsidR="00C82F0D" w:rsidRDefault="00C82F0D" w:rsidP="00633A3B">
      <w:pPr>
        <w:pStyle w:val="Corpodetexto"/>
        <w:ind w:left="426" w:right="-22"/>
        <w:jc w:val="both"/>
        <w:rPr>
          <w:rFonts w:ascii="Verdana" w:hAnsi="Verdana" w:cs="Arial"/>
          <w:sz w:val="17"/>
          <w:szCs w:val="17"/>
        </w:rPr>
      </w:pPr>
      <w:r w:rsidRPr="00107B4D">
        <w:rPr>
          <w:rFonts w:ascii="Verdana" w:hAnsi="Verdana" w:cs="Arial"/>
          <w:sz w:val="17"/>
          <w:szCs w:val="17"/>
        </w:rPr>
        <w:t xml:space="preserve">A Sociedade assumiu o compromisso de pagar aos seus empregados as responsabilidades com subsídio </w:t>
      </w:r>
      <w:r w:rsidRPr="0038228D">
        <w:rPr>
          <w:rFonts w:ascii="Verdana" w:hAnsi="Verdana" w:cs="Arial"/>
          <w:sz w:val="17"/>
          <w:szCs w:val="17"/>
        </w:rPr>
        <w:t xml:space="preserve">por morte, nos termos previstos no Acordo Coletivo de Trabalho Vertical (ACTV) para o setor bancário. Em 31 de dezembro de 2025 e 2024, esta responsabilidade ascende a 9 </w:t>
      </w:r>
      <w:proofErr w:type="spellStart"/>
      <w:proofErr w:type="gramStart"/>
      <w:r w:rsidRPr="0038228D">
        <w:rPr>
          <w:rFonts w:ascii="Verdana" w:hAnsi="Verdana" w:cs="Arial"/>
          <w:sz w:val="17"/>
          <w:szCs w:val="17"/>
        </w:rPr>
        <w:t>m.euros</w:t>
      </w:r>
      <w:proofErr w:type="spellEnd"/>
      <w:proofErr w:type="gramEnd"/>
      <w:r w:rsidRPr="0038228D">
        <w:rPr>
          <w:rFonts w:ascii="Verdana" w:hAnsi="Verdana" w:cs="Arial"/>
          <w:sz w:val="17"/>
          <w:szCs w:val="17"/>
        </w:rPr>
        <w:t xml:space="preserve"> em ambos os exercícios.</w:t>
      </w:r>
    </w:p>
    <w:p w14:paraId="0FC9CC18" w14:textId="77777777" w:rsidR="00C82F0D" w:rsidRPr="00107B4D" w:rsidRDefault="00C82F0D" w:rsidP="00633A3B">
      <w:pPr>
        <w:pStyle w:val="Corpodetexto"/>
        <w:ind w:left="426" w:right="-22"/>
        <w:jc w:val="both"/>
        <w:rPr>
          <w:rFonts w:ascii="Verdana" w:hAnsi="Verdana" w:cs="Arial"/>
          <w:sz w:val="17"/>
          <w:szCs w:val="17"/>
        </w:rPr>
      </w:pPr>
    </w:p>
    <w:p w14:paraId="4BA77E5F" w14:textId="77777777" w:rsidR="00C82F0D" w:rsidRPr="00107B4D" w:rsidRDefault="00C82F0D" w:rsidP="00633A3B">
      <w:pPr>
        <w:ind w:right="-22" w:firstLine="426"/>
        <w:jc w:val="both"/>
        <w:rPr>
          <w:rFonts w:ascii="Verdana" w:hAnsi="Verdana" w:cs="Arial"/>
          <w:color w:val="000000"/>
          <w:sz w:val="17"/>
          <w:szCs w:val="17"/>
          <w:u w:val="single"/>
        </w:rPr>
      </w:pPr>
    </w:p>
    <w:p w14:paraId="73A7F18D" w14:textId="77777777" w:rsidR="00C82F0D" w:rsidRPr="00107B4D" w:rsidRDefault="00C82F0D" w:rsidP="00633A3B">
      <w:pPr>
        <w:ind w:right="-22" w:firstLine="426"/>
        <w:jc w:val="both"/>
        <w:rPr>
          <w:rFonts w:ascii="Verdana" w:hAnsi="Verdana" w:cs="Arial"/>
          <w:color w:val="000000"/>
          <w:sz w:val="17"/>
          <w:szCs w:val="17"/>
          <w:u w:val="single"/>
        </w:rPr>
      </w:pPr>
      <w:r w:rsidRPr="00107B4D">
        <w:rPr>
          <w:rFonts w:ascii="Verdana" w:hAnsi="Verdana" w:cs="Arial"/>
          <w:color w:val="000000"/>
          <w:sz w:val="17"/>
          <w:szCs w:val="17"/>
          <w:u w:val="single"/>
        </w:rPr>
        <w:lastRenderedPageBreak/>
        <w:t>Prémio de antiguidade</w:t>
      </w:r>
    </w:p>
    <w:p w14:paraId="0CEAB5C5" w14:textId="77777777" w:rsidR="00C82F0D" w:rsidRPr="00107B4D" w:rsidRDefault="00C82F0D" w:rsidP="00633A3B">
      <w:pPr>
        <w:ind w:right="-22" w:firstLine="426"/>
        <w:jc w:val="both"/>
        <w:rPr>
          <w:rFonts w:ascii="Verdana" w:hAnsi="Verdana" w:cs="Arial"/>
          <w:color w:val="000000"/>
          <w:sz w:val="17"/>
          <w:szCs w:val="17"/>
          <w:u w:val="single"/>
        </w:rPr>
      </w:pPr>
    </w:p>
    <w:p w14:paraId="234C10AC" w14:textId="77777777" w:rsidR="00C82F0D" w:rsidRPr="00107B4D" w:rsidRDefault="00C82F0D" w:rsidP="00633A3B">
      <w:pPr>
        <w:pStyle w:val="Corpodetexto"/>
        <w:ind w:left="426" w:right="-22"/>
        <w:jc w:val="both"/>
        <w:rPr>
          <w:rFonts w:ascii="Verdana" w:hAnsi="Verdana" w:cs="Arial"/>
          <w:sz w:val="17"/>
          <w:szCs w:val="17"/>
        </w:rPr>
      </w:pPr>
      <w:r w:rsidRPr="00107B4D">
        <w:rPr>
          <w:rFonts w:ascii="Verdana" w:hAnsi="Verdana" w:cs="Arial"/>
          <w:sz w:val="17"/>
          <w:szCs w:val="17"/>
        </w:rPr>
        <w:t xml:space="preserve">A Sociedade paga um prémio a todos os trabalhadores que completem quinze, vinte e cinco e trinta anos de efetivo serviço, nesse ano, de valor igual a um, dois ou três meses da sua </w:t>
      </w:r>
      <w:r w:rsidRPr="0038228D">
        <w:rPr>
          <w:rFonts w:ascii="Verdana" w:hAnsi="Verdana" w:cs="Arial"/>
          <w:sz w:val="17"/>
          <w:szCs w:val="17"/>
        </w:rPr>
        <w:t>retribuição mensal efetiva.  Adicionalmente, é pago um prémio aos trabalhadores que se encontrem numa situação de passagem à situação de invalidez ou invalidez presumível de valor proporcional àquele de que beneficiariam se continuassem ao serviço até reunir os pressupostos do escalão seguinte.  Em 31 de dezembro de 2025 e 2024, esta responsabilidade ascende a 4</w:t>
      </w:r>
      <w:r>
        <w:rPr>
          <w:rFonts w:ascii="Verdana" w:hAnsi="Verdana" w:cs="Arial"/>
          <w:sz w:val="17"/>
          <w:szCs w:val="17"/>
        </w:rPr>
        <w:t>66</w:t>
      </w:r>
      <w:r w:rsidRPr="0038228D">
        <w:rPr>
          <w:rFonts w:ascii="Verdana" w:hAnsi="Verdana" w:cs="Arial"/>
          <w:sz w:val="17"/>
          <w:szCs w:val="17"/>
        </w:rPr>
        <w:t xml:space="preserve"> </w:t>
      </w:r>
      <w:proofErr w:type="spellStart"/>
      <w:proofErr w:type="gramStart"/>
      <w:r w:rsidRPr="0038228D">
        <w:rPr>
          <w:rFonts w:ascii="Verdana" w:hAnsi="Verdana" w:cs="Arial"/>
          <w:sz w:val="17"/>
          <w:szCs w:val="17"/>
        </w:rPr>
        <w:t>m.euros</w:t>
      </w:r>
      <w:proofErr w:type="spellEnd"/>
      <w:proofErr w:type="gramEnd"/>
      <w:r w:rsidRPr="0038228D">
        <w:rPr>
          <w:rFonts w:ascii="Verdana" w:hAnsi="Verdana" w:cs="Arial"/>
          <w:sz w:val="17"/>
          <w:szCs w:val="17"/>
        </w:rPr>
        <w:t xml:space="preserve"> e 4</w:t>
      </w:r>
      <w:r>
        <w:rPr>
          <w:rFonts w:ascii="Verdana" w:hAnsi="Verdana" w:cs="Arial"/>
          <w:sz w:val="17"/>
          <w:szCs w:val="17"/>
        </w:rPr>
        <w:t>85</w:t>
      </w:r>
      <w:r w:rsidRPr="0038228D">
        <w:rPr>
          <w:rFonts w:ascii="Verdana" w:hAnsi="Verdana" w:cs="Arial"/>
          <w:sz w:val="17"/>
          <w:szCs w:val="17"/>
        </w:rPr>
        <w:t xml:space="preserve"> </w:t>
      </w:r>
      <w:proofErr w:type="spellStart"/>
      <w:proofErr w:type="gramStart"/>
      <w:r w:rsidRPr="0038228D">
        <w:rPr>
          <w:rFonts w:ascii="Verdana" w:hAnsi="Verdana" w:cs="Arial"/>
          <w:sz w:val="17"/>
          <w:szCs w:val="17"/>
        </w:rPr>
        <w:t>m.euros</w:t>
      </w:r>
      <w:proofErr w:type="spellEnd"/>
      <w:proofErr w:type="gramEnd"/>
      <w:r w:rsidRPr="0038228D">
        <w:rPr>
          <w:rFonts w:ascii="Verdana" w:hAnsi="Verdana" w:cs="Arial"/>
          <w:sz w:val="17"/>
          <w:szCs w:val="17"/>
        </w:rPr>
        <w:t>, respetivamente.</w:t>
      </w:r>
    </w:p>
    <w:p w14:paraId="3828629D" w14:textId="77777777" w:rsidR="00C82F0D" w:rsidRPr="00107B4D" w:rsidRDefault="00C82F0D" w:rsidP="00633A3B">
      <w:pPr>
        <w:pStyle w:val="Corpodetexto"/>
        <w:ind w:left="426" w:right="-22"/>
        <w:jc w:val="both"/>
        <w:rPr>
          <w:rFonts w:ascii="Verdana" w:hAnsi="Verdana" w:cs="Arial"/>
          <w:sz w:val="17"/>
          <w:szCs w:val="17"/>
        </w:rPr>
      </w:pPr>
    </w:p>
    <w:p w14:paraId="005BE97F" w14:textId="77777777" w:rsidR="00C82F0D" w:rsidRPr="00107B4D" w:rsidRDefault="00C82F0D" w:rsidP="00633A3B">
      <w:pPr>
        <w:pStyle w:val="Corpodetexto"/>
        <w:ind w:left="426" w:right="-22"/>
        <w:jc w:val="both"/>
        <w:rPr>
          <w:rFonts w:ascii="Verdana" w:hAnsi="Verdana" w:cs="Arial"/>
          <w:sz w:val="17"/>
          <w:szCs w:val="17"/>
        </w:rPr>
      </w:pPr>
      <w:r w:rsidRPr="00107B4D">
        <w:rPr>
          <w:rFonts w:ascii="Verdana" w:hAnsi="Verdana" w:cs="Arial"/>
          <w:sz w:val="17"/>
          <w:szCs w:val="17"/>
        </w:rPr>
        <w:t>Nos exercícios de 202</w:t>
      </w:r>
      <w:r>
        <w:rPr>
          <w:rFonts w:ascii="Verdana" w:hAnsi="Verdana" w:cs="Arial"/>
          <w:sz w:val="17"/>
          <w:szCs w:val="17"/>
        </w:rPr>
        <w:t>5</w:t>
      </w:r>
      <w:r w:rsidRPr="00107B4D">
        <w:rPr>
          <w:rFonts w:ascii="Verdana" w:hAnsi="Verdana" w:cs="Arial"/>
          <w:sz w:val="17"/>
          <w:szCs w:val="17"/>
        </w:rPr>
        <w:t xml:space="preserve"> e 202</w:t>
      </w:r>
      <w:r>
        <w:rPr>
          <w:rFonts w:ascii="Verdana" w:hAnsi="Verdana" w:cs="Arial"/>
          <w:sz w:val="17"/>
          <w:szCs w:val="17"/>
        </w:rPr>
        <w:t>4</w:t>
      </w:r>
      <w:r w:rsidRPr="00107B4D">
        <w:rPr>
          <w:rFonts w:ascii="Verdana" w:hAnsi="Verdana" w:cs="Arial"/>
          <w:sz w:val="17"/>
          <w:szCs w:val="17"/>
        </w:rPr>
        <w:t>, os impactos com as responsabilidades acima referidas foram registados na rubrica “Gastos com pessoal” (Nota 2</w:t>
      </w:r>
      <w:r>
        <w:rPr>
          <w:rFonts w:ascii="Verdana" w:hAnsi="Verdana" w:cs="Arial"/>
          <w:sz w:val="17"/>
          <w:szCs w:val="17"/>
        </w:rPr>
        <w:t>2</w:t>
      </w:r>
      <w:r w:rsidRPr="00107B4D">
        <w:rPr>
          <w:rFonts w:ascii="Verdana" w:hAnsi="Verdana" w:cs="Arial"/>
          <w:sz w:val="17"/>
          <w:szCs w:val="17"/>
        </w:rPr>
        <w:t xml:space="preserve">), com exceção dos ganhos e perdas atuariais que foram </w:t>
      </w:r>
      <w:r w:rsidRPr="00107B4D">
        <w:rPr>
          <w:rFonts w:ascii="Verdana" w:hAnsi="Verdana" w:cs="Arial"/>
          <w:color w:val="000000"/>
          <w:sz w:val="17"/>
          <w:szCs w:val="17"/>
        </w:rPr>
        <w:t>registados numa rubrica de reserva de reavaliação do capital próprio.</w:t>
      </w:r>
    </w:p>
    <w:p w14:paraId="6119530C" w14:textId="77777777" w:rsidR="00C82F0D" w:rsidRPr="00107B4D" w:rsidRDefault="00C82F0D" w:rsidP="00633A3B">
      <w:pPr>
        <w:jc w:val="both"/>
        <w:rPr>
          <w:rFonts w:ascii="Verdana" w:hAnsi="Verdana" w:cs="Arial"/>
          <w:color w:val="000000"/>
          <w:sz w:val="17"/>
          <w:szCs w:val="17"/>
        </w:rPr>
      </w:pPr>
    </w:p>
    <w:p w14:paraId="2393F01E" w14:textId="77777777" w:rsidR="00C82F0D" w:rsidRPr="00107B4D" w:rsidRDefault="00C82F0D" w:rsidP="009F7214">
      <w:pPr>
        <w:autoSpaceDE w:val="0"/>
        <w:autoSpaceDN w:val="0"/>
        <w:adjustRightInd w:val="0"/>
        <w:ind w:left="426" w:right="-22"/>
        <w:jc w:val="both"/>
        <w:rPr>
          <w:rFonts w:ascii="Verdana" w:hAnsi="Verdana" w:cs="Arial"/>
          <w:color w:val="000000"/>
          <w:sz w:val="17"/>
          <w:szCs w:val="17"/>
        </w:rPr>
      </w:pPr>
      <w:r w:rsidRPr="00107B4D">
        <w:rPr>
          <w:rFonts w:ascii="Verdana" w:hAnsi="Verdana" w:cs="Arial"/>
          <w:color w:val="000000"/>
          <w:sz w:val="17"/>
          <w:szCs w:val="17"/>
        </w:rPr>
        <w:t xml:space="preserve">Para determinação das responsabilidades da Sociedade, com referência a 31 de dezembro de </w:t>
      </w:r>
      <w:r w:rsidRPr="00107B4D">
        <w:rPr>
          <w:rFonts w:ascii="Verdana" w:hAnsi="Verdana" w:cs="Arial"/>
          <w:sz w:val="17"/>
          <w:szCs w:val="17"/>
        </w:rPr>
        <w:t>202</w:t>
      </w:r>
      <w:r>
        <w:rPr>
          <w:rFonts w:ascii="Verdana" w:hAnsi="Verdana" w:cs="Arial"/>
          <w:sz w:val="17"/>
          <w:szCs w:val="17"/>
        </w:rPr>
        <w:t>5</w:t>
      </w:r>
      <w:r w:rsidRPr="00107B4D">
        <w:rPr>
          <w:rFonts w:ascii="Verdana" w:hAnsi="Verdana" w:cs="Arial"/>
          <w:sz w:val="17"/>
          <w:szCs w:val="17"/>
        </w:rPr>
        <w:t xml:space="preserve"> e 202</w:t>
      </w:r>
      <w:r>
        <w:rPr>
          <w:rFonts w:ascii="Verdana" w:hAnsi="Verdana" w:cs="Arial"/>
          <w:sz w:val="17"/>
          <w:szCs w:val="17"/>
        </w:rPr>
        <w:t>4</w:t>
      </w:r>
      <w:r w:rsidRPr="00107B4D">
        <w:rPr>
          <w:rFonts w:ascii="Verdana" w:hAnsi="Verdana" w:cs="Arial"/>
          <w:color w:val="000000"/>
          <w:sz w:val="17"/>
          <w:szCs w:val="17"/>
        </w:rPr>
        <w:t>, foram efetuados estudos atuariais por entidades especializadas.</w:t>
      </w:r>
    </w:p>
    <w:p w14:paraId="7D6F8151" w14:textId="77777777" w:rsidR="00C82F0D" w:rsidRPr="00107B4D" w:rsidRDefault="00C82F0D" w:rsidP="00633A3B">
      <w:pPr>
        <w:autoSpaceDE w:val="0"/>
        <w:autoSpaceDN w:val="0"/>
        <w:adjustRightInd w:val="0"/>
        <w:ind w:left="142" w:right="-22"/>
        <w:jc w:val="both"/>
        <w:rPr>
          <w:rFonts w:ascii="Verdana" w:hAnsi="Verdana" w:cs="Arial"/>
          <w:color w:val="000000"/>
          <w:sz w:val="17"/>
          <w:szCs w:val="17"/>
        </w:rPr>
      </w:pPr>
    </w:p>
    <w:p w14:paraId="39C0F923" w14:textId="77777777" w:rsidR="00C82F0D" w:rsidRPr="00107B4D" w:rsidRDefault="00C82F0D" w:rsidP="00633A3B">
      <w:pPr>
        <w:autoSpaceDE w:val="0"/>
        <w:autoSpaceDN w:val="0"/>
        <w:adjustRightInd w:val="0"/>
        <w:ind w:left="426" w:right="-22"/>
        <w:jc w:val="both"/>
        <w:rPr>
          <w:rFonts w:ascii="Verdana" w:hAnsi="Verdana" w:cs="Arial"/>
          <w:color w:val="000000"/>
          <w:sz w:val="17"/>
          <w:szCs w:val="17"/>
        </w:rPr>
      </w:pPr>
      <w:r w:rsidRPr="00107B4D">
        <w:rPr>
          <w:rFonts w:ascii="Verdana" w:hAnsi="Verdana" w:cs="Arial"/>
          <w:color w:val="000000"/>
          <w:sz w:val="17"/>
          <w:szCs w:val="17"/>
        </w:rPr>
        <w:t xml:space="preserve">Em </w:t>
      </w:r>
      <w:r w:rsidRPr="00107B4D">
        <w:rPr>
          <w:rFonts w:ascii="Verdana" w:hAnsi="Verdana" w:cs="Arial"/>
          <w:sz w:val="17"/>
          <w:szCs w:val="17"/>
        </w:rPr>
        <w:t>31 de dezembro de 202</w:t>
      </w:r>
      <w:r>
        <w:rPr>
          <w:rFonts w:ascii="Verdana" w:hAnsi="Verdana" w:cs="Arial"/>
          <w:sz w:val="17"/>
          <w:szCs w:val="17"/>
        </w:rPr>
        <w:t>5</w:t>
      </w:r>
      <w:r w:rsidRPr="00107B4D">
        <w:rPr>
          <w:rFonts w:ascii="Verdana" w:hAnsi="Verdana" w:cs="Arial"/>
          <w:sz w:val="17"/>
          <w:szCs w:val="17"/>
        </w:rPr>
        <w:t xml:space="preserve"> e 202</w:t>
      </w:r>
      <w:r>
        <w:rPr>
          <w:rFonts w:ascii="Verdana" w:hAnsi="Verdana" w:cs="Arial"/>
          <w:sz w:val="17"/>
          <w:szCs w:val="17"/>
        </w:rPr>
        <w:t>4</w:t>
      </w:r>
      <w:r w:rsidRPr="00107B4D">
        <w:rPr>
          <w:rFonts w:ascii="Verdana" w:hAnsi="Verdana" w:cs="Arial"/>
          <w:sz w:val="17"/>
          <w:szCs w:val="17"/>
        </w:rPr>
        <w:t xml:space="preserve"> </w:t>
      </w:r>
      <w:r w:rsidRPr="00107B4D">
        <w:rPr>
          <w:rFonts w:ascii="Verdana" w:hAnsi="Verdana" w:cs="Arial"/>
          <w:color w:val="000000"/>
          <w:sz w:val="17"/>
          <w:szCs w:val="17"/>
        </w:rPr>
        <w:t>os pressupostos e as bases técnicas utilizados foram as seguintes:</w:t>
      </w:r>
    </w:p>
    <w:p w14:paraId="3B227F2B" w14:textId="77777777" w:rsidR="00C82F0D" w:rsidRPr="00107B4D" w:rsidRDefault="00C82F0D" w:rsidP="00633A3B">
      <w:pPr>
        <w:autoSpaceDE w:val="0"/>
        <w:autoSpaceDN w:val="0"/>
        <w:adjustRightInd w:val="0"/>
        <w:ind w:left="426" w:right="-22"/>
        <w:jc w:val="both"/>
        <w:rPr>
          <w:rFonts w:ascii="Verdana" w:hAnsi="Verdana" w:cs="Arial"/>
          <w:color w:val="000000"/>
          <w:sz w:val="17"/>
          <w:szCs w:val="17"/>
        </w:rPr>
      </w:pPr>
    </w:p>
    <w:p w14:paraId="35756B17" w14:textId="77777777" w:rsidR="00C82F0D" w:rsidRPr="00107B4D" w:rsidRDefault="00C82F0D" w:rsidP="00633A3B">
      <w:pPr>
        <w:autoSpaceDE w:val="0"/>
        <w:autoSpaceDN w:val="0"/>
        <w:adjustRightInd w:val="0"/>
        <w:ind w:left="426" w:right="-22"/>
        <w:jc w:val="both"/>
        <w:rPr>
          <w:rFonts w:ascii="Verdana" w:hAnsi="Verdana" w:cs="Arial"/>
          <w:color w:val="000000"/>
          <w:sz w:val="17"/>
          <w:szCs w:val="17"/>
        </w:rPr>
      </w:pPr>
      <w:r w:rsidRPr="004F1E05">
        <w:rPr>
          <w:noProof/>
        </w:rPr>
        <w:drawing>
          <wp:inline distT="0" distB="0" distL="0" distR="0" wp14:anchorId="7E656D66" wp14:editId="1422DB84">
            <wp:extent cx="5133109" cy="919903"/>
            <wp:effectExtent l="0" t="0" r="0" b="0"/>
            <wp:docPr id="131634740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78083" cy="927963"/>
                    </a:xfrm>
                    <a:prstGeom prst="rect">
                      <a:avLst/>
                    </a:prstGeom>
                    <a:noFill/>
                    <a:ln>
                      <a:noFill/>
                    </a:ln>
                  </pic:spPr>
                </pic:pic>
              </a:graphicData>
            </a:graphic>
          </wp:inline>
        </w:drawing>
      </w:r>
    </w:p>
    <w:p w14:paraId="749A1C5B" w14:textId="77777777" w:rsidR="00C82F0D" w:rsidRPr="00107B4D" w:rsidRDefault="00C82F0D">
      <w:pPr>
        <w:rPr>
          <w:rFonts w:ascii="Verdana" w:hAnsi="Verdana" w:cs="Arial"/>
          <w:color w:val="000000"/>
          <w:sz w:val="17"/>
          <w:szCs w:val="17"/>
        </w:rPr>
      </w:pPr>
    </w:p>
    <w:p w14:paraId="573EC871" w14:textId="77777777" w:rsidR="00C82F0D" w:rsidRPr="00107B4D" w:rsidRDefault="00C82F0D" w:rsidP="00633A3B">
      <w:pPr>
        <w:autoSpaceDE w:val="0"/>
        <w:autoSpaceDN w:val="0"/>
        <w:adjustRightInd w:val="0"/>
        <w:ind w:left="426" w:right="-22"/>
        <w:jc w:val="both"/>
        <w:rPr>
          <w:rFonts w:ascii="Verdana" w:hAnsi="Verdana" w:cs="Arial"/>
          <w:color w:val="000000"/>
          <w:sz w:val="17"/>
          <w:szCs w:val="17"/>
        </w:rPr>
      </w:pPr>
      <w:r w:rsidRPr="00107B4D">
        <w:rPr>
          <w:rFonts w:ascii="Verdana" w:hAnsi="Verdana" w:cs="Arial"/>
          <w:color w:val="000000"/>
          <w:sz w:val="17"/>
          <w:szCs w:val="17"/>
        </w:rPr>
        <w:t xml:space="preserve">O movimento ocorrido nas responsabilidades com encargos com saúde, subsídio por morte e prémio de antiguidade nos exercícios findos em </w:t>
      </w:r>
      <w:r w:rsidRPr="00107B4D">
        <w:rPr>
          <w:rFonts w:ascii="Verdana" w:hAnsi="Verdana" w:cs="Arial"/>
          <w:sz w:val="17"/>
          <w:szCs w:val="17"/>
        </w:rPr>
        <w:t>31 de dezembro de 202</w:t>
      </w:r>
      <w:r>
        <w:rPr>
          <w:rFonts w:ascii="Verdana" w:hAnsi="Verdana" w:cs="Arial"/>
          <w:sz w:val="17"/>
          <w:szCs w:val="17"/>
        </w:rPr>
        <w:t>5</w:t>
      </w:r>
      <w:r w:rsidRPr="00107B4D">
        <w:rPr>
          <w:rFonts w:ascii="Verdana" w:hAnsi="Verdana" w:cs="Arial"/>
          <w:sz w:val="17"/>
          <w:szCs w:val="17"/>
        </w:rPr>
        <w:t xml:space="preserve"> e 202</w:t>
      </w:r>
      <w:r>
        <w:rPr>
          <w:rFonts w:ascii="Verdana" w:hAnsi="Verdana" w:cs="Arial"/>
          <w:sz w:val="17"/>
          <w:szCs w:val="17"/>
        </w:rPr>
        <w:t xml:space="preserve">4 </w:t>
      </w:r>
      <w:r w:rsidRPr="00107B4D">
        <w:rPr>
          <w:rFonts w:ascii="Verdana" w:hAnsi="Verdana" w:cs="Arial"/>
          <w:color w:val="000000"/>
          <w:sz w:val="17"/>
          <w:szCs w:val="17"/>
        </w:rPr>
        <w:t>pode ser detalhado como segue:</w:t>
      </w:r>
    </w:p>
    <w:p w14:paraId="1E9C7AC8" w14:textId="77777777" w:rsidR="00C82F0D" w:rsidRPr="00107B4D" w:rsidRDefault="00C82F0D" w:rsidP="00633A3B">
      <w:pPr>
        <w:autoSpaceDE w:val="0"/>
        <w:autoSpaceDN w:val="0"/>
        <w:adjustRightInd w:val="0"/>
        <w:ind w:left="426" w:right="-22"/>
        <w:jc w:val="both"/>
        <w:rPr>
          <w:rFonts w:ascii="Verdana" w:hAnsi="Verdana" w:cs="Arial"/>
          <w:color w:val="000000"/>
          <w:sz w:val="17"/>
          <w:szCs w:val="17"/>
        </w:rPr>
      </w:pPr>
    </w:p>
    <w:p w14:paraId="741F1B6D" w14:textId="77777777" w:rsidR="00C82F0D" w:rsidRPr="00107B4D" w:rsidRDefault="00C82F0D" w:rsidP="00633A3B">
      <w:pPr>
        <w:autoSpaceDE w:val="0"/>
        <w:autoSpaceDN w:val="0"/>
        <w:adjustRightInd w:val="0"/>
        <w:ind w:left="426" w:right="-22"/>
        <w:jc w:val="both"/>
        <w:rPr>
          <w:rFonts w:ascii="Verdana" w:hAnsi="Verdana" w:cs="Arial"/>
          <w:color w:val="000000"/>
          <w:sz w:val="17"/>
          <w:szCs w:val="17"/>
        </w:rPr>
      </w:pPr>
      <w:r w:rsidRPr="004F1E05">
        <w:rPr>
          <w:noProof/>
        </w:rPr>
        <w:drawing>
          <wp:inline distT="0" distB="0" distL="0" distR="0" wp14:anchorId="184C1B5E" wp14:editId="3AC29268">
            <wp:extent cx="5132705" cy="3058860"/>
            <wp:effectExtent l="0" t="0" r="0" b="8255"/>
            <wp:docPr id="86544107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152197" cy="3070476"/>
                    </a:xfrm>
                    <a:prstGeom prst="rect">
                      <a:avLst/>
                    </a:prstGeom>
                    <a:noFill/>
                    <a:ln>
                      <a:noFill/>
                    </a:ln>
                  </pic:spPr>
                </pic:pic>
              </a:graphicData>
            </a:graphic>
          </wp:inline>
        </w:drawing>
      </w:r>
    </w:p>
    <w:p w14:paraId="686C1D74" w14:textId="77777777" w:rsidR="00C82F0D" w:rsidRPr="00107B4D" w:rsidRDefault="00C82F0D" w:rsidP="009B5267">
      <w:pPr>
        <w:ind w:left="426"/>
        <w:rPr>
          <w:rFonts w:ascii="Verdana" w:hAnsi="Verdana" w:cs="Arial"/>
          <w:color w:val="000000"/>
          <w:sz w:val="17"/>
          <w:szCs w:val="17"/>
        </w:rPr>
      </w:pPr>
    </w:p>
    <w:p w14:paraId="16B2EAE5" w14:textId="77777777" w:rsidR="00C82F0D" w:rsidRPr="00107B4D" w:rsidRDefault="00C82F0D" w:rsidP="009B5267">
      <w:pPr>
        <w:ind w:left="426"/>
        <w:rPr>
          <w:rFonts w:ascii="Verdana" w:hAnsi="Verdana" w:cs="Arial"/>
          <w:color w:val="000000"/>
          <w:sz w:val="17"/>
          <w:szCs w:val="17"/>
        </w:rPr>
      </w:pPr>
      <w:r w:rsidRPr="00107B4D">
        <w:rPr>
          <w:rFonts w:ascii="Verdana" w:hAnsi="Verdana" w:cs="Arial"/>
          <w:color w:val="000000"/>
          <w:sz w:val="17"/>
          <w:szCs w:val="17"/>
        </w:rPr>
        <w:t>Os desvios atuariais com encargos com saúde, prémio de antiguidade e subsídio de morte</w:t>
      </w:r>
      <w:r>
        <w:rPr>
          <w:rFonts w:ascii="Verdana" w:hAnsi="Verdana" w:cs="Arial"/>
          <w:color w:val="000000"/>
          <w:sz w:val="17"/>
          <w:szCs w:val="17"/>
        </w:rPr>
        <w:t xml:space="preserve"> </w:t>
      </w:r>
      <w:r w:rsidRPr="00107B4D">
        <w:rPr>
          <w:rFonts w:ascii="Verdana" w:hAnsi="Verdana" w:cs="Arial"/>
          <w:color w:val="000000"/>
          <w:sz w:val="17"/>
          <w:szCs w:val="17"/>
        </w:rPr>
        <w:t>ocorridos no exercício de 202</w:t>
      </w:r>
      <w:r>
        <w:rPr>
          <w:rFonts w:ascii="Verdana" w:hAnsi="Verdana" w:cs="Arial"/>
          <w:color w:val="000000"/>
          <w:sz w:val="17"/>
          <w:szCs w:val="17"/>
        </w:rPr>
        <w:t>5</w:t>
      </w:r>
      <w:r w:rsidRPr="00107B4D">
        <w:rPr>
          <w:rFonts w:ascii="Verdana" w:hAnsi="Verdana" w:cs="Arial"/>
          <w:color w:val="000000"/>
          <w:sz w:val="17"/>
          <w:szCs w:val="17"/>
        </w:rPr>
        <w:t xml:space="preserve"> e 202</w:t>
      </w:r>
      <w:r>
        <w:rPr>
          <w:rFonts w:ascii="Verdana" w:hAnsi="Verdana" w:cs="Arial"/>
          <w:color w:val="000000"/>
          <w:sz w:val="17"/>
          <w:szCs w:val="17"/>
        </w:rPr>
        <w:t>4</w:t>
      </w:r>
      <w:r w:rsidRPr="00107B4D">
        <w:rPr>
          <w:rFonts w:ascii="Verdana" w:hAnsi="Verdana" w:cs="Arial"/>
          <w:color w:val="000000"/>
          <w:sz w:val="17"/>
          <w:szCs w:val="17"/>
        </w:rPr>
        <w:t xml:space="preserve"> podem ser explicados como segue: </w:t>
      </w:r>
    </w:p>
    <w:p w14:paraId="68EA216A" w14:textId="77777777" w:rsidR="00C82F0D" w:rsidRPr="00107B4D" w:rsidRDefault="00C82F0D" w:rsidP="009B5267">
      <w:pPr>
        <w:ind w:left="426"/>
        <w:rPr>
          <w:rFonts w:ascii="Verdana" w:hAnsi="Verdana" w:cs="Arial"/>
          <w:color w:val="000000"/>
          <w:sz w:val="17"/>
          <w:szCs w:val="17"/>
        </w:rPr>
      </w:pPr>
    </w:p>
    <w:p w14:paraId="7910D19F" w14:textId="77777777" w:rsidR="00C82F0D" w:rsidRPr="00107B4D" w:rsidRDefault="00C82F0D" w:rsidP="009B5267">
      <w:pPr>
        <w:ind w:left="426"/>
        <w:rPr>
          <w:rFonts w:ascii="Verdana" w:hAnsi="Verdana" w:cs="Arial"/>
          <w:color w:val="000000"/>
          <w:sz w:val="17"/>
          <w:szCs w:val="17"/>
        </w:rPr>
      </w:pPr>
      <w:r w:rsidRPr="00B64040">
        <w:rPr>
          <w:noProof/>
        </w:rPr>
        <w:lastRenderedPageBreak/>
        <w:drawing>
          <wp:inline distT="0" distB="0" distL="0" distR="0" wp14:anchorId="55776E88" wp14:editId="61D82D92">
            <wp:extent cx="5008418" cy="1184376"/>
            <wp:effectExtent l="0" t="0" r="1905" b="0"/>
            <wp:docPr id="2356068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028955" cy="1189232"/>
                    </a:xfrm>
                    <a:prstGeom prst="rect">
                      <a:avLst/>
                    </a:prstGeom>
                    <a:noFill/>
                    <a:ln>
                      <a:noFill/>
                    </a:ln>
                  </pic:spPr>
                </pic:pic>
              </a:graphicData>
            </a:graphic>
          </wp:inline>
        </w:drawing>
      </w:r>
    </w:p>
    <w:p w14:paraId="1546B31B" w14:textId="77777777" w:rsidR="00C82F0D" w:rsidRPr="00107B4D" w:rsidRDefault="00C82F0D" w:rsidP="009F2268">
      <w:pPr>
        <w:autoSpaceDE w:val="0"/>
        <w:autoSpaceDN w:val="0"/>
        <w:adjustRightInd w:val="0"/>
        <w:ind w:left="426" w:right="-22"/>
        <w:jc w:val="both"/>
        <w:rPr>
          <w:rFonts w:ascii="Verdana" w:hAnsi="Verdana" w:cs="Arial"/>
          <w:color w:val="000000"/>
          <w:sz w:val="17"/>
          <w:szCs w:val="17"/>
        </w:rPr>
      </w:pPr>
      <w:r w:rsidRPr="00B64040">
        <w:rPr>
          <w:noProof/>
        </w:rPr>
        <w:drawing>
          <wp:inline distT="0" distB="0" distL="0" distR="0" wp14:anchorId="3D5935E5" wp14:editId="227575B3">
            <wp:extent cx="5008245" cy="1194935"/>
            <wp:effectExtent l="0" t="0" r="1905" b="5715"/>
            <wp:docPr id="9264305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025348" cy="1199016"/>
                    </a:xfrm>
                    <a:prstGeom prst="rect">
                      <a:avLst/>
                    </a:prstGeom>
                    <a:noFill/>
                    <a:ln>
                      <a:noFill/>
                    </a:ln>
                  </pic:spPr>
                </pic:pic>
              </a:graphicData>
            </a:graphic>
          </wp:inline>
        </w:drawing>
      </w:r>
    </w:p>
    <w:p w14:paraId="5451CD7A" w14:textId="77777777" w:rsidR="00C82F0D" w:rsidRPr="00107B4D" w:rsidRDefault="00C82F0D" w:rsidP="00633A3B">
      <w:pPr>
        <w:autoSpaceDE w:val="0"/>
        <w:autoSpaceDN w:val="0"/>
        <w:adjustRightInd w:val="0"/>
        <w:ind w:left="426" w:right="-22"/>
        <w:jc w:val="both"/>
        <w:rPr>
          <w:rFonts w:ascii="Verdana" w:hAnsi="Verdana" w:cs="Arial"/>
          <w:color w:val="000000"/>
          <w:sz w:val="17"/>
          <w:szCs w:val="17"/>
        </w:rPr>
      </w:pPr>
    </w:p>
    <w:p w14:paraId="6144A3C6" w14:textId="77777777" w:rsidR="00C82F0D" w:rsidRPr="00107B4D" w:rsidRDefault="00C82F0D" w:rsidP="00633A3B">
      <w:pPr>
        <w:autoSpaceDE w:val="0"/>
        <w:autoSpaceDN w:val="0"/>
        <w:adjustRightInd w:val="0"/>
        <w:ind w:left="426" w:right="-22"/>
        <w:jc w:val="both"/>
        <w:rPr>
          <w:rFonts w:ascii="Verdana" w:hAnsi="Verdana" w:cs="Arial"/>
          <w:color w:val="000000"/>
          <w:sz w:val="17"/>
          <w:szCs w:val="17"/>
        </w:rPr>
      </w:pPr>
    </w:p>
    <w:p w14:paraId="214BD6B2" w14:textId="77777777" w:rsidR="00C82F0D" w:rsidRPr="00107B4D" w:rsidRDefault="00C82F0D" w:rsidP="00633A3B">
      <w:pPr>
        <w:autoSpaceDE w:val="0"/>
        <w:autoSpaceDN w:val="0"/>
        <w:adjustRightInd w:val="0"/>
        <w:ind w:left="426" w:right="-22"/>
        <w:jc w:val="both"/>
        <w:rPr>
          <w:rFonts w:ascii="Verdana" w:hAnsi="Verdana" w:cs="Arial"/>
          <w:color w:val="000000"/>
          <w:sz w:val="17"/>
          <w:szCs w:val="17"/>
        </w:rPr>
      </w:pPr>
      <w:r w:rsidRPr="00107B4D">
        <w:rPr>
          <w:rFonts w:ascii="Verdana" w:hAnsi="Verdana" w:cs="Arial"/>
          <w:color w:val="000000"/>
          <w:sz w:val="17"/>
          <w:szCs w:val="17"/>
        </w:rPr>
        <w:t xml:space="preserve">Em </w:t>
      </w:r>
      <w:r w:rsidRPr="00107B4D">
        <w:rPr>
          <w:rFonts w:ascii="Verdana" w:hAnsi="Verdana" w:cs="Arial"/>
          <w:sz w:val="17"/>
          <w:szCs w:val="17"/>
        </w:rPr>
        <w:t xml:space="preserve">31 de dezembro de </w:t>
      </w:r>
      <w:r w:rsidRPr="00107B4D">
        <w:rPr>
          <w:rFonts w:ascii="Verdana" w:hAnsi="Verdana" w:cs="Arial"/>
          <w:color w:val="000000"/>
          <w:sz w:val="17"/>
          <w:szCs w:val="17"/>
        </w:rPr>
        <w:t>202</w:t>
      </w:r>
      <w:r>
        <w:rPr>
          <w:rFonts w:ascii="Verdana" w:hAnsi="Verdana" w:cs="Arial"/>
          <w:color w:val="000000"/>
          <w:sz w:val="17"/>
          <w:szCs w:val="17"/>
        </w:rPr>
        <w:t>5</w:t>
      </w:r>
      <w:r w:rsidRPr="00107B4D">
        <w:rPr>
          <w:rFonts w:ascii="Verdana" w:hAnsi="Verdana" w:cs="Arial"/>
          <w:color w:val="000000"/>
          <w:sz w:val="17"/>
          <w:szCs w:val="17"/>
        </w:rPr>
        <w:t xml:space="preserve"> e 202</w:t>
      </w:r>
      <w:r>
        <w:rPr>
          <w:rFonts w:ascii="Verdana" w:hAnsi="Verdana" w:cs="Arial"/>
          <w:color w:val="000000"/>
          <w:sz w:val="17"/>
          <w:szCs w:val="17"/>
        </w:rPr>
        <w:t>4</w:t>
      </w:r>
      <w:r w:rsidRPr="00107B4D">
        <w:rPr>
          <w:rFonts w:ascii="Verdana" w:hAnsi="Verdana" w:cs="Arial"/>
          <w:sz w:val="17"/>
          <w:szCs w:val="17"/>
        </w:rPr>
        <w:t xml:space="preserve">, </w:t>
      </w:r>
      <w:r w:rsidRPr="00107B4D">
        <w:rPr>
          <w:rFonts w:ascii="Verdana" w:hAnsi="Verdana" w:cs="Arial"/>
          <w:color w:val="000000"/>
          <w:sz w:val="17"/>
          <w:szCs w:val="17"/>
        </w:rPr>
        <w:t>a análise de sensibilidade a uma variação dos principais pressupostos financeiros reportada aquela data conduziria aos seguintes impactos no valor atual das responsabilidades:</w:t>
      </w:r>
    </w:p>
    <w:p w14:paraId="7578367D" w14:textId="77777777" w:rsidR="00C82F0D" w:rsidRPr="00107B4D" w:rsidRDefault="00C82F0D" w:rsidP="00633A3B">
      <w:pPr>
        <w:autoSpaceDE w:val="0"/>
        <w:autoSpaceDN w:val="0"/>
        <w:adjustRightInd w:val="0"/>
        <w:ind w:left="426" w:right="-22"/>
        <w:jc w:val="both"/>
        <w:rPr>
          <w:rFonts w:ascii="Verdana" w:hAnsi="Verdana" w:cs="Arial"/>
          <w:color w:val="000000"/>
          <w:sz w:val="17"/>
          <w:szCs w:val="17"/>
        </w:rPr>
      </w:pPr>
    </w:p>
    <w:p w14:paraId="1FCF52B9" w14:textId="77777777" w:rsidR="00C82F0D" w:rsidRPr="00107B4D" w:rsidRDefault="00C82F0D" w:rsidP="00633A3B">
      <w:pPr>
        <w:autoSpaceDE w:val="0"/>
        <w:autoSpaceDN w:val="0"/>
        <w:adjustRightInd w:val="0"/>
        <w:ind w:left="426" w:right="-22"/>
        <w:jc w:val="both"/>
        <w:rPr>
          <w:rFonts w:ascii="Verdana" w:hAnsi="Verdana" w:cs="Arial"/>
          <w:color w:val="000000"/>
          <w:sz w:val="17"/>
          <w:szCs w:val="17"/>
        </w:rPr>
      </w:pPr>
      <w:r w:rsidRPr="002B3189">
        <w:rPr>
          <w:noProof/>
        </w:rPr>
        <w:drawing>
          <wp:inline distT="0" distB="0" distL="0" distR="0" wp14:anchorId="0F310FE6" wp14:editId="683BA30C">
            <wp:extent cx="5098473" cy="3982133"/>
            <wp:effectExtent l="0" t="0" r="6985" b="0"/>
            <wp:docPr id="6694880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104331" cy="3986708"/>
                    </a:xfrm>
                    <a:prstGeom prst="rect">
                      <a:avLst/>
                    </a:prstGeom>
                    <a:noFill/>
                    <a:ln>
                      <a:noFill/>
                    </a:ln>
                  </pic:spPr>
                </pic:pic>
              </a:graphicData>
            </a:graphic>
          </wp:inline>
        </w:drawing>
      </w:r>
    </w:p>
    <w:p w14:paraId="6FA539AD" w14:textId="77777777" w:rsidR="00C82F0D" w:rsidRPr="00107B4D" w:rsidRDefault="00C82F0D" w:rsidP="00633A3B">
      <w:pPr>
        <w:autoSpaceDE w:val="0"/>
        <w:autoSpaceDN w:val="0"/>
        <w:adjustRightInd w:val="0"/>
        <w:ind w:left="426" w:right="-22"/>
        <w:jc w:val="both"/>
        <w:rPr>
          <w:rFonts w:ascii="Verdana" w:hAnsi="Verdana" w:cs="Arial"/>
          <w:color w:val="000000"/>
          <w:sz w:val="17"/>
          <w:szCs w:val="17"/>
        </w:rPr>
      </w:pPr>
    </w:p>
    <w:p w14:paraId="30A2A413" w14:textId="77777777" w:rsidR="00C82F0D" w:rsidRPr="00107B4D" w:rsidRDefault="00C82F0D" w:rsidP="000E2785">
      <w:pPr>
        <w:autoSpaceDE w:val="0"/>
        <w:autoSpaceDN w:val="0"/>
        <w:adjustRightInd w:val="0"/>
        <w:ind w:right="-22"/>
        <w:jc w:val="both"/>
        <w:rPr>
          <w:rFonts w:ascii="Verdana" w:hAnsi="Verdana" w:cs="Arial"/>
          <w:color w:val="000000"/>
          <w:sz w:val="17"/>
          <w:szCs w:val="17"/>
        </w:rPr>
      </w:pPr>
    </w:p>
    <w:p w14:paraId="6A7D3B0D" w14:textId="77777777" w:rsidR="00C82F0D" w:rsidRPr="00107B4D" w:rsidRDefault="00C82F0D" w:rsidP="000E2785">
      <w:pPr>
        <w:autoSpaceDE w:val="0"/>
        <w:autoSpaceDN w:val="0"/>
        <w:adjustRightInd w:val="0"/>
        <w:ind w:right="-22"/>
        <w:jc w:val="both"/>
        <w:rPr>
          <w:rFonts w:ascii="Verdana" w:hAnsi="Verdana" w:cs="Arial"/>
          <w:color w:val="000000"/>
          <w:sz w:val="17"/>
          <w:szCs w:val="17"/>
        </w:rPr>
      </w:pPr>
    </w:p>
    <w:p w14:paraId="614F4CDE" w14:textId="77777777" w:rsidR="00C82F0D" w:rsidRPr="00107B4D" w:rsidRDefault="00C82F0D" w:rsidP="000E2785">
      <w:pPr>
        <w:autoSpaceDE w:val="0"/>
        <w:autoSpaceDN w:val="0"/>
        <w:adjustRightInd w:val="0"/>
        <w:ind w:right="-22"/>
        <w:jc w:val="both"/>
        <w:rPr>
          <w:rFonts w:ascii="Verdana" w:hAnsi="Verdana" w:cs="Arial"/>
          <w:color w:val="000000"/>
          <w:sz w:val="17"/>
          <w:szCs w:val="17"/>
        </w:rPr>
      </w:pPr>
    </w:p>
    <w:p w14:paraId="3A44D71C" w14:textId="77777777" w:rsidR="00C82F0D" w:rsidRPr="00107B4D" w:rsidRDefault="00C82F0D" w:rsidP="000E2785">
      <w:pPr>
        <w:autoSpaceDE w:val="0"/>
        <w:autoSpaceDN w:val="0"/>
        <w:adjustRightInd w:val="0"/>
        <w:ind w:right="-22"/>
        <w:jc w:val="both"/>
        <w:rPr>
          <w:rFonts w:ascii="Verdana" w:hAnsi="Verdana" w:cs="Arial"/>
          <w:color w:val="000000"/>
          <w:sz w:val="17"/>
          <w:szCs w:val="17"/>
        </w:rPr>
      </w:pPr>
    </w:p>
    <w:p w14:paraId="7DFD2DAD" w14:textId="77777777" w:rsidR="00C82F0D" w:rsidRPr="00107B4D" w:rsidRDefault="00C82F0D" w:rsidP="00D84952">
      <w:pPr>
        <w:pStyle w:val="Ttulo1"/>
        <w:keepNext w:val="0"/>
        <w:keepLines w:val="0"/>
        <w:numPr>
          <w:ilvl w:val="0"/>
          <w:numId w:val="3"/>
        </w:numPr>
        <w:tabs>
          <w:tab w:val="left" w:pos="426"/>
        </w:tabs>
        <w:spacing w:before="0"/>
        <w:ind w:right="-22"/>
        <w:jc w:val="both"/>
        <w:rPr>
          <w:rFonts w:ascii="Verdana" w:eastAsia="Times New Roman" w:hAnsi="Verdana" w:cs="Arial"/>
          <w:b w:val="0"/>
          <w:bCs w:val="0"/>
          <w:color w:val="auto"/>
          <w:sz w:val="17"/>
          <w:szCs w:val="17"/>
          <w:u w:val="single"/>
          <w:lang w:eastAsia="en-US"/>
        </w:rPr>
      </w:pPr>
      <w:r w:rsidRPr="00107B4D">
        <w:rPr>
          <w:rFonts w:ascii="Verdana" w:eastAsia="Times New Roman" w:hAnsi="Verdana" w:cs="Arial"/>
          <w:b w:val="0"/>
          <w:bCs w:val="0"/>
          <w:color w:val="auto"/>
          <w:sz w:val="17"/>
          <w:szCs w:val="17"/>
          <w:u w:val="single"/>
          <w:lang w:eastAsia="en-US"/>
        </w:rPr>
        <w:t>FORNECEDORES</w:t>
      </w:r>
    </w:p>
    <w:p w14:paraId="74CE4440" w14:textId="77777777" w:rsidR="00C82F0D" w:rsidRPr="00107B4D" w:rsidRDefault="00C82F0D" w:rsidP="00633A3B">
      <w:pPr>
        <w:autoSpaceDE w:val="0"/>
        <w:autoSpaceDN w:val="0"/>
        <w:adjustRightInd w:val="0"/>
        <w:ind w:right="-22"/>
        <w:jc w:val="both"/>
        <w:rPr>
          <w:rFonts w:ascii="Verdana" w:hAnsi="Verdana" w:cs="Arial"/>
          <w:sz w:val="17"/>
          <w:szCs w:val="17"/>
        </w:rPr>
      </w:pPr>
    </w:p>
    <w:p w14:paraId="281D3593" w14:textId="77777777" w:rsidR="00C82F0D" w:rsidRPr="00107B4D" w:rsidRDefault="00C82F0D" w:rsidP="0059022D">
      <w:pPr>
        <w:tabs>
          <w:tab w:val="left" w:pos="426"/>
          <w:tab w:val="left" w:pos="720"/>
          <w:tab w:val="right" w:pos="6600"/>
          <w:tab w:val="right" w:pos="8040"/>
        </w:tabs>
        <w:ind w:left="426" w:right="-22"/>
        <w:jc w:val="both"/>
        <w:rPr>
          <w:rFonts w:ascii="Verdana" w:hAnsi="Verdana" w:cs="Arial"/>
          <w:sz w:val="17"/>
          <w:szCs w:val="17"/>
        </w:rPr>
      </w:pPr>
      <w:r w:rsidRPr="00107B4D">
        <w:rPr>
          <w:rFonts w:ascii="Verdana" w:hAnsi="Verdana" w:cs="Arial"/>
          <w:sz w:val="17"/>
          <w:szCs w:val="17"/>
        </w:rPr>
        <w:t xml:space="preserve">Em 31 de dezembro de </w:t>
      </w:r>
      <w:r w:rsidRPr="00107B4D">
        <w:rPr>
          <w:rFonts w:ascii="Verdana" w:hAnsi="Verdana" w:cs="Arial"/>
          <w:color w:val="000000"/>
          <w:sz w:val="17"/>
          <w:szCs w:val="17"/>
        </w:rPr>
        <w:t>202</w:t>
      </w:r>
      <w:r>
        <w:rPr>
          <w:rFonts w:ascii="Verdana" w:hAnsi="Verdana" w:cs="Arial"/>
          <w:color w:val="000000"/>
          <w:sz w:val="17"/>
          <w:szCs w:val="17"/>
        </w:rPr>
        <w:t>5</w:t>
      </w:r>
      <w:r w:rsidRPr="00107B4D">
        <w:rPr>
          <w:rFonts w:ascii="Verdana" w:hAnsi="Verdana" w:cs="Arial"/>
          <w:color w:val="000000"/>
          <w:sz w:val="17"/>
          <w:szCs w:val="17"/>
        </w:rPr>
        <w:t xml:space="preserve"> e 202</w:t>
      </w:r>
      <w:r>
        <w:rPr>
          <w:rFonts w:ascii="Verdana" w:hAnsi="Verdana" w:cs="Arial"/>
          <w:color w:val="000000"/>
          <w:sz w:val="17"/>
          <w:szCs w:val="17"/>
        </w:rPr>
        <w:t>4</w:t>
      </w:r>
      <w:r w:rsidRPr="00107B4D">
        <w:rPr>
          <w:rFonts w:ascii="Verdana" w:hAnsi="Verdana" w:cs="Arial"/>
          <w:sz w:val="17"/>
          <w:szCs w:val="17"/>
        </w:rPr>
        <w:t>, o saldo desta rubrica corresponde, essencialmente, a montantes a pagar relativos a despesas relacionadas com a atividade corrente da Sociedade.</w:t>
      </w:r>
    </w:p>
    <w:p w14:paraId="039D18A8" w14:textId="77777777" w:rsidR="00C82F0D" w:rsidRDefault="00C82F0D" w:rsidP="0059022D">
      <w:pPr>
        <w:tabs>
          <w:tab w:val="left" w:pos="426"/>
          <w:tab w:val="left" w:pos="720"/>
          <w:tab w:val="right" w:pos="6600"/>
          <w:tab w:val="right" w:pos="8040"/>
        </w:tabs>
        <w:ind w:left="426" w:right="-22"/>
        <w:jc w:val="both"/>
        <w:rPr>
          <w:rFonts w:ascii="Verdana" w:hAnsi="Verdana" w:cs="Arial"/>
          <w:sz w:val="17"/>
          <w:szCs w:val="17"/>
        </w:rPr>
      </w:pPr>
    </w:p>
    <w:p w14:paraId="3CC786C0" w14:textId="77777777" w:rsidR="00C82F0D" w:rsidRDefault="00C82F0D" w:rsidP="0059022D">
      <w:pPr>
        <w:tabs>
          <w:tab w:val="left" w:pos="426"/>
          <w:tab w:val="left" w:pos="720"/>
          <w:tab w:val="right" w:pos="6600"/>
          <w:tab w:val="right" w:pos="8040"/>
        </w:tabs>
        <w:ind w:left="426" w:right="-22"/>
        <w:jc w:val="both"/>
        <w:rPr>
          <w:rFonts w:ascii="Verdana" w:hAnsi="Verdana" w:cs="Arial"/>
          <w:sz w:val="17"/>
          <w:szCs w:val="17"/>
        </w:rPr>
      </w:pPr>
    </w:p>
    <w:p w14:paraId="4D89438C" w14:textId="77777777" w:rsidR="00C82F0D" w:rsidRPr="00107B4D" w:rsidRDefault="00C82F0D" w:rsidP="0059022D">
      <w:pPr>
        <w:tabs>
          <w:tab w:val="left" w:pos="426"/>
          <w:tab w:val="left" w:pos="720"/>
          <w:tab w:val="right" w:pos="6600"/>
          <w:tab w:val="right" w:pos="8040"/>
        </w:tabs>
        <w:ind w:left="426" w:right="-22"/>
        <w:jc w:val="both"/>
        <w:rPr>
          <w:rFonts w:ascii="Verdana" w:hAnsi="Verdana" w:cs="Arial"/>
          <w:sz w:val="17"/>
          <w:szCs w:val="17"/>
        </w:rPr>
      </w:pPr>
    </w:p>
    <w:p w14:paraId="25F13CDC" w14:textId="77777777" w:rsidR="00C82F0D" w:rsidRPr="00107B4D" w:rsidRDefault="00C82F0D" w:rsidP="00D304AD">
      <w:pPr>
        <w:tabs>
          <w:tab w:val="left" w:pos="426"/>
          <w:tab w:val="left" w:pos="720"/>
          <w:tab w:val="right" w:pos="6600"/>
          <w:tab w:val="right" w:pos="8040"/>
        </w:tabs>
        <w:ind w:left="426" w:right="-22"/>
        <w:jc w:val="both"/>
        <w:rPr>
          <w:rFonts w:ascii="Verdana" w:hAnsi="Verdana" w:cs="Arial"/>
          <w:sz w:val="17"/>
          <w:szCs w:val="17"/>
        </w:rPr>
      </w:pPr>
    </w:p>
    <w:p w14:paraId="32B88616" w14:textId="77777777" w:rsidR="00C82F0D" w:rsidRPr="00107B4D" w:rsidRDefault="00C82F0D" w:rsidP="00D84952">
      <w:pPr>
        <w:pStyle w:val="Ttulo1"/>
        <w:keepNext w:val="0"/>
        <w:keepLines w:val="0"/>
        <w:numPr>
          <w:ilvl w:val="0"/>
          <w:numId w:val="3"/>
        </w:numPr>
        <w:tabs>
          <w:tab w:val="left" w:pos="426"/>
        </w:tabs>
        <w:spacing w:before="0"/>
        <w:ind w:right="-22"/>
        <w:jc w:val="both"/>
        <w:rPr>
          <w:rFonts w:ascii="Verdana" w:eastAsia="Times New Roman" w:hAnsi="Verdana" w:cs="Arial"/>
          <w:b w:val="0"/>
          <w:bCs w:val="0"/>
          <w:color w:val="auto"/>
          <w:sz w:val="17"/>
          <w:szCs w:val="17"/>
          <w:u w:val="single"/>
          <w:lang w:eastAsia="en-US"/>
        </w:rPr>
      </w:pPr>
      <w:r w:rsidRPr="00107B4D">
        <w:rPr>
          <w:rFonts w:ascii="Verdana" w:eastAsia="Times New Roman" w:hAnsi="Verdana" w:cs="Arial"/>
          <w:b w:val="0"/>
          <w:bCs w:val="0"/>
          <w:color w:val="auto"/>
          <w:sz w:val="17"/>
          <w:szCs w:val="17"/>
          <w:u w:val="single"/>
          <w:lang w:eastAsia="en-US"/>
        </w:rPr>
        <w:lastRenderedPageBreak/>
        <w:t>OUTRAS CONTAS A PAGAR</w:t>
      </w:r>
    </w:p>
    <w:p w14:paraId="6BFCBC60" w14:textId="77777777" w:rsidR="00C82F0D" w:rsidRPr="00107B4D" w:rsidRDefault="00C82F0D" w:rsidP="0072236A">
      <w:pPr>
        <w:rPr>
          <w:lang w:eastAsia="en-US"/>
        </w:rPr>
      </w:pPr>
    </w:p>
    <w:p w14:paraId="59D3AC87" w14:textId="77777777" w:rsidR="00C82F0D" w:rsidRPr="00107B4D" w:rsidRDefault="00C82F0D" w:rsidP="00633A3B">
      <w:pPr>
        <w:tabs>
          <w:tab w:val="left" w:pos="426"/>
          <w:tab w:val="left" w:pos="720"/>
          <w:tab w:val="right" w:pos="6600"/>
          <w:tab w:val="right" w:pos="8040"/>
        </w:tabs>
        <w:ind w:right="-22"/>
        <w:jc w:val="both"/>
        <w:rPr>
          <w:rFonts w:ascii="Verdana" w:hAnsi="Verdana" w:cs="Arial"/>
          <w:sz w:val="17"/>
          <w:szCs w:val="17"/>
          <w:u w:val="single"/>
        </w:rPr>
      </w:pPr>
    </w:p>
    <w:p w14:paraId="288EA869" w14:textId="77777777" w:rsidR="00C82F0D" w:rsidRPr="00107B4D" w:rsidRDefault="00C82F0D" w:rsidP="00633A3B">
      <w:pPr>
        <w:tabs>
          <w:tab w:val="left" w:pos="426"/>
          <w:tab w:val="left" w:pos="720"/>
          <w:tab w:val="right" w:pos="6600"/>
          <w:tab w:val="right" w:pos="8040"/>
        </w:tabs>
        <w:ind w:left="426" w:right="-45"/>
        <w:jc w:val="both"/>
        <w:rPr>
          <w:rFonts w:ascii="Verdana" w:hAnsi="Verdana" w:cs="Arial"/>
          <w:sz w:val="17"/>
          <w:szCs w:val="17"/>
        </w:rPr>
      </w:pPr>
      <w:r w:rsidRPr="00107B4D">
        <w:rPr>
          <w:rFonts w:ascii="Verdana" w:hAnsi="Verdana" w:cs="Arial"/>
          <w:sz w:val="17"/>
          <w:szCs w:val="17"/>
        </w:rPr>
        <w:t xml:space="preserve">Esta rubrica tem a seguinte composição: </w:t>
      </w:r>
    </w:p>
    <w:p w14:paraId="03DF972B" w14:textId="77777777" w:rsidR="00C82F0D" w:rsidRPr="00107B4D" w:rsidRDefault="00C82F0D" w:rsidP="009F2268">
      <w:pPr>
        <w:tabs>
          <w:tab w:val="left" w:pos="426"/>
          <w:tab w:val="left" w:pos="720"/>
          <w:tab w:val="right" w:pos="6600"/>
          <w:tab w:val="right" w:pos="8040"/>
        </w:tabs>
        <w:ind w:left="426" w:right="-45"/>
        <w:jc w:val="both"/>
      </w:pPr>
      <w:r w:rsidRPr="00107B4D">
        <w:t xml:space="preserve"> </w:t>
      </w:r>
    </w:p>
    <w:p w14:paraId="33B709FD" w14:textId="3874452E" w:rsidR="00C82F0D" w:rsidRPr="00107B4D" w:rsidRDefault="002C4A1C" w:rsidP="00633A3B">
      <w:pPr>
        <w:tabs>
          <w:tab w:val="left" w:pos="426"/>
          <w:tab w:val="left" w:pos="1276"/>
          <w:tab w:val="right" w:pos="6804"/>
          <w:tab w:val="right" w:pos="7939"/>
        </w:tabs>
        <w:ind w:left="426" w:right="-22"/>
        <w:jc w:val="both"/>
        <w:rPr>
          <w:rFonts w:ascii="Verdana" w:hAnsi="Verdana" w:cs="Arial"/>
          <w:sz w:val="17"/>
          <w:szCs w:val="17"/>
        </w:rPr>
      </w:pPr>
      <w:r w:rsidRPr="00E57839">
        <w:rPr>
          <w:noProof/>
        </w:rPr>
        <w:drawing>
          <wp:inline distT="0" distB="0" distL="0" distR="0" wp14:anchorId="5615B218" wp14:editId="195E300B">
            <wp:extent cx="5048250" cy="1438908"/>
            <wp:effectExtent l="0" t="0" r="0" b="9525"/>
            <wp:docPr id="20185204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084427" cy="1449220"/>
                    </a:xfrm>
                    <a:prstGeom prst="rect">
                      <a:avLst/>
                    </a:prstGeom>
                    <a:noFill/>
                    <a:ln>
                      <a:noFill/>
                    </a:ln>
                  </pic:spPr>
                </pic:pic>
              </a:graphicData>
            </a:graphic>
          </wp:inline>
        </w:drawing>
      </w:r>
    </w:p>
    <w:p w14:paraId="1006FFB0" w14:textId="77777777" w:rsidR="00C82F0D" w:rsidRPr="00107B4D" w:rsidRDefault="00C82F0D" w:rsidP="00633A3B">
      <w:pPr>
        <w:tabs>
          <w:tab w:val="left" w:pos="426"/>
          <w:tab w:val="right" w:pos="6600"/>
          <w:tab w:val="right" w:pos="8040"/>
        </w:tabs>
        <w:ind w:left="426" w:right="-22"/>
        <w:jc w:val="both"/>
        <w:rPr>
          <w:rFonts w:ascii="Verdana" w:hAnsi="Verdana" w:cs="Arial"/>
          <w:sz w:val="17"/>
          <w:szCs w:val="17"/>
        </w:rPr>
      </w:pPr>
    </w:p>
    <w:p w14:paraId="778BAF11" w14:textId="77777777" w:rsidR="00C82F0D" w:rsidRPr="00107B4D" w:rsidRDefault="00C82F0D" w:rsidP="00633A3B">
      <w:pPr>
        <w:tabs>
          <w:tab w:val="left" w:pos="426"/>
          <w:tab w:val="right" w:pos="6600"/>
          <w:tab w:val="right" w:pos="8040"/>
        </w:tabs>
        <w:ind w:left="426" w:right="-22"/>
        <w:jc w:val="both"/>
        <w:rPr>
          <w:rFonts w:ascii="Verdana" w:hAnsi="Verdana" w:cs="Arial"/>
          <w:sz w:val="17"/>
          <w:szCs w:val="17"/>
        </w:rPr>
      </w:pPr>
      <w:r w:rsidRPr="0029572F">
        <w:rPr>
          <w:rFonts w:ascii="Verdana" w:hAnsi="Verdana" w:cs="Arial"/>
          <w:sz w:val="17"/>
          <w:szCs w:val="17"/>
        </w:rPr>
        <w:t>Em 31 de dezembro de 202</w:t>
      </w:r>
      <w:r>
        <w:rPr>
          <w:rFonts w:ascii="Verdana" w:hAnsi="Verdana" w:cs="Arial"/>
          <w:sz w:val="17"/>
          <w:szCs w:val="17"/>
        </w:rPr>
        <w:t>4</w:t>
      </w:r>
      <w:r w:rsidRPr="0029572F">
        <w:rPr>
          <w:rFonts w:ascii="Verdana" w:hAnsi="Verdana" w:cs="Arial"/>
          <w:sz w:val="17"/>
          <w:szCs w:val="17"/>
        </w:rPr>
        <w:t xml:space="preserve">, a rubrica “Adiantamentos de clientes” </w:t>
      </w:r>
      <w:r>
        <w:rPr>
          <w:rFonts w:ascii="Verdana" w:hAnsi="Verdana" w:cs="Arial"/>
          <w:sz w:val="17"/>
          <w:szCs w:val="17"/>
        </w:rPr>
        <w:t xml:space="preserve">diz respeito </w:t>
      </w:r>
      <w:r w:rsidRPr="0029572F">
        <w:rPr>
          <w:rFonts w:ascii="Verdana" w:hAnsi="Verdana" w:cs="Arial"/>
          <w:sz w:val="17"/>
          <w:szCs w:val="17"/>
        </w:rPr>
        <w:t>aos adiantamentos efetuados no âmbito dos contratos de promessa de compra e venda de imóveis (Nota 8).</w:t>
      </w:r>
    </w:p>
    <w:p w14:paraId="44C81EDB" w14:textId="77777777" w:rsidR="00C82F0D" w:rsidRPr="00107B4D" w:rsidRDefault="00C82F0D" w:rsidP="00633A3B">
      <w:pPr>
        <w:tabs>
          <w:tab w:val="left" w:pos="426"/>
          <w:tab w:val="right" w:pos="6600"/>
          <w:tab w:val="right" w:pos="8040"/>
        </w:tabs>
        <w:ind w:left="426" w:right="-22"/>
        <w:jc w:val="both"/>
        <w:rPr>
          <w:rFonts w:ascii="Verdana" w:hAnsi="Verdana" w:cs="Arial"/>
          <w:sz w:val="17"/>
          <w:szCs w:val="17"/>
        </w:rPr>
      </w:pPr>
    </w:p>
    <w:p w14:paraId="4C547ED1" w14:textId="77777777" w:rsidR="00C82F0D" w:rsidRPr="00107B4D" w:rsidRDefault="00C82F0D" w:rsidP="00633A3B">
      <w:pPr>
        <w:tabs>
          <w:tab w:val="left" w:pos="426"/>
          <w:tab w:val="right" w:pos="6600"/>
          <w:tab w:val="right" w:pos="8040"/>
        </w:tabs>
        <w:ind w:left="426" w:right="-22"/>
        <w:jc w:val="both"/>
        <w:rPr>
          <w:rFonts w:ascii="Verdana" w:hAnsi="Verdana" w:cs="Arial"/>
          <w:sz w:val="17"/>
          <w:szCs w:val="17"/>
        </w:rPr>
      </w:pPr>
      <w:r w:rsidRPr="0029572F">
        <w:rPr>
          <w:rFonts w:ascii="Verdana" w:hAnsi="Verdana" w:cs="Arial"/>
          <w:sz w:val="17"/>
          <w:szCs w:val="17"/>
        </w:rPr>
        <w:t xml:space="preserve">Em 31 de dezembro de 2025 e 2024, a rubrica “Rendas a pagar” no montante de 720 </w:t>
      </w:r>
      <w:proofErr w:type="spellStart"/>
      <w:proofErr w:type="gramStart"/>
      <w:r w:rsidRPr="0029572F">
        <w:rPr>
          <w:rFonts w:ascii="Verdana" w:hAnsi="Verdana" w:cs="Arial"/>
          <w:sz w:val="17"/>
          <w:szCs w:val="17"/>
        </w:rPr>
        <w:t>m.euros</w:t>
      </w:r>
      <w:proofErr w:type="spellEnd"/>
      <w:proofErr w:type="gramEnd"/>
      <w:r w:rsidRPr="0029572F">
        <w:rPr>
          <w:rFonts w:ascii="Verdana" w:hAnsi="Verdana" w:cs="Arial"/>
          <w:sz w:val="17"/>
          <w:szCs w:val="17"/>
        </w:rPr>
        <w:t xml:space="preserve"> e 868 </w:t>
      </w:r>
      <w:proofErr w:type="spellStart"/>
      <w:proofErr w:type="gramStart"/>
      <w:r w:rsidRPr="0029572F">
        <w:rPr>
          <w:rFonts w:ascii="Verdana" w:hAnsi="Verdana" w:cs="Arial"/>
          <w:sz w:val="17"/>
          <w:szCs w:val="17"/>
        </w:rPr>
        <w:t>m.euros</w:t>
      </w:r>
      <w:proofErr w:type="spellEnd"/>
      <w:proofErr w:type="gramEnd"/>
      <w:r w:rsidRPr="0029572F">
        <w:rPr>
          <w:rFonts w:ascii="Verdana" w:hAnsi="Verdana" w:cs="Arial"/>
          <w:sz w:val="17"/>
          <w:szCs w:val="17"/>
        </w:rPr>
        <w:t xml:space="preserve"> diz respeito às rendas a pagar dos escritórios de Lisboa e Porto, dos estacionamentos e contratos de leasing, no âmbito da aplicação da IFRS 16, conforme descrito no ponto 2.4 e na nota 3. </w:t>
      </w:r>
    </w:p>
    <w:p w14:paraId="6091E7CC" w14:textId="77777777" w:rsidR="00C82F0D" w:rsidRPr="00107B4D" w:rsidRDefault="00C82F0D" w:rsidP="009F6D0E">
      <w:pPr>
        <w:tabs>
          <w:tab w:val="left" w:pos="426"/>
          <w:tab w:val="right" w:pos="6600"/>
          <w:tab w:val="right" w:pos="8040"/>
        </w:tabs>
        <w:ind w:right="-22"/>
        <w:jc w:val="both"/>
        <w:rPr>
          <w:rFonts w:ascii="Verdana" w:hAnsi="Verdana" w:cs="Arial"/>
          <w:sz w:val="17"/>
          <w:szCs w:val="17"/>
        </w:rPr>
      </w:pPr>
    </w:p>
    <w:p w14:paraId="58766F13" w14:textId="77777777" w:rsidR="00C82F0D" w:rsidRPr="00107B4D" w:rsidRDefault="00C82F0D" w:rsidP="00C3189D">
      <w:pPr>
        <w:tabs>
          <w:tab w:val="left" w:pos="426"/>
          <w:tab w:val="right" w:pos="6600"/>
          <w:tab w:val="right" w:pos="8040"/>
        </w:tabs>
        <w:ind w:left="426" w:right="-22"/>
        <w:jc w:val="both"/>
        <w:rPr>
          <w:rFonts w:ascii="Verdana" w:hAnsi="Verdana" w:cs="Arial"/>
          <w:sz w:val="17"/>
          <w:szCs w:val="17"/>
        </w:rPr>
      </w:pPr>
      <w:r w:rsidRPr="00107B4D">
        <w:rPr>
          <w:rFonts w:ascii="Verdana" w:hAnsi="Verdana" w:cs="Arial"/>
          <w:sz w:val="17"/>
          <w:szCs w:val="17"/>
        </w:rPr>
        <w:t>Em 31 de dezembro de 202</w:t>
      </w:r>
      <w:r>
        <w:rPr>
          <w:rFonts w:ascii="Verdana" w:hAnsi="Verdana" w:cs="Arial"/>
          <w:sz w:val="17"/>
          <w:szCs w:val="17"/>
        </w:rPr>
        <w:t>5</w:t>
      </w:r>
      <w:r w:rsidRPr="00107B4D">
        <w:rPr>
          <w:rFonts w:ascii="Verdana" w:hAnsi="Verdana" w:cs="Arial"/>
          <w:sz w:val="17"/>
          <w:szCs w:val="17"/>
        </w:rPr>
        <w:t xml:space="preserve"> e 202</w:t>
      </w:r>
      <w:r>
        <w:rPr>
          <w:rFonts w:ascii="Verdana" w:hAnsi="Verdana" w:cs="Arial"/>
          <w:sz w:val="17"/>
          <w:szCs w:val="17"/>
        </w:rPr>
        <w:t>4</w:t>
      </w:r>
      <w:r w:rsidRPr="00107B4D">
        <w:rPr>
          <w:rFonts w:ascii="Verdana" w:hAnsi="Verdana" w:cs="Arial"/>
          <w:sz w:val="17"/>
          <w:szCs w:val="17"/>
        </w:rPr>
        <w:t>, o montante da rubrica “Outras contas a pagar” refere-se essencialmente a valores recebidos, para os quais a Sociedade ainda não obteve informação relativamente à contraparte e, por esse motivo, se encontram pendentes de alocação.</w:t>
      </w:r>
    </w:p>
    <w:p w14:paraId="5290104E" w14:textId="77777777" w:rsidR="00C82F0D" w:rsidRPr="00107B4D" w:rsidRDefault="00C82F0D">
      <w:pPr>
        <w:rPr>
          <w:rFonts w:ascii="Verdana" w:hAnsi="Verdana" w:cs="Arial"/>
          <w:sz w:val="17"/>
          <w:szCs w:val="17"/>
        </w:rPr>
      </w:pPr>
    </w:p>
    <w:p w14:paraId="7BCE6975" w14:textId="77777777" w:rsidR="00C82F0D" w:rsidRPr="00107B4D" w:rsidRDefault="00C82F0D">
      <w:pPr>
        <w:rPr>
          <w:rFonts w:ascii="Verdana" w:hAnsi="Verdana" w:cs="Arial"/>
          <w:sz w:val="17"/>
          <w:szCs w:val="17"/>
        </w:rPr>
      </w:pPr>
    </w:p>
    <w:p w14:paraId="38B0A7A3" w14:textId="77777777" w:rsidR="00C82F0D" w:rsidRPr="00107B4D" w:rsidRDefault="00C82F0D">
      <w:pPr>
        <w:rPr>
          <w:rFonts w:ascii="Verdana" w:hAnsi="Verdana" w:cs="Arial"/>
          <w:sz w:val="17"/>
          <w:szCs w:val="17"/>
        </w:rPr>
      </w:pPr>
    </w:p>
    <w:p w14:paraId="6C1BF50C" w14:textId="77777777" w:rsidR="00C82F0D" w:rsidRPr="00107B4D" w:rsidRDefault="00C82F0D" w:rsidP="00D84952">
      <w:pPr>
        <w:pStyle w:val="Ttulo1"/>
        <w:keepNext w:val="0"/>
        <w:keepLines w:val="0"/>
        <w:numPr>
          <w:ilvl w:val="0"/>
          <w:numId w:val="3"/>
        </w:numPr>
        <w:tabs>
          <w:tab w:val="left" w:pos="426"/>
        </w:tabs>
        <w:spacing w:before="0"/>
        <w:ind w:right="-22"/>
        <w:jc w:val="both"/>
        <w:rPr>
          <w:rFonts w:ascii="Verdana" w:eastAsia="Times New Roman" w:hAnsi="Verdana" w:cs="Arial"/>
          <w:b w:val="0"/>
          <w:bCs w:val="0"/>
          <w:color w:val="auto"/>
          <w:sz w:val="17"/>
          <w:szCs w:val="17"/>
          <w:u w:val="single"/>
          <w:lang w:eastAsia="en-US"/>
        </w:rPr>
      </w:pPr>
      <w:r w:rsidRPr="00107B4D">
        <w:rPr>
          <w:rFonts w:ascii="Verdana" w:eastAsia="Times New Roman" w:hAnsi="Verdana" w:cs="Arial"/>
          <w:b w:val="0"/>
          <w:bCs w:val="0"/>
          <w:color w:val="auto"/>
          <w:sz w:val="17"/>
          <w:szCs w:val="17"/>
          <w:u w:val="single"/>
          <w:lang w:eastAsia="en-US"/>
        </w:rPr>
        <w:t>VENDAS E SERVIÇOS PRESTADOS E CUSTO DAS VENDAS</w:t>
      </w:r>
    </w:p>
    <w:p w14:paraId="0794CF97" w14:textId="77777777" w:rsidR="00C82F0D" w:rsidRPr="00107B4D" w:rsidRDefault="00C82F0D" w:rsidP="00633A3B">
      <w:pPr>
        <w:tabs>
          <w:tab w:val="left" w:pos="426"/>
          <w:tab w:val="left" w:pos="720"/>
          <w:tab w:val="right" w:pos="6600"/>
          <w:tab w:val="right" w:pos="8040"/>
        </w:tabs>
        <w:ind w:right="-22"/>
        <w:jc w:val="both"/>
        <w:rPr>
          <w:rFonts w:ascii="Verdana" w:hAnsi="Verdana" w:cs="Arial"/>
          <w:sz w:val="17"/>
          <w:szCs w:val="17"/>
        </w:rPr>
      </w:pPr>
    </w:p>
    <w:p w14:paraId="72EC7BA4" w14:textId="77777777" w:rsidR="00C82F0D" w:rsidRPr="00107B4D" w:rsidRDefault="00C82F0D" w:rsidP="00916960">
      <w:pPr>
        <w:tabs>
          <w:tab w:val="left" w:pos="426"/>
          <w:tab w:val="left" w:pos="720"/>
          <w:tab w:val="right" w:pos="6600"/>
          <w:tab w:val="right" w:pos="8040"/>
        </w:tabs>
        <w:ind w:left="426" w:right="-22"/>
        <w:jc w:val="both"/>
        <w:rPr>
          <w:rFonts w:ascii="Verdana" w:hAnsi="Verdana" w:cs="Arial"/>
          <w:sz w:val="17"/>
          <w:szCs w:val="17"/>
        </w:rPr>
      </w:pPr>
      <w:r w:rsidRPr="00107B4D">
        <w:rPr>
          <w:rFonts w:ascii="Verdana" w:hAnsi="Verdana" w:cs="Arial"/>
          <w:sz w:val="17"/>
          <w:szCs w:val="17"/>
        </w:rPr>
        <w:t xml:space="preserve">Estas rubricas têm a seguinte composição: </w:t>
      </w:r>
    </w:p>
    <w:p w14:paraId="75502DB9" w14:textId="77777777" w:rsidR="00C82F0D" w:rsidRPr="00107B4D" w:rsidRDefault="00C82F0D" w:rsidP="00F21970">
      <w:pPr>
        <w:tabs>
          <w:tab w:val="left" w:pos="426"/>
          <w:tab w:val="left" w:pos="720"/>
          <w:tab w:val="right" w:pos="6600"/>
          <w:tab w:val="right" w:pos="8040"/>
        </w:tabs>
        <w:ind w:left="426" w:right="-22"/>
        <w:jc w:val="both"/>
        <w:rPr>
          <w:rFonts w:ascii="Verdana" w:hAnsi="Verdana" w:cs="Arial"/>
          <w:sz w:val="17"/>
          <w:szCs w:val="17"/>
        </w:rPr>
      </w:pPr>
      <w:r w:rsidRPr="00107B4D">
        <w:rPr>
          <w:rFonts w:ascii="Verdana" w:hAnsi="Verdana" w:cs="Arial"/>
          <w:sz w:val="17"/>
          <w:szCs w:val="17"/>
        </w:rPr>
        <w:t xml:space="preserve"> </w:t>
      </w:r>
      <w:r w:rsidRPr="00BC4C83">
        <w:rPr>
          <w:noProof/>
        </w:rPr>
        <w:drawing>
          <wp:inline distT="0" distB="0" distL="0" distR="0" wp14:anchorId="705E8F57" wp14:editId="76ADE8F3">
            <wp:extent cx="5173200" cy="1084036"/>
            <wp:effectExtent l="0" t="0" r="8890" b="1905"/>
            <wp:docPr id="206461511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173200" cy="1084036"/>
                    </a:xfrm>
                    <a:prstGeom prst="rect">
                      <a:avLst/>
                    </a:prstGeom>
                    <a:noFill/>
                    <a:ln>
                      <a:noFill/>
                    </a:ln>
                  </pic:spPr>
                </pic:pic>
              </a:graphicData>
            </a:graphic>
          </wp:inline>
        </w:drawing>
      </w:r>
    </w:p>
    <w:p w14:paraId="1FF708D2" w14:textId="77777777" w:rsidR="00C82F0D" w:rsidRPr="00107B4D" w:rsidRDefault="00C82F0D" w:rsidP="00F21970">
      <w:pPr>
        <w:tabs>
          <w:tab w:val="left" w:pos="426"/>
          <w:tab w:val="left" w:pos="720"/>
          <w:tab w:val="right" w:pos="6600"/>
          <w:tab w:val="right" w:pos="8040"/>
        </w:tabs>
        <w:ind w:left="426" w:right="-22"/>
        <w:jc w:val="both"/>
        <w:rPr>
          <w:rFonts w:ascii="Verdana" w:hAnsi="Verdana" w:cs="Arial"/>
          <w:sz w:val="17"/>
          <w:szCs w:val="17"/>
        </w:rPr>
      </w:pPr>
    </w:p>
    <w:p w14:paraId="631A2871" w14:textId="77777777" w:rsidR="00C82F0D" w:rsidRPr="00107B4D" w:rsidRDefault="00C82F0D" w:rsidP="00633A3B">
      <w:pPr>
        <w:tabs>
          <w:tab w:val="left" w:pos="426"/>
          <w:tab w:val="left" w:pos="720"/>
          <w:tab w:val="right" w:pos="6600"/>
          <w:tab w:val="right" w:pos="8040"/>
        </w:tabs>
        <w:ind w:left="426" w:right="-22"/>
        <w:jc w:val="both"/>
        <w:rPr>
          <w:rFonts w:ascii="Verdana" w:hAnsi="Verdana" w:cs="Arial"/>
          <w:sz w:val="17"/>
          <w:szCs w:val="17"/>
        </w:rPr>
      </w:pPr>
    </w:p>
    <w:p w14:paraId="7D8E742D" w14:textId="77777777" w:rsidR="00C82F0D" w:rsidRPr="00107B4D" w:rsidRDefault="00C82F0D" w:rsidP="00D84952">
      <w:pPr>
        <w:pStyle w:val="Ttulo1"/>
        <w:keepNext w:val="0"/>
        <w:keepLines w:val="0"/>
        <w:numPr>
          <w:ilvl w:val="0"/>
          <w:numId w:val="3"/>
        </w:numPr>
        <w:tabs>
          <w:tab w:val="left" w:pos="426"/>
        </w:tabs>
        <w:spacing w:before="0"/>
        <w:ind w:right="-22"/>
        <w:jc w:val="both"/>
        <w:rPr>
          <w:rFonts w:ascii="Verdana" w:eastAsia="Times New Roman" w:hAnsi="Verdana" w:cs="Arial"/>
          <w:b w:val="0"/>
          <w:bCs w:val="0"/>
          <w:color w:val="auto"/>
          <w:sz w:val="17"/>
          <w:szCs w:val="17"/>
          <w:u w:val="single"/>
          <w:lang w:eastAsia="en-US"/>
        </w:rPr>
      </w:pPr>
      <w:r w:rsidRPr="00107B4D">
        <w:rPr>
          <w:rFonts w:ascii="Verdana" w:eastAsia="Times New Roman" w:hAnsi="Verdana" w:cs="Arial"/>
          <w:b w:val="0"/>
          <w:bCs w:val="0"/>
          <w:color w:val="auto"/>
          <w:sz w:val="17"/>
          <w:szCs w:val="17"/>
          <w:u w:val="single"/>
          <w:lang w:eastAsia="en-US"/>
        </w:rPr>
        <w:t>FORNECIMENTOS E SERVIÇOS EXTERNOS</w:t>
      </w:r>
    </w:p>
    <w:p w14:paraId="5D0BEF96" w14:textId="77777777" w:rsidR="00C82F0D" w:rsidRPr="00107B4D" w:rsidRDefault="00C82F0D" w:rsidP="00633A3B">
      <w:pPr>
        <w:tabs>
          <w:tab w:val="left" w:pos="426"/>
          <w:tab w:val="left" w:pos="720"/>
          <w:tab w:val="right" w:pos="6600"/>
          <w:tab w:val="right" w:pos="8040"/>
        </w:tabs>
        <w:ind w:right="-22"/>
        <w:jc w:val="both"/>
        <w:rPr>
          <w:rFonts w:ascii="Verdana" w:hAnsi="Verdana" w:cs="Arial"/>
          <w:sz w:val="17"/>
          <w:szCs w:val="17"/>
          <w:u w:val="single"/>
        </w:rPr>
      </w:pPr>
    </w:p>
    <w:p w14:paraId="2DF33678" w14:textId="77777777" w:rsidR="00C82F0D" w:rsidRPr="00107B4D" w:rsidRDefault="00C82F0D" w:rsidP="00633A3B">
      <w:pPr>
        <w:tabs>
          <w:tab w:val="left" w:pos="426"/>
        </w:tabs>
        <w:ind w:left="450" w:right="-22"/>
        <w:jc w:val="both"/>
        <w:rPr>
          <w:rFonts w:ascii="Verdana" w:hAnsi="Verdana" w:cs="Arial"/>
          <w:sz w:val="17"/>
          <w:szCs w:val="17"/>
        </w:rPr>
      </w:pPr>
      <w:r w:rsidRPr="00107B4D">
        <w:rPr>
          <w:rFonts w:ascii="Verdana" w:hAnsi="Verdana" w:cs="Arial"/>
          <w:sz w:val="17"/>
          <w:szCs w:val="17"/>
        </w:rPr>
        <w:t xml:space="preserve">Esta rubrica apresenta a seguinte composição: </w:t>
      </w:r>
    </w:p>
    <w:p w14:paraId="667D5F6D" w14:textId="77777777" w:rsidR="00C82F0D" w:rsidRPr="00107B4D" w:rsidRDefault="00C82F0D" w:rsidP="00633A3B">
      <w:pPr>
        <w:tabs>
          <w:tab w:val="left" w:pos="426"/>
        </w:tabs>
        <w:ind w:left="450" w:right="-22"/>
        <w:jc w:val="both"/>
        <w:rPr>
          <w:rFonts w:ascii="Verdana" w:hAnsi="Verdana" w:cs="Arial"/>
          <w:sz w:val="17"/>
          <w:szCs w:val="17"/>
        </w:rPr>
      </w:pPr>
    </w:p>
    <w:p w14:paraId="72C2BD86" w14:textId="5E138FFA" w:rsidR="00C82F0D" w:rsidRPr="00107B4D" w:rsidRDefault="002C4A1C" w:rsidP="00633A3B">
      <w:pPr>
        <w:tabs>
          <w:tab w:val="left" w:pos="426"/>
        </w:tabs>
        <w:ind w:left="450" w:right="-22"/>
        <w:jc w:val="both"/>
        <w:rPr>
          <w:rFonts w:ascii="Verdana" w:hAnsi="Verdana"/>
          <w:noProof/>
        </w:rPr>
      </w:pPr>
      <w:r w:rsidRPr="00E042C9">
        <w:rPr>
          <w:noProof/>
        </w:rPr>
        <w:lastRenderedPageBreak/>
        <w:drawing>
          <wp:inline distT="0" distB="0" distL="0" distR="0" wp14:anchorId="5A41CABB" wp14:editId="290B6032">
            <wp:extent cx="5041900" cy="2529389"/>
            <wp:effectExtent l="0" t="0" r="6350" b="0"/>
            <wp:docPr id="132577426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047655" cy="2532276"/>
                    </a:xfrm>
                    <a:prstGeom prst="rect">
                      <a:avLst/>
                    </a:prstGeom>
                    <a:noFill/>
                    <a:ln>
                      <a:noFill/>
                    </a:ln>
                  </pic:spPr>
                </pic:pic>
              </a:graphicData>
            </a:graphic>
          </wp:inline>
        </w:drawing>
      </w:r>
    </w:p>
    <w:p w14:paraId="33EDB138" w14:textId="77777777" w:rsidR="00C82F0D" w:rsidRPr="00107B4D" w:rsidRDefault="00C82F0D" w:rsidP="00633A3B">
      <w:pPr>
        <w:tabs>
          <w:tab w:val="left" w:pos="426"/>
          <w:tab w:val="left" w:pos="720"/>
          <w:tab w:val="right" w:pos="5670"/>
          <w:tab w:val="right" w:pos="6804"/>
          <w:tab w:val="right" w:pos="7939"/>
        </w:tabs>
        <w:ind w:left="426" w:right="-22"/>
        <w:jc w:val="both"/>
        <w:rPr>
          <w:rFonts w:ascii="Verdana" w:hAnsi="Verdana"/>
          <w:sz w:val="17"/>
          <w:szCs w:val="17"/>
        </w:rPr>
      </w:pPr>
    </w:p>
    <w:p w14:paraId="40B48EC8" w14:textId="77777777" w:rsidR="00C82F0D" w:rsidRPr="00107B4D" w:rsidRDefault="00C82F0D" w:rsidP="00633A3B">
      <w:pPr>
        <w:tabs>
          <w:tab w:val="left" w:pos="426"/>
          <w:tab w:val="left" w:pos="720"/>
          <w:tab w:val="right" w:pos="5670"/>
          <w:tab w:val="right" w:pos="6804"/>
          <w:tab w:val="right" w:pos="7939"/>
        </w:tabs>
        <w:ind w:left="426" w:right="-22"/>
        <w:jc w:val="both"/>
        <w:rPr>
          <w:rFonts w:ascii="Verdana" w:hAnsi="Verdana"/>
          <w:sz w:val="17"/>
          <w:szCs w:val="17"/>
        </w:rPr>
      </w:pPr>
      <w:r w:rsidRPr="00107B4D">
        <w:rPr>
          <w:rFonts w:ascii="Verdana" w:hAnsi="Verdana"/>
          <w:sz w:val="17"/>
          <w:szCs w:val="17"/>
        </w:rPr>
        <w:t>A rubrica “Trabalhos especializados” refere-se essencialmente ao pagamento de serviços jurídicos, honorários de auditores, consultores e contabilidade. No exercício de 202</w:t>
      </w:r>
      <w:r>
        <w:rPr>
          <w:rFonts w:ascii="Verdana" w:hAnsi="Verdana"/>
          <w:sz w:val="17"/>
          <w:szCs w:val="17"/>
        </w:rPr>
        <w:t>5</w:t>
      </w:r>
      <w:r w:rsidRPr="00107B4D">
        <w:rPr>
          <w:rFonts w:ascii="Verdana" w:hAnsi="Verdana"/>
          <w:sz w:val="17"/>
          <w:szCs w:val="17"/>
        </w:rPr>
        <w:t xml:space="preserve"> e 202</w:t>
      </w:r>
      <w:r>
        <w:rPr>
          <w:rFonts w:ascii="Verdana" w:hAnsi="Verdana"/>
          <w:sz w:val="17"/>
          <w:szCs w:val="17"/>
        </w:rPr>
        <w:t>4</w:t>
      </w:r>
      <w:r w:rsidRPr="00107B4D">
        <w:rPr>
          <w:rFonts w:ascii="Verdana" w:hAnsi="Verdana"/>
          <w:sz w:val="17"/>
          <w:szCs w:val="17"/>
        </w:rPr>
        <w:t xml:space="preserve">, esta rubrica inclui os honorários faturados e a faturar pelo Revisor Oficial de Contas da Sociedade, relativos à revisão legal das contas desse exercício e a serviços de auditoria. Para efeitos do cumprimento da alteração introduzida pelo Decreto-Lei nº 185/2009, de 12 de agosto, ao artigo 66º-A do </w:t>
      </w:r>
      <w:r w:rsidRPr="004163A0">
        <w:rPr>
          <w:rFonts w:ascii="Verdana" w:hAnsi="Verdana"/>
          <w:sz w:val="17"/>
          <w:szCs w:val="17"/>
        </w:rPr>
        <w:t>Código das Sociedades Comerciais os honorários de auditores contratualizados para os exercícios de 202</w:t>
      </w:r>
      <w:r>
        <w:rPr>
          <w:rFonts w:ascii="Verdana" w:hAnsi="Verdana"/>
          <w:sz w:val="17"/>
          <w:szCs w:val="17"/>
        </w:rPr>
        <w:t>5</w:t>
      </w:r>
      <w:r w:rsidRPr="004163A0">
        <w:rPr>
          <w:rFonts w:ascii="Verdana" w:hAnsi="Verdana"/>
          <w:sz w:val="17"/>
          <w:szCs w:val="17"/>
        </w:rPr>
        <w:t xml:space="preserve"> e 202</w:t>
      </w:r>
      <w:r>
        <w:rPr>
          <w:rFonts w:ascii="Verdana" w:hAnsi="Verdana"/>
          <w:sz w:val="17"/>
          <w:szCs w:val="17"/>
        </w:rPr>
        <w:t>4</w:t>
      </w:r>
      <w:r w:rsidRPr="004163A0">
        <w:rPr>
          <w:rFonts w:ascii="Verdana" w:hAnsi="Verdana"/>
          <w:sz w:val="17"/>
          <w:szCs w:val="17"/>
        </w:rPr>
        <w:t xml:space="preserve"> são </w:t>
      </w:r>
      <w:r>
        <w:rPr>
          <w:rFonts w:ascii="Verdana" w:hAnsi="Verdana"/>
          <w:sz w:val="17"/>
          <w:szCs w:val="17"/>
        </w:rPr>
        <w:t xml:space="preserve">de 135,30 </w:t>
      </w:r>
      <w:proofErr w:type="spellStart"/>
      <w:proofErr w:type="gramStart"/>
      <w:r>
        <w:rPr>
          <w:rFonts w:ascii="Verdana" w:hAnsi="Verdana"/>
          <w:sz w:val="17"/>
          <w:szCs w:val="17"/>
        </w:rPr>
        <w:t>m.euros</w:t>
      </w:r>
      <w:proofErr w:type="spellEnd"/>
      <w:proofErr w:type="gramEnd"/>
      <w:r>
        <w:rPr>
          <w:rFonts w:ascii="Verdana" w:hAnsi="Verdana"/>
          <w:sz w:val="17"/>
          <w:szCs w:val="17"/>
        </w:rPr>
        <w:t xml:space="preserve"> e 173 </w:t>
      </w:r>
      <w:proofErr w:type="spellStart"/>
      <w:proofErr w:type="gramStart"/>
      <w:r>
        <w:rPr>
          <w:rFonts w:ascii="Verdana" w:hAnsi="Verdana"/>
          <w:sz w:val="17"/>
          <w:szCs w:val="17"/>
        </w:rPr>
        <w:t>m.euros</w:t>
      </w:r>
      <w:proofErr w:type="spellEnd"/>
      <w:proofErr w:type="gramEnd"/>
      <w:r>
        <w:rPr>
          <w:rFonts w:ascii="Verdana" w:hAnsi="Verdana"/>
          <w:sz w:val="17"/>
          <w:szCs w:val="17"/>
        </w:rPr>
        <w:t>, com IVA incluído, respetivamente.</w:t>
      </w:r>
    </w:p>
    <w:p w14:paraId="69D65589" w14:textId="77777777" w:rsidR="00C82F0D" w:rsidRPr="00107B4D" w:rsidRDefault="00C82F0D" w:rsidP="00633A3B">
      <w:pPr>
        <w:tabs>
          <w:tab w:val="left" w:pos="426"/>
          <w:tab w:val="left" w:pos="720"/>
          <w:tab w:val="right" w:pos="5670"/>
          <w:tab w:val="right" w:pos="6804"/>
          <w:tab w:val="right" w:pos="7939"/>
        </w:tabs>
        <w:ind w:left="426" w:right="-22"/>
        <w:jc w:val="both"/>
        <w:rPr>
          <w:rFonts w:ascii="Verdana" w:hAnsi="Verdana" w:cs="Arial"/>
          <w:sz w:val="17"/>
          <w:szCs w:val="17"/>
        </w:rPr>
      </w:pPr>
    </w:p>
    <w:p w14:paraId="5E9C6287" w14:textId="77777777" w:rsidR="00C82F0D" w:rsidRPr="00107B4D" w:rsidRDefault="00C82F0D" w:rsidP="00633A3B">
      <w:pPr>
        <w:tabs>
          <w:tab w:val="left" w:pos="426"/>
          <w:tab w:val="left" w:pos="720"/>
          <w:tab w:val="right" w:pos="5670"/>
          <w:tab w:val="right" w:pos="6804"/>
          <w:tab w:val="right" w:pos="7939"/>
        </w:tabs>
        <w:ind w:left="426" w:right="-22"/>
        <w:jc w:val="both"/>
        <w:rPr>
          <w:rFonts w:ascii="Verdana" w:hAnsi="Verdana" w:cs="Arial"/>
          <w:sz w:val="17"/>
          <w:szCs w:val="17"/>
        </w:rPr>
      </w:pPr>
      <w:r w:rsidRPr="00107B4D">
        <w:rPr>
          <w:rFonts w:ascii="Verdana" w:hAnsi="Verdana" w:cs="Arial"/>
          <w:sz w:val="17"/>
          <w:szCs w:val="17"/>
        </w:rPr>
        <w:t>A rubrica “Comissão de cobrança/ Servicing” refere-se às comissões pagas a empresas de gestão e recuperação de crédito.</w:t>
      </w:r>
    </w:p>
    <w:p w14:paraId="307CB541" w14:textId="77777777" w:rsidR="00C82F0D" w:rsidRPr="00107B4D" w:rsidRDefault="00C82F0D" w:rsidP="00633A3B">
      <w:pPr>
        <w:tabs>
          <w:tab w:val="left" w:pos="426"/>
          <w:tab w:val="left" w:pos="720"/>
          <w:tab w:val="right" w:pos="5670"/>
          <w:tab w:val="right" w:pos="6804"/>
          <w:tab w:val="right" w:pos="7939"/>
        </w:tabs>
        <w:ind w:left="426" w:right="-22"/>
        <w:jc w:val="both"/>
        <w:rPr>
          <w:rFonts w:ascii="Verdana" w:hAnsi="Verdana" w:cs="Arial"/>
          <w:sz w:val="17"/>
          <w:szCs w:val="17"/>
        </w:rPr>
      </w:pPr>
    </w:p>
    <w:p w14:paraId="67843A21" w14:textId="77777777" w:rsidR="00CC29B7" w:rsidRDefault="00CC29B7" w:rsidP="00CC29B7">
      <w:pPr>
        <w:tabs>
          <w:tab w:val="left" w:pos="426"/>
          <w:tab w:val="left" w:pos="1276"/>
          <w:tab w:val="right" w:pos="6804"/>
          <w:tab w:val="right" w:pos="7939"/>
        </w:tabs>
        <w:ind w:left="426" w:right="-22"/>
        <w:jc w:val="both"/>
        <w:rPr>
          <w:rFonts w:ascii="Verdana" w:hAnsi="Verdana" w:cs="Arial"/>
          <w:sz w:val="17"/>
          <w:szCs w:val="17"/>
          <w:highlight w:val="yellow"/>
        </w:rPr>
      </w:pPr>
      <w:r w:rsidRPr="00E042C9">
        <w:rPr>
          <w:rFonts w:ascii="Verdana" w:hAnsi="Verdana" w:cs="Arial"/>
          <w:sz w:val="17"/>
          <w:szCs w:val="17"/>
        </w:rPr>
        <w:t>No exercício de 2025 e 2024, a rubrica “Rendas e alugueres” inclui os gastos com as rendas de equipamento alugado, nomeadamente impressoras e aluguer pontual de viaturas.</w:t>
      </w:r>
      <w:r>
        <w:rPr>
          <w:rFonts w:ascii="Verdana" w:hAnsi="Verdana" w:cs="Arial"/>
          <w:sz w:val="17"/>
          <w:szCs w:val="17"/>
          <w:highlight w:val="yellow"/>
        </w:rPr>
        <w:t xml:space="preserve"> </w:t>
      </w:r>
    </w:p>
    <w:p w14:paraId="56B6F701" w14:textId="77777777" w:rsidR="00CC29B7" w:rsidRPr="00323ACA" w:rsidRDefault="00CC29B7" w:rsidP="00CC29B7">
      <w:pPr>
        <w:tabs>
          <w:tab w:val="left" w:pos="426"/>
          <w:tab w:val="left" w:pos="1276"/>
          <w:tab w:val="right" w:pos="6804"/>
          <w:tab w:val="right" w:pos="7939"/>
        </w:tabs>
        <w:ind w:left="426" w:right="-22"/>
        <w:jc w:val="both"/>
        <w:rPr>
          <w:rFonts w:ascii="Verdana" w:hAnsi="Verdana" w:cs="Arial"/>
          <w:sz w:val="17"/>
          <w:szCs w:val="17"/>
        </w:rPr>
      </w:pPr>
    </w:p>
    <w:p w14:paraId="3B423AC8" w14:textId="626CF4E0" w:rsidR="00C82F0D" w:rsidRPr="00107B4D" w:rsidRDefault="00CC29B7" w:rsidP="00CC29B7">
      <w:pPr>
        <w:tabs>
          <w:tab w:val="left" w:pos="426"/>
          <w:tab w:val="left" w:pos="1276"/>
          <w:tab w:val="right" w:pos="6804"/>
          <w:tab w:val="right" w:pos="7939"/>
        </w:tabs>
        <w:ind w:left="426" w:right="-22"/>
        <w:jc w:val="both"/>
        <w:rPr>
          <w:rFonts w:ascii="Verdana" w:hAnsi="Verdana" w:cs="Arial"/>
          <w:sz w:val="17"/>
          <w:szCs w:val="17"/>
        </w:rPr>
      </w:pPr>
      <w:r w:rsidRPr="00323ACA">
        <w:rPr>
          <w:rFonts w:ascii="Verdana" w:hAnsi="Verdana" w:cs="Arial"/>
          <w:sz w:val="17"/>
          <w:szCs w:val="17"/>
        </w:rPr>
        <w:t xml:space="preserve">As rendas das instalações da Sociedade encontram-se em conformidade com o indicado na nota 2.4 m), na qual </w:t>
      </w:r>
      <w:r>
        <w:rPr>
          <w:rFonts w:ascii="Verdana" w:hAnsi="Verdana" w:cs="Arial"/>
          <w:sz w:val="17"/>
          <w:szCs w:val="17"/>
        </w:rPr>
        <w:t xml:space="preserve">é efetuado o </w:t>
      </w:r>
      <w:r w:rsidRPr="00323ACA">
        <w:rPr>
          <w:rFonts w:ascii="Verdana" w:hAnsi="Verdana" w:cs="Arial"/>
          <w:sz w:val="17"/>
          <w:szCs w:val="17"/>
        </w:rPr>
        <w:tab/>
        <w:t xml:space="preserve">registo em juros e gastos similares suportados </w:t>
      </w:r>
      <w:r>
        <w:rPr>
          <w:rFonts w:ascii="Verdana" w:hAnsi="Verdana" w:cs="Arial"/>
          <w:sz w:val="17"/>
          <w:szCs w:val="17"/>
        </w:rPr>
        <w:t xml:space="preserve">do </w:t>
      </w:r>
      <w:r w:rsidRPr="00323ACA">
        <w:rPr>
          <w:rFonts w:ascii="Verdana" w:hAnsi="Verdana" w:cs="Arial"/>
          <w:sz w:val="17"/>
          <w:szCs w:val="17"/>
        </w:rPr>
        <w:t>gasto de juros relativo aos passivos de locação</w:t>
      </w:r>
      <w:r>
        <w:rPr>
          <w:rFonts w:ascii="Verdana" w:hAnsi="Verdana" w:cs="Arial"/>
          <w:sz w:val="17"/>
          <w:szCs w:val="17"/>
        </w:rPr>
        <w:t xml:space="preserve"> e o </w:t>
      </w:r>
      <w:r w:rsidRPr="00323ACA">
        <w:rPr>
          <w:rFonts w:ascii="Verdana" w:hAnsi="Verdana" w:cs="Arial"/>
          <w:sz w:val="17"/>
          <w:szCs w:val="17"/>
        </w:rPr>
        <w:tab/>
        <w:t>registo em amortizações do custo de depreciação dos ativos sob direito de uso.</w:t>
      </w:r>
    </w:p>
    <w:p w14:paraId="76D5DF06" w14:textId="77777777" w:rsidR="00C82F0D" w:rsidRPr="00107B4D" w:rsidRDefault="00C82F0D" w:rsidP="00633A3B">
      <w:pPr>
        <w:tabs>
          <w:tab w:val="left" w:pos="426"/>
          <w:tab w:val="left" w:pos="1276"/>
          <w:tab w:val="right" w:pos="6804"/>
          <w:tab w:val="right" w:pos="7939"/>
        </w:tabs>
        <w:ind w:left="426" w:right="-22"/>
        <w:jc w:val="both"/>
        <w:rPr>
          <w:rFonts w:ascii="Verdana" w:hAnsi="Verdana" w:cs="Arial"/>
          <w:sz w:val="17"/>
          <w:szCs w:val="17"/>
        </w:rPr>
      </w:pPr>
    </w:p>
    <w:p w14:paraId="05D9D741" w14:textId="77777777" w:rsidR="00C82F0D" w:rsidRPr="00107B4D" w:rsidRDefault="00C82F0D" w:rsidP="00EF4569">
      <w:pPr>
        <w:tabs>
          <w:tab w:val="left" w:pos="426"/>
          <w:tab w:val="left" w:pos="720"/>
          <w:tab w:val="right" w:pos="6600"/>
          <w:tab w:val="right" w:pos="8040"/>
        </w:tabs>
        <w:ind w:right="-22"/>
        <w:jc w:val="both"/>
        <w:rPr>
          <w:rFonts w:ascii="Verdana" w:hAnsi="Verdana" w:cs="Arial"/>
          <w:sz w:val="17"/>
          <w:szCs w:val="17"/>
        </w:rPr>
      </w:pPr>
    </w:p>
    <w:p w14:paraId="112385A6" w14:textId="77777777" w:rsidR="00C82F0D" w:rsidRPr="00107B4D" w:rsidRDefault="00C82F0D" w:rsidP="00E46217">
      <w:pPr>
        <w:tabs>
          <w:tab w:val="left" w:pos="426"/>
          <w:tab w:val="left" w:pos="720"/>
          <w:tab w:val="right" w:pos="6600"/>
          <w:tab w:val="right" w:pos="8040"/>
        </w:tabs>
        <w:ind w:left="426" w:right="-22"/>
        <w:jc w:val="both"/>
        <w:rPr>
          <w:rFonts w:ascii="Verdana" w:hAnsi="Verdana"/>
          <w:sz w:val="17"/>
          <w:szCs w:val="17"/>
        </w:rPr>
      </w:pPr>
    </w:p>
    <w:p w14:paraId="1ACAEB27" w14:textId="77777777" w:rsidR="00C82F0D" w:rsidRPr="00107B4D" w:rsidRDefault="00C82F0D" w:rsidP="00D84952">
      <w:pPr>
        <w:pStyle w:val="Ttulo1"/>
        <w:keepNext w:val="0"/>
        <w:keepLines w:val="0"/>
        <w:numPr>
          <w:ilvl w:val="0"/>
          <w:numId w:val="3"/>
        </w:numPr>
        <w:tabs>
          <w:tab w:val="left" w:pos="426"/>
        </w:tabs>
        <w:spacing w:before="0"/>
        <w:ind w:right="-22"/>
        <w:jc w:val="both"/>
        <w:rPr>
          <w:rFonts w:ascii="Verdana" w:eastAsia="Times New Roman" w:hAnsi="Verdana" w:cs="Arial"/>
          <w:b w:val="0"/>
          <w:bCs w:val="0"/>
          <w:color w:val="auto"/>
          <w:sz w:val="17"/>
          <w:szCs w:val="17"/>
          <w:u w:val="single"/>
          <w:lang w:eastAsia="en-US"/>
        </w:rPr>
      </w:pPr>
      <w:r w:rsidRPr="00107B4D">
        <w:rPr>
          <w:rFonts w:ascii="Verdana" w:eastAsia="Times New Roman" w:hAnsi="Verdana" w:cs="Arial"/>
          <w:b w:val="0"/>
          <w:bCs w:val="0"/>
          <w:color w:val="auto"/>
          <w:sz w:val="17"/>
          <w:szCs w:val="17"/>
          <w:u w:val="single"/>
          <w:lang w:eastAsia="en-US"/>
        </w:rPr>
        <w:t>GASTOS COM PESSOAL</w:t>
      </w:r>
    </w:p>
    <w:p w14:paraId="75ABF355" w14:textId="77777777" w:rsidR="00C82F0D" w:rsidRPr="00107B4D" w:rsidRDefault="00C82F0D" w:rsidP="00633A3B">
      <w:pPr>
        <w:tabs>
          <w:tab w:val="left" w:pos="426"/>
          <w:tab w:val="left" w:pos="720"/>
          <w:tab w:val="right" w:pos="6600"/>
          <w:tab w:val="right" w:pos="8040"/>
        </w:tabs>
        <w:ind w:right="-22"/>
        <w:jc w:val="both"/>
        <w:rPr>
          <w:rFonts w:ascii="Verdana" w:hAnsi="Verdana" w:cs="Arial"/>
          <w:sz w:val="17"/>
          <w:szCs w:val="17"/>
        </w:rPr>
      </w:pPr>
    </w:p>
    <w:p w14:paraId="60A2FE9C" w14:textId="77777777" w:rsidR="00C82F0D" w:rsidRPr="00107B4D" w:rsidRDefault="00C82F0D" w:rsidP="00633A3B">
      <w:pPr>
        <w:tabs>
          <w:tab w:val="left" w:pos="426"/>
          <w:tab w:val="left" w:pos="720"/>
          <w:tab w:val="right" w:pos="6600"/>
          <w:tab w:val="right" w:pos="8040"/>
        </w:tabs>
        <w:ind w:left="426" w:right="-22"/>
        <w:jc w:val="both"/>
        <w:rPr>
          <w:rFonts w:ascii="Verdana" w:hAnsi="Verdana" w:cs="Arial"/>
          <w:sz w:val="17"/>
          <w:szCs w:val="17"/>
        </w:rPr>
      </w:pPr>
      <w:r w:rsidRPr="00107B4D">
        <w:rPr>
          <w:rFonts w:ascii="Verdana" w:hAnsi="Verdana" w:cs="Arial"/>
          <w:sz w:val="17"/>
          <w:szCs w:val="17"/>
        </w:rPr>
        <w:t xml:space="preserve">Esta rubrica apresenta o seguinte detalhe:  </w:t>
      </w:r>
    </w:p>
    <w:p w14:paraId="680E94E4" w14:textId="77777777" w:rsidR="00C82F0D" w:rsidRPr="00107B4D" w:rsidRDefault="00C82F0D" w:rsidP="00633A3B">
      <w:pPr>
        <w:tabs>
          <w:tab w:val="left" w:pos="426"/>
          <w:tab w:val="left" w:pos="720"/>
          <w:tab w:val="right" w:pos="6600"/>
          <w:tab w:val="right" w:pos="8040"/>
        </w:tabs>
        <w:ind w:left="426" w:right="-22"/>
        <w:jc w:val="both"/>
        <w:rPr>
          <w:rFonts w:ascii="Verdana" w:hAnsi="Verdana" w:cs="Arial"/>
          <w:sz w:val="17"/>
          <w:szCs w:val="17"/>
        </w:rPr>
      </w:pPr>
    </w:p>
    <w:p w14:paraId="1272D017" w14:textId="77777777" w:rsidR="00C82F0D" w:rsidRPr="00107B4D" w:rsidRDefault="00C82F0D" w:rsidP="003C6A95">
      <w:pPr>
        <w:tabs>
          <w:tab w:val="left" w:pos="426"/>
          <w:tab w:val="left" w:pos="720"/>
          <w:tab w:val="right" w:pos="6600"/>
          <w:tab w:val="right" w:pos="8040"/>
        </w:tabs>
        <w:ind w:left="426" w:right="-22"/>
        <w:jc w:val="both"/>
        <w:rPr>
          <w:rFonts w:ascii="Verdana" w:hAnsi="Verdana" w:cs="Arial"/>
          <w:sz w:val="17"/>
          <w:szCs w:val="17"/>
        </w:rPr>
      </w:pPr>
      <w:r w:rsidRPr="00BC4C83">
        <w:rPr>
          <w:noProof/>
        </w:rPr>
        <w:drawing>
          <wp:inline distT="0" distB="0" distL="0" distR="0" wp14:anchorId="1A429191" wp14:editId="06D7165C">
            <wp:extent cx="5173200" cy="1930825"/>
            <wp:effectExtent l="0" t="0" r="0" b="0"/>
            <wp:docPr id="152575826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173200" cy="1930825"/>
                    </a:xfrm>
                    <a:prstGeom prst="rect">
                      <a:avLst/>
                    </a:prstGeom>
                    <a:noFill/>
                    <a:ln>
                      <a:noFill/>
                    </a:ln>
                  </pic:spPr>
                </pic:pic>
              </a:graphicData>
            </a:graphic>
          </wp:inline>
        </w:drawing>
      </w:r>
    </w:p>
    <w:p w14:paraId="59A5ACFD" w14:textId="77777777" w:rsidR="00C82F0D" w:rsidRPr="00107B4D" w:rsidRDefault="00C82F0D" w:rsidP="000B538C">
      <w:pPr>
        <w:tabs>
          <w:tab w:val="left" w:pos="426"/>
          <w:tab w:val="left" w:pos="720"/>
          <w:tab w:val="right" w:pos="6600"/>
          <w:tab w:val="right" w:pos="8040"/>
        </w:tabs>
        <w:ind w:right="-22"/>
        <w:jc w:val="both"/>
        <w:rPr>
          <w:rFonts w:ascii="Verdana" w:hAnsi="Verdana" w:cs="Arial"/>
          <w:sz w:val="17"/>
          <w:szCs w:val="17"/>
        </w:rPr>
      </w:pPr>
    </w:p>
    <w:p w14:paraId="43EA4D50" w14:textId="77777777" w:rsidR="00C82F0D" w:rsidRPr="00107B4D" w:rsidRDefault="00C82F0D" w:rsidP="008A506B">
      <w:pPr>
        <w:tabs>
          <w:tab w:val="left" w:pos="426"/>
          <w:tab w:val="left" w:pos="720"/>
          <w:tab w:val="right" w:pos="6600"/>
          <w:tab w:val="right" w:pos="8040"/>
        </w:tabs>
        <w:ind w:right="-22"/>
        <w:jc w:val="both"/>
        <w:rPr>
          <w:rFonts w:ascii="Verdana" w:hAnsi="Verdana" w:cs="Arial"/>
          <w:sz w:val="17"/>
          <w:szCs w:val="17"/>
        </w:rPr>
      </w:pPr>
    </w:p>
    <w:p w14:paraId="0EA4C304" w14:textId="77777777" w:rsidR="00C82F0D" w:rsidRPr="00107B4D" w:rsidRDefault="00C82F0D" w:rsidP="00633A3B">
      <w:pPr>
        <w:tabs>
          <w:tab w:val="left" w:pos="426"/>
          <w:tab w:val="left" w:pos="720"/>
          <w:tab w:val="right" w:pos="6600"/>
          <w:tab w:val="right" w:pos="8040"/>
        </w:tabs>
        <w:ind w:left="426" w:right="-22"/>
        <w:jc w:val="both"/>
        <w:rPr>
          <w:rFonts w:ascii="Verdana" w:hAnsi="Verdana" w:cs="Arial"/>
          <w:sz w:val="17"/>
          <w:szCs w:val="17"/>
        </w:rPr>
      </w:pPr>
      <w:r w:rsidRPr="00107B4D">
        <w:rPr>
          <w:rFonts w:ascii="Verdana" w:hAnsi="Verdana" w:cs="Arial"/>
          <w:sz w:val="17"/>
          <w:szCs w:val="17"/>
        </w:rPr>
        <w:t>Em 31 de dezembro de 202</w:t>
      </w:r>
      <w:r>
        <w:rPr>
          <w:rFonts w:ascii="Verdana" w:hAnsi="Verdana" w:cs="Arial"/>
          <w:sz w:val="17"/>
          <w:szCs w:val="17"/>
        </w:rPr>
        <w:t>5</w:t>
      </w:r>
      <w:r w:rsidRPr="00107B4D">
        <w:rPr>
          <w:rFonts w:ascii="Verdana" w:hAnsi="Verdana" w:cs="Arial"/>
          <w:sz w:val="17"/>
          <w:szCs w:val="17"/>
        </w:rPr>
        <w:t xml:space="preserve">, a Sociedade dispõe de </w:t>
      </w:r>
      <w:r w:rsidRPr="00DA0FCB">
        <w:rPr>
          <w:rFonts w:ascii="Verdana" w:hAnsi="Verdana" w:cs="Arial"/>
          <w:sz w:val="17"/>
          <w:szCs w:val="17"/>
        </w:rPr>
        <w:t>8</w:t>
      </w:r>
      <w:r>
        <w:rPr>
          <w:rFonts w:ascii="Verdana" w:hAnsi="Verdana" w:cs="Arial"/>
          <w:sz w:val="17"/>
          <w:szCs w:val="17"/>
        </w:rPr>
        <w:t>6</w:t>
      </w:r>
      <w:r w:rsidRPr="00DA0FCB">
        <w:rPr>
          <w:rFonts w:ascii="Verdana" w:hAnsi="Verdana" w:cs="Arial"/>
          <w:sz w:val="17"/>
          <w:szCs w:val="17"/>
        </w:rPr>
        <w:t xml:space="preserve"> colaboradores</w:t>
      </w:r>
      <w:r w:rsidRPr="00107B4D">
        <w:rPr>
          <w:rFonts w:ascii="Verdana" w:hAnsi="Verdana" w:cs="Arial"/>
          <w:sz w:val="17"/>
          <w:szCs w:val="17"/>
        </w:rPr>
        <w:t xml:space="preserve"> (remunerados e não remunerados), repartidos pelas seguintes categorias profissionais:</w:t>
      </w:r>
    </w:p>
    <w:p w14:paraId="61DA38D5" w14:textId="77777777" w:rsidR="00C82F0D" w:rsidRPr="00107B4D" w:rsidRDefault="00C82F0D" w:rsidP="00633A3B">
      <w:pPr>
        <w:tabs>
          <w:tab w:val="left" w:pos="426"/>
          <w:tab w:val="left" w:pos="720"/>
          <w:tab w:val="right" w:pos="6600"/>
          <w:tab w:val="right" w:pos="8040"/>
        </w:tabs>
        <w:ind w:left="426" w:right="-22"/>
        <w:jc w:val="both"/>
        <w:rPr>
          <w:rFonts w:ascii="Verdana" w:hAnsi="Verdana" w:cs="Arial"/>
          <w:sz w:val="17"/>
          <w:szCs w:val="17"/>
        </w:rPr>
      </w:pPr>
    </w:p>
    <w:p w14:paraId="0BC32F0E" w14:textId="77777777" w:rsidR="00C82F0D" w:rsidRPr="00107B4D" w:rsidRDefault="00C82F0D" w:rsidP="00633A3B">
      <w:pPr>
        <w:tabs>
          <w:tab w:val="left" w:pos="426"/>
          <w:tab w:val="left" w:pos="720"/>
          <w:tab w:val="right" w:pos="6600"/>
          <w:tab w:val="right" w:pos="8040"/>
        </w:tabs>
        <w:ind w:left="426" w:right="-22"/>
        <w:jc w:val="both"/>
        <w:rPr>
          <w:rFonts w:ascii="Verdana" w:hAnsi="Verdana" w:cs="Arial"/>
          <w:sz w:val="17"/>
          <w:szCs w:val="17"/>
        </w:rPr>
      </w:pPr>
      <w:r w:rsidRPr="00DA0FCB">
        <w:rPr>
          <w:noProof/>
        </w:rPr>
        <w:lastRenderedPageBreak/>
        <w:drawing>
          <wp:inline distT="0" distB="0" distL="0" distR="0" wp14:anchorId="0481811F" wp14:editId="7743307D">
            <wp:extent cx="5173200" cy="953246"/>
            <wp:effectExtent l="0" t="0" r="8890" b="0"/>
            <wp:docPr id="148024895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173200" cy="953246"/>
                    </a:xfrm>
                    <a:prstGeom prst="rect">
                      <a:avLst/>
                    </a:prstGeom>
                    <a:noFill/>
                    <a:ln>
                      <a:noFill/>
                    </a:ln>
                  </pic:spPr>
                </pic:pic>
              </a:graphicData>
            </a:graphic>
          </wp:inline>
        </w:drawing>
      </w:r>
    </w:p>
    <w:p w14:paraId="59F0E03C" w14:textId="77777777" w:rsidR="00C82F0D" w:rsidRPr="00107B4D" w:rsidRDefault="00C82F0D" w:rsidP="00633A3B">
      <w:pPr>
        <w:tabs>
          <w:tab w:val="left" w:pos="426"/>
          <w:tab w:val="left" w:pos="720"/>
          <w:tab w:val="right" w:pos="6600"/>
          <w:tab w:val="right" w:pos="8040"/>
        </w:tabs>
        <w:ind w:left="426" w:right="-22"/>
        <w:jc w:val="both"/>
        <w:rPr>
          <w:rFonts w:ascii="Verdana" w:hAnsi="Verdana" w:cs="Arial"/>
          <w:sz w:val="17"/>
          <w:szCs w:val="17"/>
        </w:rPr>
      </w:pPr>
    </w:p>
    <w:p w14:paraId="08D747D3" w14:textId="77777777" w:rsidR="00C82F0D" w:rsidRPr="00107B4D" w:rsidRDefault="00C82F0D" w:rsidP="00633A3B">
      <w:pPr>
        <w:tabs>
          <w:tab w:val="left" w:pos="426"/>
          <w:tab w:val="left" w:pos="720"/>
          <w:tab w:val="right" w:pos="6600"/>
          <w:tab w:val="right" w:pos="8040"/>
        </w:tabs>
        <w:ind w:left="426" w:right="-22"/>
        <w:jc w:val="both"/>
        <w:rPr>
          <w:rFonts w:ascii="Verdana" w:hAnsi="Verdana" w:cs="Arial"/>
          <w:sz w:val="17"/>
          <w:szCs w:val="17"/>
        </w:rPr>
      </w:pPr>
    </w:p>
    <w:p w14:paraId="45EB1DF4" w14:textId="77777777" w:rsidR="00C82F0D" w:rsidRPr="00107B4D" w:rsidRDefault="00C82F0D" w:rsidP="00D84952">
      <w:pPr>
        <w:pStyle w:val="Ttulo1"/>
        <w:keepNext w:val="0"/>
        <w:keepLines w:val="0"/>
        <w:numPr>
          <w:ilvl w:val="0"/>
          <w:numId w:val="3"/>
        </w:numPr>
        <w:tabs>
          <w:tab w:val="left" w:pos="426"/>
        </w:tabs>
        <w:spacing w:before="0"/>
        <w:ind w:right="-22"/>
        <w:jc w:val="both"/>
        <w:rPr>
          <w:rFonts w:ascii="Verdana" w:eastAsia="Times New Roman" w:hAnsi="Verdana" w:cs="Arial"/>
          <w:b w:val="0"/>
          <w:bCs w:val="0"/>
          <w:color w:val="auto"/>
          <w:sz w:val="17"/>
          <w:szCs w:val="17"/>
          <w:u w:val="single"/>
          <w:lang w:eastAsia="en-US"/>
        </w:rPr>
      </w:pPr>
      <w:r w:rsidRPr="00107B4D">
        <w:rPr>
          <w:rFonts w:ascii="Verdana" w:eastAsia="Times New Roman" w:hAnsi="Verdana" w:cs="Arial"/>
          <w:b w:val="0"/>
          <w:bCs w:val="0"/>
          <w:color w:val="auto"/>
          <w:sz w:val="17"/>
          <w:szCs w:val="17"/>
          <w:u w:val="single"/>
          <w:lang w:eastAsia="en-US"/>
        </w:rPr>
        <w:t>RESULTADOS EM ATIVOS FINANCEIROS AO JUSTO VALOR ATRAVÉS DE RESULTADOS</w:t>
      </w:r>
    </w:p>
    <w:p w14:paraId="67E8EB3C" w14:textId="77777777" w:rsidR="00C82F0D" w:rsidRPr="00107B4D" w:rsidRDefault="00C82F0D" w:rsidP="00633A3B">
      <w:pPr>
        <w:jc w:val="both"/>
        <w:rPr>
          <w:rFonts w:ascii="Verdana" w:hAnsi="Verdana"/>
          <w:lang w:eastAsia="en-US"/>
        </w:rPr>
      </w:pPr>
    </w:p>
    <w:p w14:paraId="6D955594" w14:textId="77777777" w:rsidR="00C82F0D" w:rsidRPr="00107B4D" w:rsidRDefault="00C82F0D" w:rsidP="00633A3B">
      <w:pPr>
        <w:ind w:left="360"/>
        <w:jc w:val="both"/>
        <w:rPr>
          <w:rFonts w:ascii="Verdana" w:hAnsi="Verdana" w:cs="Arial"/>
          <w:sz w:val="17"/>
          <w:szCs w:val="17"/>
        </w:rPr>
      </w:pPr>
      <w:r w:rsidRPr="00107B4D">
        <w:rPr>
          <w:rFonts w:ascii="Verdana" w:hAnsi="Verdana" w:cs="Arial"/>
          <w:sz w:val="17"/>
          <w:szCs w:val="17"/>
        </w:rPr>
        <w:t>Nos exercícios de 202</w:t>
      </w:r>
      <w:r>
        <w:rPr>
          <w:rFonts w:ascii="Verdana" w:hAnsi="Verdana" w:cs="Arial"/>
          <w:sz w:val="17"/>
          <w:szCs w:val="17"/>
        </w:rPr>
        <w:t>5</w:t>
      </w:r>
      <w:r w:rsidRPr="00107B4D">
        <w:rPr>
          <w:rFonts w:ascii="Verdana" w:hAnsi="Verdana" w:cs="Arial"/>
          <w:sz w:val="17"/>
          <w:szCs w:val="17"/>
        </w:rPr>
        <w:t xml:space="preserve"> e 202</w:t>
      </w:r>
      <w:r>
        <w:rPr>
          <w:rFonts w:ascii="Verdana" w:hAnsi="Verdana" w:cs="Arial"/>
          <w:sz w:val="17"/>
          <w:szCs w:val="17"/>
        </w:rPr>
        <w:t>4</w:t>
      </w:r>
      <w:r w:rsidRPr="00107B4D">
        <w:rPr>
          <w:rFonts w:ascii="Verdana" w:hAnsi="Verdana" w:cs="Arial"/>
          <w:sz w:val="17"/>
          <w:szCs w:val="17"/>
        </w:rPr>
        <w:t>, esta rubrica respeita a perdas e ganhos por reduções e aumentos de justo valor associadas às participações financeiras registadas em “Ativos financeiros ao justo valor através de resultados”, conforme detalhado abaixo:</w:t>
      </w:r>
    </w:p>
    <w:p w14:paraId="1501077A" w14:textId="77777777" w:rsidR="00C82F0D" w:rsidRPr="00107B4D" w:rsidRDefault="00C82F0D" w:rsidP="00633A3B">
      <w:pPr>
        <w:ind w:left="360"/>
        <w:jc w:val="both"/>
        <w:rPr>
          <w:rFonts w:ascii="Verdana" w:hAnsi="Verdana" w:cs="Arial"/>
          <w:sz w:val="17"/>
          <w:szCs w:val="17"/>
        </w:rPr>
      </w:pPr>
    </w:p>
    <w:p w14:paraId="63889EC5" w14:textId="77777777" w:rsidR="00C82F0D" w:rsidRPr="00107B4D" w:rsidRDefault="00C82F0D" w:rsidP="00633A3B">
      <w:pPr>
        <w:ind w:left="360"/>
        <w:jc w:val="both"/>
        <w:rPr>
          <w:rFonts w:ascii="Verdana" w:hAnsi="Verdana" w:cs="Arial"/>
          <w:sz w:val="17"/>
          <w:szCs w:val="17"/>
        </w:rPr>
      </w:pPr>
      <w:r w:rsidRPr="001D6ED2">
        <w:rPr>
          <w:noProof/>
        </w:rPr>
        <w:drawing>
          <wp:inline distT="0" distB="0" distL="0" distR="0" wp14:anchorId="67A82E62" wp14:editId="3A0852EC">
            <wp:extent cx="5173200" cy="1756236"/>
            <wp:effectExtent l="0" t="0" r="0" b="0"/>
            <wp:docPr id="5802402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173200" cy="1756236"/>
                    </a:xfrm>
                    <a:prstGeom prst="rect">
                      <a:avLst/>
                    </a:prstGeom>
                    <a:noFill/>
                    <a:ln>
                      <a:noFill/>
                    </a:ln>
                  </pic:spPr>
                </pic:pic>
              </a:graphicData>
            </a:graphic>
          </wp:inline>
        </w:drawing>
      </w:r>
    </w:p>
    <w:p w14:paraId="0B3FE867" w14:textId="77777777" w:rsidR="00C82F0D" w:rsidRPr="00107B4D" w:rsidRDefault="00C82F0D" w:rsidP="008B5CF7">
      <w:pPr>
        <w:jc w:val="both"/>
        <w:rPr>
          <w:rFonts w:ascii="Verdana" w:hAnsi="Verdana"/>
          <w:noProof/>
          <w:sz w:val="17"/>
          <w:szCs w:val="17"/>
        </w:rPr>
      </w:pPr>
    </w:p>
    <w:p w14:paraId="2DC35C0F" w14:textId="77777777" w:rsidR="00C82F0D" w:rsidRPr="00107B4D" w:rsidRDefault="00C82F0D" w:rsidP="008B5CF7">
      <w:pPr>
        <w:jc w:val="both"/>
        <w:rPr>
          <w:rFonts w:ascii="Verdana" w:hAnsi="Verdana"/>
          <w:noProof/>
          <w:sz w:val="17"/>
          <w:szCs w:val="17"/>
        </w:rPr>
      </w:pPr>
    </w:p>
    <w:p w14:paraId="3AAF7E78" w14:textId="77777777" w:rsidR="00C82F0D" w:rsidRPr="00107B4D" w:rsidRDefault="00C82F0D" w:rsidP="00D84952">
      <w:pPr>
        <w:pStyle w:val="Ttulo1"/>
        <w:keepNext w:val="0"/>
        <w:keepLines w:val="0"/>
        <w:numPr>
          <w:ilvl w:val="0"/>
          <w:numId w:val="3"/>
        </w:numPr>
        <w:tabs>
          <w:tab w:val="left" w:pos="426"/>
        </w:tabs>
        <w:spacing w:before="0"/>
        <w:ind w:right="-22"/>
        <w:jc w:val="both"/>
        <w:rPr>
          <w:rFonts w:ascii="Verdana" w:eastAsia="Times New Roman" w:hAnsi="Verdana" w:cs="Arial"/>
          <w:b w:val="0"/>
          <w:bCs w:val="0"/>
          <w:color w:val="auto"/>
          <w:sz w:val="17"/>
          <w:szCs w:val="17"/>
          <w:u w:val="single"/>
          <w:lang w:eastAsia="en-US"/>
        </w:rPr>
      </w:pPr>
      <w:r w:rsidRPr="00107B4D">
        <w:rPr>
          <w:rFonts w:ascii="Verdana" w:eastAsia="Times New Roman" w:hAnsi="Verdana" w:cs="Arial"/>
          <w:b w:val="0"/>
          <w:bCs w:val="0"/>
          <w:color w:val="auto"/>
          <w:sz w:val="17"/>
          <w:szCs w:val="17"/>
          <w:u w:val="single"/>
          <w:lang w:eastAsia="en-US"/>
        </w:rPr>
        <w:t>OUTROS RENDIMENTOS E GANHOS</w:t>
      </w:r>
    </w:p>
    <w:p w14:paraId="7993A552" w14:textId="77777777" w:rsidR="00C82F0D" w:rsidRPr="00107B4D" w:rsidRDefault="00C82F0D" w:rsidP="002D2B76">
      <w:pPr>
        <w:tabs>
          <w:tab w:val="left" w:pos="426"/>
          <w:tab w:val="left" w:pos="720"/>
          <w:tab w:val="right" w:pos="6600"/>
          <w:tab w:val="right" w:pos="8040"/>
        </w:tabs>
        <w:ind w:left="426" w:right="-22"/>
        <w:jc w:val="both"/>
        <w:rPr>
          <w:rFonts w:ascii="Verdana" w:hAnsi="Verdana" w:cs="Arial"/>
          <w:sz w:val="17"/>
          <w:szCs w:val="17"/>
          <w:u w:val="single"/>
        </w:rPr>
      </w:pPr>
    </w:p>
    <w:p w14:paraId="303A31ED" w14:textId="77777777" w:rsidR="00C82F0D" w:rsidRPr="00107B4D" w:rsidRDefault="00C82F0D" w:rsidP="002D2B76">
      <w:pPr>
        <w:tabs>
          <w:tab w:val="left" w:pos="720"/>
          <w:tab w:val="right" w:pos="6600"/>
          <w:tab w:val="right" w:pos="8040"/>
        </w:tabs>
        <w:ind w:left="426" w:right="-22"/>
        <w:jc w:val="both"/>
        <w:rPr>
          <w:rFonts w:ascii="Verdana" w:hAnsi="Verdana" w:cs="Arial"/>
          <w:sz w:val="17"/>
          <w:szCs w:val="17"/>
        </w:rPr>
      </w:pPr>
      <w:r w:rsidRPr="00107B4D">
        <w:rPr>
          <w:rFonts w:ascii="Verdana" w:hAnsi="Verdana" w:cs="Arial"/>
          <w:sz w:val="17"/>
          <w:szCs w:val="17"/>
        </w:rPr>
        <w:t>Esta rubrica apresenta o seguinte detalhe:</w:t>
      </w:r>
    </w:p>
    <w:p w14:paraId="439A23BE" w14:textId="77777777" w:rsidR="00C82F0D" w:rsidRPr="00107B4D" w:rsidRDefault="00C82F0D" w:rsidP="002D2B76">
      <w:pPr>
        <w:tabs>
          <w:tab w:val="left" w:pos="426"/>
          <w:tab w:val="left" w:pos="720"/>
          <w:tab w:val="right" w:pos="6600"/>
          <w:tab w:val="right" w:pos="8040"/>
        </w:tabs>
        <w:ind w:left="426" w:right="-22"/>
        <w:jc w:val="both"/>
        <w:rPr>
          <w:rFonts w:ascii="Verdana" w:hAnsi="Verdana" w:cs="Arial"/>
          <w:sz w:val="17"/>
          <w:szCs w:val="17"/>
        </w:rPr>
      </w:pPr>
    </w:p>
    <w:p w14:paraId="0B5A1747" w14:textId="77777777" w:rsidR="00C82F0D" w:rsidRPr="00107B4D" w:rsidRDefault="00C82F0D" w:rsidP="002D2B76">
      <w:pPr>
        <w:tabs>
          <w:tab w:val="left" w:pos="426"/>
          <w:tab w:val="left" w:pos="720"/>
          <w:tab w:val="right" w:pos="6600"/>
          <w:tab w:val="right" w:pos="8040"/>
        </w:tabs>
        <w:ind w:left="426" w:right="-22"/>
        <w:jc w:val="both"/>
        <w:rPr>
          <w:rFonts w:ascii="Verdana" w:hAnsi="Verdana" w:cs="Arial"/>
          <w:sz w:val="17"/>
          <w:szCs w:val="17"/>
        </w:rPr>
      </w:pPr>
      <w:r w:rsidRPr="00A253CC">
        <w:rPr>
          <w:noProof/>
        </w:rPr>
        <w:drawing>
          <wp:inline distT="0" distB="0" distL="0" distR="0" wp14:anchorId="6C620218" wp14:editId="06F7552C">
            <wp:extent cx="5083551" cy="815975"/>
            <wp:effectExtent l="0" t="0" r="3175" b="3175"/>
            <wp:docPr id="59179016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162717" cy="828682"/>
                    </a:xfrm>
                    <a:prstGeom prst="rect">
                      <a:avLst/>
                    </a:prstGeom>
                    <a:noFill/>
                    <a:ln>
                      <a:noFill/>
                    </a:ln>
                  </pic:spPr>
                </pic:pic>
              </a:graphicData>
            </a:graphic>
          </wp:inline>
        </w:drawing>
      </w:r>
    </w:p>
    <w:p w14:paraId="1A3BBDCF" w14:textId="77777777" w:rsidR="00C82F0D" w:rsidRPr="00107B4D" w:rsidRDefault="00C82F0D" w:rsidP="002D2B76">
      <w:pPr>
        <w:tabs>
          <w:tab w:val="left" w:pos="426"/>
          <w:tab w:val="left" w:pos="720"/>
          <w:tab w:val="right" w:pos="6600"/>
          <w:tab w:val="right" w:pos="8040"/>
        </w:tabs>
        <w:ind w:left="426" w:right="-22" w:hanging="426"/>
        <w:jc w:val="both"/>
        <w:rPr>
          <w:rFonts w:ascii="Verdana" w:hAnsi="Verdana" w:cs="Arial"/>
          <w:sz w:val="17"/>
          <w:szCs w:val="17"/>
        </w:rPr>
      </w:pPr>
    </w:p>
    <w:p w14:paraId="00ED7ED4" w14:textId="08FB2279" w:rsidR="00C82F0D" w:rsidRDefault="00C82F0D" w:rsidP="002D2B76">
      <w:pPr>
        <w:tabs>
          <w:tab w:val="left" w:pos="426"/>
          <w:tab w:val="left" w:pos="720"/>
          <w:tab w:val="right" w:pos="6600"/>
          <w:tab w:val="right" w:pos="8040"/>
        </w:tabs>
        <w:ind w:left="426" w:right="-22"/>
        <w:jc w:val="both"/>
        <w:rPr>
          <w:rFonts w:ascii="Verdana" w:hAnsi="Verdana" w:cs="Arial"/>
          <w:sz w:val="17"/>
          <w:szCs w:val="17"/>
        </w:rPr>
      </w:pPr>
      <w:r w:rsidRPr="00107B4D">
        <w:rPr>
          <w:rFonts w:ascii="Verdana" w:hAnsi="Verdana" w:cs="Arial"/>
          <w:sz w:val="17"/>
          <w:szCs w:val="17"/>
        </w:rPr>
        <w:t>Nos exercícios de 202</w:t>
      </w:r>
      <w:r>
        <w:rPr>
          <w:rFonts w:ascii="Verdana" w:hAnsi="Verdana" w:cs="Arial"/>
          <w:sz w:val="17"/>
          <w:szCs w:val="17"/>
        </w:rPr>
        <w:t>5</w:t>
      </w:r>
      <w:r w:rsidRPr="00107B4D">
        <w:rPr>
          <w:rFonts w:ascii="Verdana" w:hAnsi="Verdana" w:cs="Arial"/>
          <w:sz w:val="17"/>
          <w:szCs w:val="17"/>
        </w:rPr>
        <w:t xml:space="preserve"> e 202</w:t>
      </w:r>
      <w:r>
        <w:rPr>
          <w:rFonts w:ascii="Verdana" w:hAnsi="Verdana" w:cs="Arial"/>
          <w:sz w:val="17"/>
          <w:szCs w:val="17"/>
        </w:rPr>
        <w:t>4</w:t>
      </w:r>
      <w:r w:rsidRPr="00107B4D">
        <w:rPr>
          <w:rFonts w:ascii="Verdana" w:hAnsi="Verdana" w:cs="Arial"/>
          <w:sz w:val="17"/>
          <w:szCs w:val="17"/>
        </w:rPr>
        <w:t xml:space="preserve">, a rubrica “Ganhos com reavaliação cambial” diz respeito a ganhos cambiais obtidos na reavaliação diária de operações de crédito denominadas em Dólares dos Estados Unidos, e nas operações de Investimentos Financeiros denominadas em Meticais, Rupias Indianas, Francos </w:t>
      </w:r>
      <w:r w:rsidR="00C37D78" w:rsidRPr="00107B4D">
        <w:rPr>
          <w:rFonts w:ascii="Verdana" w:hAnsi="Verdana" w:cs="Arial"/>
          <w:sz w:val="17"/>
          <w:szCs w:val="17"/>
        </w:rPr>
        <w:t>África</w:t>
      </w:r>
      <w:r w:rsidRPr="00107B4D">
        <w:rPr>
          <w:rFonts w:ascii="Verdana" w:hAnsi="Verdana" w:cs="Arial"/>
          <w:sz w:val="17"/>
          <w:szCs w:val="17"/>
        </w:rPr>
        <w:t xml:space="preserve"> Ocidental e Reais Brasileiros.</w:t>
      </w:r>
    </w:p>
    <w:p w14:paraId="32272937" w14:textId="77777777" w:rsidR="00C82F0D" w:rsidRDefault="00C82F0D" w:rsidP="002D2B76">
      <w:pPr>
        <w:tabs>
          <w:tab w:val="left" w:pos="426"/>
          <w:tab w:val="left" w:pos="720"/>
          <w:tab w:val="right" w:pos="6600"/>
          <w:tab w:val="right" w:pos="8040"/>
        </w:tabs>
        <w:ind w:left="426" w:right="-22"/>
        <w:jc w:val="both"/>
        <w:rPr>
          <w:rFonts w:ascii="Verdana" w:hAnsi="Verdana" w:cs="Arial"/>
          <w:sz w:val="17"/>
          <w:szCs w:val="17"/>
        </w:rPr>
      </w:pPr>
    </w:p>
    <w:p w14:paraId="2364DE2D" w14:textId="2566416B" w:rsidR="00C82F0D" w:rsidRDefault="00C82F0D" w:rsidP="00AE25D8">
      <w:pPr>
        <w:tabs>
          <w:tab w:val="left" w:pos="426"/>
          <w:tab w:val="left" w:pos="720"/>
          <w:tab w:val="right" w:pos="6600"/>
          <w:tab w:val="right" w:pos="8040"/>
        </w:tabs>
        <w:ind w:left="426" w:right="-22"/>
        <w:jc w:val="both"/>
        <w:rPr>
          <w:rFonts w:ascii="Verdana" w:hAnsi="Verdana" w:cs="Arial"/>
          <w:sz w:val="17"/>
          <w:szCs w:val="17"/>
        </w:rPr>
      </w:pPr>
      <w:r w:rsidRPr="004211DA">
        <w:rPr>
          <w:rFonts w:ascii="Verdana" w:hAnsi="Verdana" w:cs="Arial"/>
          <w:sz w:val="17"/>
          <w:szCs w:val="17"/>
        </w:rPr>
        <w:t>Nos exercícios de 2025 e 2024, a rubrica “Ganhos na liquidação de créditos” diz respeito a ganhos obtidos com os créditos liquidados por parte dos devedores, após a utilização da respetiva imparidade. Em 31 de dezembro de 2025</w:t>
      </w:r>
      <w:r>
        <w:rPr>
          <w:rFonts w:ascii="Verdana" w:hAnsi="Verdana" w:cs="Arial"/>
          <w:sz w:val="17"/>
          <w:szCs w:val="17"/>
        </w:rPr>
        <w:t xml:space="preserve"> e 2024 </w:t>
      </w:r>
      <w:r w:rsidRPr="004211DA">
        <w:rPr>
          <w:rFonts w:ascii="Verdana" w:hAnsi="Verdana" w:cs="Arial"/>
          <w:sz w:val="17"/>
          <w:szCs w:val="17"/>
        </w:rPr>
        <w:t>esta rubrica inclui valores relativos a acertos a saldos históricos de devedores, face aos valores reais em dívida.</w:t>
      </w:r>
    </w:p>
    <w:p w14:paraId="6FAC365B" w14:textId="77777777" w:rsidR="00C82F0D" w:rsidRPr="00107B4D" w:rsidRDefault="00C82F0D" w:rsidP="002D2B76">
      <w:pPr>
        <w:tabs>
          <w:tab w:val="left" w:pos="426"/>
          <w:tab w:val="left" w:pos="720"/>
          <w:tab w:val="right" w:pos="6600"/>
          <w:tab w:val="right" w:pos="8040"/>
        </w:tabs>
        <w:ind w:left="426" w:right="-22"/>
        <w:jc w:val="both"/>
        <w:rPr>
          <w:rFonts w:ascii="Verdana" w:hAnsi="Verdana" w:cs="Arial"/>
          <w:sz w:val="17"/>
          <w:szCs w:val="17"/>
        </w:rPr>
      </w:pPr>
    </w:p>
    <w:p w14:paraId="3CAE26A0" w14:textId="77777777" w:rsidR="00C82F0D" w:rsidRDefault="00C82F0D" w:rsidP="00B84DF6">
      <w:pPr>
        <w:tabs>
          <w:tab w:val="left" w:pos="426"/>
          <w:tab w:val="left" w:pos="720"/>
          <w:tab w:val="right" w:pos="6600"/>
          <w:tab w:val="right" w:pos="8040"/>
        </w:tabs>
        <w:ind w:left="426" w:right="-22"/>
        <w:jc w:val="both"/>
        <w:rPr>
          <w:rFonts w:ascii="Verdana" w:hAnsi="Verdana" w:cs="Arial"/>
          <w:sz w:val="17"/>
          <w:szCs w:val="17"/>
        </w:rPr>
      </w:pPr>
      <w:r w:rsidRPr="00927B9D">
        <w:rPr>
          <w:rFonts w:ascii="Verdana" w:hAnsi="Verdana" w:cs="Arial"/>
          <w:sz w:val="17"/>
          <w:szCs w:val="17"/>
        </w:rPr>
        <w:t xml:space="preserve">Em 31 de dezembro de 2025 e 2024, a rubrica “Outros”, inclui essencialmente ganhos relativos </w:t>
      </w:r>
      <w:r w:rsidRPr="002F53F9">
        <w:rPr>
          <w:rFonts w:ascii="Verdana" w:hAnsi="Verdana" w:cs="Arial"/>
          <w:sz w:val="17"/>
          <w:szCs w:val="17"/>
        </w:rPr>
        <w:t xml:space="preserve">a aluguer de imóveis no montante de 576 </w:t>
      </w:r>
      <w:proofErr w:type="spellStart"/>
      <w:proofErr w:type="gramStart"/>
      <w:r w:rsidRPr="002F53F9">
        <w:rPr>
          <w:rFonts w:ascii="Verdana" w:hAnsi="Verdana" w:cs="Arial"/>
          <w:sz w:val="17"/>
          <w:szCs w:val="17"/>
        </w:rPr>
        <w:t>m.euros</w:t>
      </w:r>
      <w:proofErr w:type="spellEnd"/>
      <w:proofErr w:type="gramEnd"/>
      <w:r w:rsidRPr="002F53F9">
        <w:rPr>
          <w:rFonts w:ascii="Verdana" w:hAnsi="Verdana" w:cs="Arial"/>
          <w:sz w:val="17"/>
          <w:szCs w:val="17"/>
        </w:rPr>
        <w:t xml:space="preserve"> e 272 </w:t>
      </w:r>
      <w:proofErr w:type="spellStart"/>
      <w:proofErr w:type="gramStart"/>
      <w:r w:rsidRPr="002F53F9">
        <w:rPr>
          <w:rFonts w:ascii="Verdana" w:hAnsi="Verdana" w:cs="Arial"/>
          <w:sz w:val="17"/>
          <w:szCs w:val="17"/>
        </w:rPr>
        <w:t>m.euros</w:t>
      </w:r>
      <w:proofErr w:type="spellEnd"/>
      <w:proofErr w:type="gramEnd"/>
      <w:r w:rsidRPr="002F53F9">
        <w:rPr>
          <w:rFonts w:ascii="Verdana" w:hAnsi="Verdana" w:cs="Arial"/>
          <w:sz w:val="17"/>
          <w:szCs w:val="17"/>
        </w:rPr>
        <w:t xml:space="preserve">, respetivamente e ganhos relativos à recuperação/reembolso de despesas incorridas no montante de 25 </w:t>
      </w:r>
      <w:proofErr w:type="spellStart"/>
      <w:proofErr w:type="gramStart"/>
      <w:r w:rsidRPr="002F53F9">
        <w:rPr>
          <w:rFonts w:ascii="Verdana" w:hAnsi="Verdana" w:cs="Arial"/>
          <w:sz w:val="17"/>
          <w:szCs w:val="17"/>
        </w:rPr>
        <w:t>m.euros</w:t>
      </w:r>
      <w:proofErr w:type="spellEnd"/>
      <w:proofErr w:type="gramEnd"/>
      <w:r w:rsidRPr="002F53F9">
        <w:rPr>
          <w:rFonts w:ascii="Verdana" w:hAnsi="Verdana" w:cs="Arial"/>
          <w:sz w:val="17"/>
          <w:szCs w:val="17"/>
        </w:rPr>
        <w:t xml:space="preserve"> e 93 </w:t>
      </w:r>
      <w:proofErr w:type="spellStart"/>
      <w:proofErr w:type="gramStart"/>
      <w:r w:rsidRPr="002F53F9">
        <w:rPr>
          <w:rFonts w:ascii="Verdana" w:hAnsi="Verdana" w:cs="Arial"/>
          <w:sz w:val="17"/>
          <w:szCs w:val="17"/>
        </w:rPr>
        <w:t>m.euros</w:t>
      </w:r>
      <w:proofErr w:type="spellEnd"/>
      <w:proofErr w:type="gramEnd"/>
      <w:r w:rsidRPr="002F53F9">
        <w:rPr>
          <w:rFonts w:ascii="Verdana" w:hAnsi="Verdana" w:cs="Arial"/>
          <w:sz w:val="17"/>
          <w:szCs w:val="17"/>
        </w:rPr>
        <w:t xml:space="preserve">. Inclui ainda a mais-valia da regularização de saldos relacionados com a carteira e reembolso de despesas. Em 31 de dezembro de 2025, este valor inclui ainda o montante de </w:t>
      </w:r>
      <w:r>
        <w:rPr>
          <w:rFonts w:ascii="Verdana" w:hAnsi="Verdana" w:cs="Arial"/>
          <w:sz w:val="17"/>
          <w:szCs w:val="17"/>
        </w:rPr>
        <w:t xml:space="preserve">3.800 </w:t>
      </w:r>
      <w:proofErr w:type="spellStart"/>
      <w:proofErr w:type="gramStart"/>
      <w:r w:rsidRPr="002F53F9">
        <w:rPr>
          <w:rFonts w:ascii="Verdana" w:hAnsi="Verdana" w:cs="Arial"/>
          <w:sz w:val="17"/>
          <w:szCs w:val="17"/>
        </w:rPr>
        <w:t>m.euros</w:t>
      </w:r>
      <w:proofErr w:type="spellEnd"/>
      <w:proofErr w:type="gramEnd"/>
      <w:r w:rsidRPr="002F53F9">
        <w:rPr>
          <w:rFonts w:ascii="Verdana" w:hAnsi="Verdana" w:cs="Arial"/>
          <w:sz w:val="17"/>
          <w:szCs w:val="17"/>
        </w:rPr>
        <w:t>, resultante da distribuição de dividendos da Imofundos, SGOIC, S.A.</w:t>
      </w:r>
    </w:p>
    <w:p w14:paraId="000C9707" w14:textId="77777777" w:rsidR="00C82F0D" w:rsidRPr="00107B4D" w:rsidRDefault="00C82F0D" w:rsidP="002F53F9">
      <w:pPr>
        <w:tabs>
          <w:tab w:val="left" w:pos="426"/>
          <w:tab w:val="left" w:pos="720"/>
          <w:tab w:val="right" w:pos="6600"/>
          <w:tab w:val="right" w:pos="8040"/>
        </w:tabs>
        <w:ind w:right="-22"/>
        <w:jc w:val="both"/>
        <w:rPr>
          <w:rFonts w:ascii="Verdana" w:hAnsi="Verdana" w:cs="Arial"/>
          <w:sz w:val="17"/>
          <w:szCs w:val="17"/>
        </w:rPr>
      </w:pPr>
    </w:p>
    <w:p w14:paraId="7E0AA548" w14:textId="77777777" w:rsidR="00C82F0D" w:rsidRDefault="00C82F0D" w:rsidP="008B5CF7">
      <w:pPr>
        <w:tabs>
          <w:tab w:val="left" w:pos="426"/>
          <w:tab w:val="left" w:pos="720"/>
          <w:tab w:val="right" w:pos="6600"/>
          <w:tab w:val="right" w:pos="8040"/>
        </w:tabs>
        <w:ind w:right="-22"/>
        <w:jc w:val="both"/>
        <w:rPr>
          <w:rFonts w:ascii="Verdana" w:hAnsi="Verdana" w:cs="Arial"/>
          <w:sz w:val="17"/>
          <w:szCs w:val="17"/>
        </w:rPr>
      </w:pPr>
    </w:p>
    <w:p w14:paraId="7973AEC5" w14:textId="77777777" w:rsidR="00C82F0D" w:rsidRDefault="00C82F0D" w:rsidP="008B5CF7">
      <w:pPr>
        <w:tabs>
          <w:tab w:val="left" w:pos="426"/>
          <w:tab w:val="left" w:pos="720"/>
          <w:tab w:val="right" w:pos="6600"/>
          <w:tab w:val="right" w:pos="8040"/>
        </w:tabs>
        <w:ind w:right="-22"/>
        <w:jc w:val="both"/>
        <w:rPr>
          <w:rFonts w:ascii="Verdana" w:hAnsi="Verdana" w:cs="Arial"/>
          <w:sz w:val="17"/>
          <w:szCs w:val="17"/>
        </w:rPr>
      </w:pPr>
    </w:p>
    <w:p w14:paraId="6604AD88" w14:textId="77777777" w:rsidR="00C82F0D" w:rsidRDefault="00C82F0D" w:rsidP="008B5CF7">
      <w:pPr>
        <w:tabs>
          <w:tab w:val="left" w:pos="426"/>
          <w:tab w:val="left" w:pos="720"/>
          <w:tab w:val="right" w:pos="6600"/>
          <w:tab w:val="right" w:pos="8040"/>
        </w:tabs>
        <w:ind w:right="-22"/>
        <w:jc w:val="both"/>
        <w:rPr>
          <w:rFonts w:ascii="Verdana" w:hAnsi="Verdana" w:cs="Arial"/>
          <w:sz w:val="17"/>
          <w:szCs w:val="17"/>
        </w:rPr>
      </w:pPr>
    </w:p>
    <w:p w14:paraId="5C821EE2" w14:textId="77777777" w:rsidR="00C82F0D" w:rsidRDefault="00C82F0D" w:rsidP="008B5CF7">
      <w:pPr>
        <w:tabs>
          <w:tab w:val="left" w:pos="426"/>
          <w:tab w:val="left" w:pos="720"/>
          <w:tab w:val="right" w:pos="6600"/>
          <w:tab w:val="right" w:pos="8040"/>
        </w:tabs>
        <w:ind w:right="-22"/>
        <w:jc w:val="both"/>
        <w:rPr>
          <w:rFonts w:ascii="Verdana" w:hAnsi="Verdana" w:cs="Arial"/>
          <w:sz w:val="17"/>
          <w:szCs w:val="17"/>
        </w:rPr>
      </w:pPr>
    </w:p>
    <w:p w14:paraId="06E7B433" w14:textId="77777777" w:rsidR="00C82F0D" w:rsidRDefault="00C82F0D" w:rsidP="008B5CF7">
      <w:pPr>
        <w:tabs>
          <w:tab w:val="left" w:pos="426"/>
          <w:tab w:val="left" w:pos="720"/>
          <w:tab w:val="right" w:pos="6600"/>
          <w:tab w:val="right" w:pos="8040"/>
        </w:tabs>
        <w:ind w:right="-22"/>
        <w:jc w:val="both"/>
        <w:rPr>
          <w:rFonts w:ascii="Verdana" w:hAnsi="Verdana" w:cs="Arial"/>
          <w:sz w:val="17"/>
          <w:szCs w:val="17"/>
        </w:rPr>
      </w:pPr>
    </w:p>
    <w:p w14:paraId="01F8B1D1" w14:textId="77777777" w:rsidR="00C82F0D" w:rsidRDefault="00C82F0D" w:rsidP="008B5CF7">
      <w:pPr>
        <w:tabs>
          <w:tab w:val="left" w:pos="426"/>
          <w:tab w:val="left" w:pos="720"/>
          <w:tab w:val="right" w:pos="6600"/>
          <w:tab w:val="right" w:pos="8040"/>
        </w:tabs>
        <w:ind w:right="-22"/>
        <w:jc w:val="both"/>
        <w:rPr>
          <w:rFonts w:ascii="Verdana" w:hAnsi="Verdana" w:cs="Arial"/>
          <w:sz w:val="17"/>
          <w:szCs w:val="17"/>
        </w:rPr>
      </w:pPr>
    </w:p>
    <w:p w14:paraId="3CCA55A0" w14:textId="77777777" w:rsidR="00C82F0D" w:rsidRDefault="00C82F0D" w:rsidP="008B5CF7">
      <w:pPr>
        <w:tabs>
          <w:tab w:val="left" w:pos="426"/>
          <w:tab w:val="left" w:pos="720"/>
          <w:tab w:val="right" w:pos="6600"/>
          <w:tab w:val="right" w:pos="8040"/>
        </w:tabs>
        <w:ind w:right="-22"/>
        <w:jc w:val="both"/>
        <w:rPr>
          <w:rFonts w:ascii="Verdana" w:hAnsi="Verdana" w:cs="Arial"/>
          <w:sz w:val="17"/>
          <w:szCs w:val="17"/>
        </w:rPr>
      </w:pPr>
    </w:p>
    <w:p w14:paraId="3943A588" w14:textId="77777777" w:rsidR="00C82F0D" w:rsidRDefault="00C82F0D" w:rsidP="008B5CF7">
      <w:pPr>
        <w:tabs>
          <w:tab w:val="left" w:pos="426"/>
          <w:tab w:val="left" w:pos="720"/>
          <w:tab w:val="right" w:pos="6600"/>
          <w:tab w:val="right" w:pos="8040"/>
        </w:tabs>
        <w:ind w:right="-22"/>
        <w:jc w:val="both"/>
        <w:rPr>
          <w:rFonts w:ascii="Verdana" w:hAnsi="Verdana" w:cs="Arial"/>
          <w:sz w:val="17"/>
          <w:szCs w:val="17"/>
        </w:rPr>
      </w:pPr>
    </w:p>
    <w:p w14:paraId="73322B0B" w14:textId="77777777" w:rsidR="00C82F0D" w:rsidRPr="00107B4D" w:rsidRDefault="00C82F0D" w:rsidP="008B5CF7">
      <w:pPr>
        <w:tabs>
          <w:tab w:val="left" w:pos="426"/>
          <w:tab w:val="left" w:pos="720"/>
          <w:tab w:val="right" w:pos="6600"/>
          <w:tab w:val="right" w:pos="8040"/>
        </w:tabs>
        <w:ind w:right="-22"/>
        <w:jc w:val="both"/>
        <w:rPr>
          <w:rFonts w:ascii="Verdana" w:hAnsi="Verdana" w:cs="Arial"/>
          <w:sz w:val="17"/>
          <w:szCs w:val="17"/>
        </w:rPr>
      </w:pPr>
    </w:p>
    <w:p w14:paraId="66AA40A0" w14:textId="77777777" w:rsidR="00C82F0D" w:rsidRPr="00107B4D" w:rsidRDefault="00C82F0D" w:rsidP="00D84952">
      <w:pPr>
        <w:pStyle w:val="Ttulo1"/>
        <w:keepNext w:val="0"/>
        <w:keepLines w:val="0"/>
        <w:numPr>
          <w:ilvl w:val="0"/>
          <w:numId w:val="3"/>
        </w:numPr>
        <w:tabs>
          <w:tab w:val="left" w:pos="426"/>
        </w:tabs>
        <w:spacing w:before="0"/>
        <w:ind w:left="426" w:right="-22"/>
        <w:jc w:val="both"/>
        <w:rPr>
          <w:rFonts w:ascii="Verdana" w:eastAsia="Times New Roman" w:hAnsi="Verdana" w:cs="Arial"/>
          <w:b w:val="0"/>
          <w:bCs w:val="0"/>
          <w:color w:val="auto"/>
          <w:sz w:val="17"/>
          <w:szCs w:val="17"/>
          <w:u w:val="single"/>
          <w:lang w:eastAsia="en-US"/>
        </w:rPr>
      </w:pPr>
      <w:r w:rsidRPr="00107B4D">
        <w:rPr>
          <w:rFonts w:ascii="Verdana" w:eastAsia="Times New Roman" w:hAnsi="Verdana" w:cs="Arial"/>
          <w:b w:val="0"/>
          <w:bCs w:val="0"/>
          <w:color w:val="auto"/>
          <w:sz w:val="17"/>
          <w:szCs w:val="17"/>
          <w:u w:val="single"/>
          <w:lang w:eastAsia="en-US"/>
        </w:rPr>
        <w:t>OUTROS CUSTOS OPERACIONAIS</w:t>
      </w:r>
    </w:p>
    <w:p w14:paraId="2C7E2F3D" w14:textId="77777777" w:rsidR="00C82F0D" w:rsidRPr="00107B4D" w:rsidRDefault="00C82F0D" w:rsidP="00633A3B">
      <w:pPr>
        <w:tabs>
          <w:tab w:val="left" w:pos="426"/>
          <w:tab w:val="left" w:pos="720"/>
          <w:tab w:val="right" w:pos="6600"/>
          <w:tab w:val="right" w:pos="8040"/>
        </w:tabs>
        <w:ind w:right="-22"/>
        <w:jc w:val="both"/>
        <w:rPr>
          <w:rFonts w:ascii="Verdana" w:hAnsi="Verdana" w:cs="Arial"/>
          <w:sz w:val="17"/>
          <w:szCs w:val="17"/>
        </w:rPr>
      </w:pPr>
    </w:p>
    <w:p w14:paraId="7FE70D53" w14:textId="77777777" w:rsidR="00C82F0D" w:rsidRPr="00107B4D" w:rsidRDefault="00C82F0D" w:rsidP="0015275D">
      <w:pPr>
        <w:tabs>
          <w:tab w:val="left" w:pos="426"/>
          <w:tab w:val="left" w:pos="720"/>
          <w:tab w:val="right" w:pos="6600"/>
          <w:tab w:val="right" w:pos="8040"/>
        </w:tabs>
        <w:ind w:left="426" w:right="-22"/>
        <w:jc w:val="both"/>
        <w:rPr>
          <w:rFonts w:ascii="Verdana" w:hAnsi="Verdana" w:cs="Arial"/>
          <w:sz w:val="17"/>
          <w:szCs w:val="17"/>
        </w:rPr>
      </w:pPr>
      <w:r w:rsidRPr="00107B4D">
        <w:rPr>
          <w:rFonts w:ascii="Verdana" w:hAnsi="Verdana" w:cs="Arial"/>
          <w:sz w:val="17"/>
          <w:szCs w:val="17"/>
        </w:rPr>
        <w:t>Esta rubrica apresenta o seguinte detalhe:</w:t>
      </w:r>
    </w:p>
    <w:p w14:paraId="5DF72502" w14:textId="77777777" w:rsidR="00C82F0D" w:rsidRPr="00107B4D" w:rsidRDefault="00C82F0D" w:rsidP="0015275D">
      <w:pPr>
        <w:tabs>
          <w:tab w:val="left" w:pos="426"/>
          <w:tab w:val="left" w:pos="720"/>
          <w:tab w:val="right" w:pos="6600"/>
          <w:tab w:val="right" w:pos="8040"/>
        </w:tabs>
        <w:ind w:left="426" w:right="-22"/>
        <w:jc w:val="both"/>
        <w:rPr>
          <w:rFonts w:ascii="Verdana" w:hAnsi="Verdana" w:cs="Arial"/>
          <w:sz w:val="17"/>
          <w:szCs w:val="17"/>
        </w:rPr>
      </w:pPr>
    </w:p>
    <w:p w14:paraId="6D53A14E" w14:textId="77777777" w:rsidR="00C82F0D" w:rsidRPr="00107B4D" w:rsidRDefault="00C82F0D" w:rsidP="0015275D">
      <w:pPr>
        <w:tabs>
          <w:tab w:val="left" w:pos="426"/>
          <w:tab w:val="left" w:pos="720"/>
          <w:tab w:val="right" w:pos="6600"/>
          <w:tab w:val="right" w:pos="8040"/>
        </w:tabs>
        <w:ind w:left="426" w:right="-22"/>
        <w:jc w:val="both"/>
        <w:rPr>
          <w:rFonts w:ascii="Verdana" w:hAnsi="Verdana" w:cs="Arial"/>
          <w:sz w:val="17"/>
          <w:szCs w:val="17"/>
        </w:rPr>
      </w:pPr>
      <w:r w:rsidRPr="0078680F">
        <w:rPr>
          <w:noProof/>
        </w:rPr>
        <w:drawing>
          <wp:inline distT="0" distB="0" distL="0" distR="0" wp14:anchorId="598B359A" wp14:editId="4C942CC3">
            <wp:extent cx="5023485" cy="974186"/>
            <wp:effectExtent l="0" t="0" r="5715" b="0"/>
            <wp:docPr id="2119360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035852" cy="976584"/>
                    </a:xfrm>
                    <a:prstGeom prst="rect">
                      <a:avLst/>
                    </a:prstGeom>
                    <a:noFill/>
                    <a:ln>
                      <a:noFill/>
                    </a:ln>
                  </pic:spPr>
                </pic:pic>
              </a:graphicData>
            </a:graphic>
          </wp:inline>
        </w:drawing>
      </w:r>
    </w:p>
    <w:p w14:paraId="3C601689" w14:textId="77777777" w:rsidR="00C82F0D" w:rsidRPr="00107B4D" w:rsidRDefault="00C82F0D" w:rsidP="0015275D">
      <w:pPr>
        <w:tabs>
          <w:tab w:val="left" w:pos="426"/>
          <w:tab w:val="left" w:pos="720"/>
          <w:tab w:val="right" w:pos="6600"/>
          <w:tab w:val="right" w:pos="8040"/>
        </w:tabs>
        <w:ind w:left="426" w:right="-22"/>
        <w:jc w:val="both"/>
        <w:rPr>
          <w:rFonts w:ascii="Verdana" w:hAnsi="Verdana" w:cs="Arial"/>
          <w:sz w:val="17"/>
          <w:szCs w:val="17"/>
        </w:rPr>
      </w:pPr>
    </w:p>
    <w:p w14:paraId="4D4D6082" w14:textId="77777777" w:rsidR="00C82F0D" w:rsidRPr="00107B4D" w:rsidRDefault="00C82F0D" w:rsidP="0015275D">
      <w:pPr>
        <w:tabs>
          <w:tab w:val="left" w:pos="426"/>
          <w:tab w:val="left" w:pos="720"/>
          <w:tab w:val="right" w:pos="6600"/>
          <w:tab w:val="right" w:pos="8040"/>
        </w:tabs>
        <w:ind w:left="426" w:right="-22"/>
        <w:jc w:val="both"/>
        <w:rPr>
          <w:rFonts w:ascii="Verdana" w:hAnsi="Verdana" w:cs="Arial"/>
          <w:sz w:val="17"/>
          <w:szCs w:val="17"/>
        </w:rPr>
      </w:pPr>
    </w:p>
    <w:p w14:paraId="2C7C33CB" w14:textId="77777777" w:rsidR="00C82F0D" w:rsidRPr="00107B4D" w:rsidRDefault="00C82F0D" w:rsidP="0015275D">
      <w:pPr>
        <w:tabs>
          <w:tab w:val="left" w:pos="426"/>
          <w:tab w:val="left" w:pos="720"/>
          <w:tab w:val="right" w:pos="6600"/>
          <w:tab w:val="right" w:pos="8040"/>
        </w:tabs>
        <w:ind w:left="426" w:right="-22"/>
        <w:jc w:val="both"/>
        <w:rPr>
          <w:rFonts w:ascii="Verdana" w:hAnsi="Verdana" w:cs="Arial"/>
          <w:sz w:val="17"/>
          <w:szCs w:val="17"/>
        </w:rPr>
      </w:pPr>
      <w:r w:rsidRPr="00107B4D">
        <w:rPr>
          <w:rFonts w:ascii="Verdana" w:hAnsi="Verdana" w:cs="Arial"/>
          <w:sz w:val="17"/>
          <w:szCs w:val="17"/>
        </w:rPr>
        <w:t xml:space="preserve">A rubrica “Perdas com reavaliação cambial” diz respeito a perdas cambiais obtidas na reavaliação diária de operações de crédito denominadas em Dólares dos Estados Unidos e Reais do Brasil. </w:t>
      </w:r>
    </w:p>
    <w:p w14:paraId="33DBC10C" w14:textId="77777777" w:rsidR="00C82F0D" w:rsidRPr="00107B4D" w:rsidRDefault="00C82F0D" w:rsidP="0015275D">
      <w:pPr>
        <w:tabs>
          <w:tab w:val="left" w:pos="426"/>
          <w:tab w:val="left" w:pos="720"/>
          <w:tab w:val="right" w:pos="6600"/>
          <w:tab w:val="right" w:pos="8040"/>
        </w:tabs>
        <w:ind w:left="426" w:right="-22"/>
        <w:jc w:val="both"/>
        <w:rPr>
          <w:rFonts w:ascii="Verdana" w:hAnsi="Verdana" w:cs="Arial"/>
          <w:sz w:val="17"/>
          <w:szCs w:val="17"/>
        </w:rPr>
      </w:pPr>
    </w:p>
    <w:p w14:paraId="1089BC15" w14:textId="77777777" w:rsidR="00C82F0D" w:rsidRPr="00107B4D" w:rsidRDefault="00C82F0D" w:rsidP="0015275D">
      <w:pPr>
        <w:tabs>
          <w:tab w:val="left" w:pos="426"/>
          <w:tab w:val="left" w:pos="720"/>
          <w:tab w:val="right" w:pos="6600"/>
          <w:tab w:val="right" w:pos="8040"/>
        </w:tabs>
        <w:ind w:left="426" w:right="-22"/>
        <w:jc w:val="both"/>
        <w:rPr>
          <w:rFonts w:ascii="Verdana" w:hAnsi="Verdana" w:cs="Arial"/>
          <w:sz w:val="17"/>
          <w:szCs w:val="17"/>
        </w:rPr>
      </w:pPr>
      <w:r w:rsidRPr="00107B4D">
        <w:rPr>
          <w:rFonts w:ascii="Verdana" w:hAnsi="Verdana" w:cs="Arial"/>
          <w:sz w:val="17"/>
          <w:szCs w:val="17"/>
        </w:rPr>
        <w:t>A rubrica “Crédito abatido ao ativo” refere-se a anulações de dívida resultantes de acordos de reestruturação de operações de crédito de alguns clientes.</w:t>
      </w:r>
    </w:p>
    <w:p w14:paraId="0F01397D" w14:textId="77777777" w:rsidR="00C82F0D" w:rsidRPr="00107B4D" w:rsidRDefault="00C82F0D" w:rsidP="0015275D">
      <w:pPr>
        <w:tabs>
          <w:tab w:val="left" w:pos="426"/>
          <w:tab w:val="left" w:pos="720"/>
          <w:tab w:val="right" w:pos="6600"/>
          <w:tab w:val="right" w:pos="8040"/>
        </w:tabs>
        <w:ind w:left="426" w:right="-22"/>
        <w:jc w:val="both"/>
        <w:rPr>
          <w:rFonts w:ascii="Verdana" w:hAnsi="Verdana" w:cs="Arial"/>
          <w:sz w:val="17"/>
          <w:szCs w:val="17"/>
        </w:rPr>
      </w:pPr>
      <w:r w:rsidRPr="00107B4D">
        <w:rPr>
          <w:rFonts w:ascii="Verdana" w:hAnsi="Verdana" w:cs="Arial"/>
          <w:sz w:val="17"/>
          <w:szCs w:val="17"/>
        </w:rPr>
        <w:tab/>
      </w:r>
    </w:p>
    <w:p w14:paraId="3D072B4E" w14:textId="0A0099E2" w:rsidR="00C82F0D" w:rsidRPr="00C37D78" w:rsidRDefault="00C82F0D" w:rsidP="006D1774">
      <w:pPr>
        <w:tabs>
          <w:tab w:val="left" w:pos="426"/>
          <w:tab w:val="left" w:pos="720"/>
          <w:tab w:val="right" w:pos="6600"/>
          <w:tab w:val="right" w:pos="8040"/>
        </w:tabs>
        <w:ind w:left="426" w:right="-22"/>
        <w:jc w:val="both"/>
        <w:rPr>
          <w:rFonts w:ascii="Verdana" w:hAnsi="Verdana" w:cs="Arial"/>
          <w:sz w:val="17"/>
          <w:szCs w:val="17"/>
        </w:rPr>
      </w:pPr>
      <w:r w:rsidRPr="006D1774">
        <w:rPr>
          <w:rFonts w:ascii="Verdana" w:hAnsi="Verdana" w:cs="Arial"/>
          <w:sz w:val="17"/>
          <w:szCs w:val="17"/>
        </w:rPr>
        <w:t xml:space="preserve">No exercício de 2025, a rubrica “Outros” corresponde, essencialmente, ao </w:t>
      </w:r>
      <w:r>
        <w:rPr>
          <w:rFonts w:ascii="Verdana" w:hAnsi="Verdana" w:cs="Arial"/>
          <w:sz w:val="17"/>
          <w:szCs w:val="17"/>
        </w:rPr>
        <w:t xml:space="preserve">resultado da partilha da </w:t>
      </w:r>
      <w:r w:rsidRPr="006D1774">
        <w:rPr>
          <w:rFonts w:ascii="Verdana" w:hAnsi="Verdana" w:cs="Arial"/>
          <w:sz w:val="17"/>
          <w:szCs w:val="17"/>
        </w:rPr>
        <w:t>Sociedade Imobiliária Palácio das Águias, S.A</w:t>
      </w:r>
      <w:r>
        <w:rPr>
          <w:rFonts w:ascii="Verdana" w:hAnsi="Verdana" w:cs="Arial"/>
          <w:sz w:val="17"/>
          <w:szCs w:val="17"/>
        </w:rPr>
        <w:t xml:space="preserve">, que liquidou conforme indicação na Nota 5. </w:t>
      </w:r>
      <w:r w:rsidRPr="006D1774">
        <w:rPr>
          <w:rFonts w:ascii="Verdana" w:hAnsi="Verdana" w:cs="Arial"/>
          <w:sz w:val="17"/>
          <w:szCs w:val="17"/>
        </w:rPr>
        <w:t>Esta rubrica inclui ainda a regularização de saldos de fornecedores pendentes anteriores a 201</w:t>
      </w:r>
      <w:r>
        <w:rPr>
          <w:rFonts w:ascii="Verdana" w:hAnsi="Verdana" w:cs="Arial"/>
          <w:sz w:val="17"/>
          <w:szCs w:val="17"/>
        </w:rPr>
        <w:t>5</w:t>
      </w:r>
      <w:r w:rsidRPr="006D1774">
        <w:rPr>
          <w:rFonts w:ascii="Verdana" w:hAnsi="Verdana" w:cs="Arial"/>
          <w:sz w:val="17"/>
          <w:szCs w:val="17"/>
        </w:rPr>
        <w:t xml:space="preserve">, no </w:t>
      </w:r>
      <w:r w:rsidRPr="00C37D78">
        <w:rPr>
          <w:rFonts w:ascii="Verdana" w:hAnsi="Verdana" w:cs="Arial"/>
          <w:sz w:val="17"/>
          <w:szCs w:val="17"/>
        </w:rPr>
        <w:t>montante de 92 mil euros. O valor remanescente refere</w:t>
      </w:r>
      <w:r w:rsidRPr="00C37D78">
        <w:rPr>
          <w:rFonts w:ascii="Cambria Math" w:hAnsi="Cambria Math" w:cs="Cambria Math"/>
          <w:sz w:val="17"/>
          <w:szCs w:val="17"/>
        </w:rPr>
        <w:t>‑</w:t>
      </w:r>
      <w:r w:rsidRPr="00C37D78">
        <w:rPr>
          <w:rFonts w:ascii="Verdana" w:hAnsi="Verdana" w:cs="Arial"/>
          <w:sz w:val="17"/>
          <w:szCs w:val="17"/>
        </w:rPr>
        <w:t xml:space="preserve">se a encargos associados </w:t>
      </w:r>
      <w:r w:rsidRPr="00C37D78">
        <w:rPr>
          <w:rFonts w:ascii="Verdana" w:hAnsi="Verdana" w:cs="Verdana"/>
          <w:sz w:val="17"/>
          <w:szCs w:val="17"/>
        </w:rPr>
        <w:t>à</w:t>
      </w:r>
      <w:r w:rsidRPr="00C37D78">
        <w:rPr>
          <w:rFonts w:ascii="Verdana" w:hAnsi="Verdana" w:cs="Arial"/>
          <w:sz w:val="17"/>
          <w:szCs w:val="17"/>
        </w:rPr>
        <w:t xml:space="preserve"> carteira F</w:t>
      </w:r>
      <w:r w:rsidRPr="00C37D78">
        <w:rPr>
          <w:rFonts w:ascii="Verdana" w:hAnsi="Verdana" w:cs="Verdana"/>
          <w:sz w:val="17"/>
          <w:szCs w:val="17"/>
        </w:rPr>
        <w:t>é</w:t>
      </w:r>
      <w:r w:rsidRPr="00C37D78">
        <w:rPr>
          <w:rFonts w:ascii="Verdana" w:hAnsi="Verdana" w:cs="Arial"/>
          <w:sz w:val="17"/>
          <w:szCs w:val="17"/>
        </w:rPr>
        <w:t>nix</w:t>
      </w:r>
      <w:r w:rsidR="00C37D78">
        <w:rPr>
          <w:rFonts w:ascii="Verdana" w:hAnsi="Verdana" w:cs="Arial"/>
          <w:sz w:val="17"/>
          <w:szCs w:val="17"/>
        </w:rPr>
        <w:t xml:space="preserve">, </w:t>
      </w:r>
      <w:r w:rsidRPr="00C37D78">
        <w:rPr>
          <w:rFonts w:ascii="Verdana" w:hAnsi="Verdana" w:cs="Arial"/>
          <w:sz w:val="17"/>
          <w:szCs w:val="17"/>
        </w:rPr>
        <w:t>bem como a multas fiscais e outras penalidades incorridas.</w:t>
      </w:r>
    </w:p>
    <w:p w14:paraId="57152055" w14:textId="77777777" w:rsidR="00C82F0D" w:rsidRPr="00C37D78" w:rsidRDefault="00C82F0D" w:rsidP="00F7722B">
      <w:pPr>
        <w:tabs>
          <w:tab w:val="left" w:pos="426"/>
          <w:tab w:val="left" w:pos="720"/>
          <w:tab w:val="right" w:pos="6600"/>
          <w:tab w:val="right" w:pos="8040"/>
        </w:tabs>
        <w:ind w:left="426" w:right="-22"/>
        <w:jc w:val="both"/>
        <w:rPr>
          <w:rFonts w:ascii="Verdana" w:hAnsi="Verdana" w:cs="Arial"/>
          <w:sz w:val="17"/>
          <w:szCs w:val="17"/>
        </w:rPr>
      </w:pPr>
    </w:p>
    <w:p w14:paraId="60864447" w14:textId="5576FF27" w:rsidR="00C82F0D" w:rsidRDefault="00C82F0D" w:rsidP="00F7722B">
      <w:pPr>
        <w:tabs>
          <w:tab w:val="left" w:pos="426"/>
          <w:tab w:val="left" w:pos="720"/>
          <w:tab w:val="right" w:pos="6600"/>
          <w:tab w:val="right" w:pos="8040"/>
        </w:tabs>
        <w:ind w:left="426" w:right="-22"/>
        <w:jc w:val="both"/>
        <w:rPr>
          <w:rFonts w:ascii="Verdana" w:hAnsi="Verdana" w:cs="Arial"/>
          <w:sz w:val="17"/>
          <w:szCs w:val="17"/>
        </w:rPr>
      </w:pPr>
      <w:r w:rsidRPr="00C37D78">
        <w:rPr>
          <w:rFonts w:ascii="Verdana" w:hAnsi="Verdana" w:cs="Arial"/>
          <w:sz w:val="17"/>
          <w:szCs w:val="17"/>
        </w:rPr>
        <w:t xml:space="preserve">No exercício de 2024, esta rubrica correspondeu essencialmente à liquidação de IRC referente ao exercício de 2013 do BPN Internacional, resultante da fusão com a Parparticipadas (cerca de 531 </w:t>
      </w:r>
      <w:proofErr w:type="spellStart"/>
      <w:proofErr w:type="gramStart"/>
      <w:r w:rsidRPr="00C37D78">
        <w:rPr>
          <w:rFonts w:ascii="Verdana" w:hAnsi="Verdana" w:cs="Arial"/>
          <w:sz w:val="17"/>
          <w:szCs w:val="17"/>
        </w:rPr>
        <w:t>m.euros</w:t>
      </w:r>
      <w:proofErr w:type="spellEnd"/>
      <w:proofErr w:type="gramEnd"/>
      <w:r w:rsidRPr="00C37D78">
        <w:rPr>
          <w:rFonts w:ascii="Verdana" w:hAnsi="Verdana" w:cs="Arial"/>
          <w:sz w:val="17"/>
          <w:szCs w:val="17"/>
        </w:rPr>
        <w:t xml:space="preserve">), bem como à regularização de saldos de fornecedores pendentes anteriores a 2014, no montante de 342 </w:t>
      </w:r>
      <w:proofErr w:type="spellStart"/>
      <w:proofErr w:type="gramStart"/>
      <w:r w:rsidRPr="00C37D78">
        <w:rPr>
          <w:rFonts w:ascii="Verdana" w:hAnsi="Verdana" w:cs="Arial"/>
          <w:sz w:val="17"/>
          <w:szCs w:val="17"/>
        </w:rPr>
        <w:t>m.euros</w:t>
      </w:r>
      <w:proofErr w:type="spellEnd"/>
      <w:proofErr w:type="gramEnd"/>
      <w:r w:rsidRPr="00C37D78">
        <w:rPr>
          <w:rFonts w:ascii="Verdana" w:hAnsi="Verdana" w:cs="Arial"/>
          <w:sz w:val="17"/>
          <w:szCs w:val="17"/>
        </w:rPr>
        <w:t>. O valor remanescente refere-se a encargos associados à carteira Fénix e</w:t>
      </w:r>
      <w:r w:rsidR="00C37D78">
        <w:rPr>
          <w:rFonts w:ascii="Verdana" w:hAnsi="Verdana" w:cs="Arial"/>
          <w:sz w:val="17"/>
          <w:szCs w:val="17"/>
        </w:rPr>
        <w:t xml:space="preserve"> à participação na</w:t>
      </w:r>
      <w:r w:rsidRPr="00C37D78">
        <w:rPr>
          <w:rFonts w:ascii="Verdana" w:hAnsi="Verdana" w:cs="Arial"/>
          <w:sz w:val="17"/>
          <w:szCs w:val="17"/>
        </w:rPr>
        <w:t xml:space="preserve"> </w:t>
      </w:r>
      <w:proofErr w:type="spellStart"/>
      <w:r w:rsidRPr="00C37D78">
        <w:rPr>
          <w:rFonts w:ascii="Verdana" w:hAnsi="Verdana" w:cs="Arial"/>
          <w:sz w:val="17"/>
          <w:szCs w:val="17"/>
        </w:rPr>
        <w:t>Nexponor</w:t>
      </w:r>
      <w:proofErr w:type="spellEnd"/>
      <w:r w:rsidRPr="00C37D78">
        <w:rPr>
          <w:rFonts w:ascii="Verdana" w:hAnsi="Verdana" w:cs="Arial"/>
          <w:sz w:val="17"/>
          <w:szCs w:val="17"/>
        </w:rPr>
        <w:t>, bem como</w:t>
      </w:r>
      <w:r w:rsidRPr="00F7722B">
        <w:rPr>
          <w:rFonts w:ascii="Verdana" w:hAnsi="Verdana" w:cs="Arial"/>
          <w:sz w:val="17"/>
          <w:szCs w:val="17"/>
        </w:rPr>
        <w:t xml:space="preserve"> a multas fiscais e penalidades incorridas.</w:t>
      </w:r>
    </w:p>
    <w:p w14:paraId="19F64B1C" w14:textId="77777777" w:rsidR="00C82F0D" w:rsidRPr="00107B4D" w:rsidRDefault="00C82F0D" w:rsidP="00F7722B">
      <w:pPr>
        <w:tabs>
          <w:tab w:val="left" w:pos="426"/>
          <w:tab w:val="left" w:pos="720"/>
          <w:tab w:val="right" w:pos="6600"/>
          <w:tab w:val="right" w:pos="8040"/>
        </w:tabs>
        <w:ind w:left="426" w:right="-22"/>
        <w:jc w:val="both"/>
        <w:rPr>
          <w:rFonts w:ascii="Verdana" w:hAnsi="Verdana" w:cs="Arial"/>
          <w:sz w:val="17"/>
          <w:szCs w:val="17"/>
        </w:rPr>
      </w:pPr>
    </w:p>
    <w:p w14:paraId="18AC398E" w14:textId="77777777" w:rsidR="00C82F0D" w:rsidRPr="00107B4D" w:rsidRDefault="00C82F0D" w:rsidP="0015275D">
      <w:pPr>
        <w:tabs>
          <w:tab w:val="left" w:pos="426"/>
          <w:tab w:val="left" w:pos="720"/>
          <w:tab w:val="right" w:pos="6600"/>
          <w:tab w:val="right" w:pos="8040"/>
        </w:tabs>
        <w:ind w:left="426" w:right="-22"/>
        <w:jc w:val="both"/>
        <w:rPr>
          <w:rFonts w:ascii="Verdana" w:hAnsi="Verdana" w:cs="Arial"/>
          <w:sz w:val="17"/>
          <w:szCs w:val="17"/>
        </w:rPr>
      </w:pPr>
    </w:p>
    <w:p w14:paraId="2228C1E6" w14:textId="77777777" w:rsidR="00C82F0D" w:rsidRPr="00107B4D" w:rsidRDefault="00C82F0D" w:rsidP="00D84952">
      <w:pPr>
        <w:pStyle w:val="Ttulo1"/>
        <w:keepNext w:val="0"/>
        <w:keepLines w:val="0"/>
        <w:numPr>
          <w:ilvl w:val="0"/>
          <w:numId w:val="3"/>
        </w:numPr>
        <w:tabs>
          <w:tab w:val="left" w:pos="426"/>
        </w:tabs>
        <w:spacing w:before="0"/>
        <w:ind w:right="-22"/>
        <w:jc w:val="both"/>
        <w:rPr>
          <w:rFonts w:ascii="Verdana" w:eastAsia="Times New Roman" w:hAnsi="Verdana" w:cs="Arial"/>
          <w:b w:val="0"/>
          <w:bCs w:val="0"/>
          <w:color w:val="auto"/>
          <w:sz w:val="17"/>
          <w:szCs w:val="17"/>
          <w:u w:val="single"/>
          <w:lang w:eastAsia="en-US"/>
        </w:rPr>
      </w:pPr>
      <w:r w:rsidRPr="00107B4D">
        <w:rPr>
          <w:rFonts w:ascii="Verdana" w:eastAsia="Times New Roman" w:hAnsi="Verdana" w:cs="Arial"/>
          <w:b w:val="0"/>
          <w:bCs w:val="0"/>
          <w:color w:val="auto"/>
          <w:sz w:val="17"/>
          <w:szCs w:val="17"/>
          <w:u w:val="single"/>
          <w:lang w:eastAsia="en-US"/>
        </w:rPr>
        <w:t>RENDIMENTOS E GANHOS FINANCEIROS</w:t>
      </w:r>
    </w:p>
    <w:p w14:paraId="10A348B5" w14:textId="77777777" w:rsidR="00C82F0D" w:rsidRPr="00107B4D" w:rsidRDefault="00C82F0D" w:rsidP="00633A3B">
      <w:pPr>
        <w:tabs>
          <w:tab w:val="left" w:pos="426"/>
          <w:tab w:val="left" w:pos="720"/>
          <w:tab w:val="right" w:pos="6600"/>
          <w:tab w:val="right" w:pos="8040"/>
        </w:tabs>
        <w:ind w:right="-22"/>
        <w:jc w:val="both"/>
        <w:rPr>
          <w:rFonts w:ascii="Verdana" w:hAnsi="Verdana" w:cs="Arial"/>
          <w:sz w:val="17"/>
          <w:szCs w:val="17"/>
        </w:rPr>
      </w:pPr>
    </w:p>
    <w:p w14:paraId="63290B6A" w14:textId="77777777" w:rsidR="00C82F0D" w:rsidRPr="00107B4D" w:rsidRDefault="00C82F0D" w:rsidP="00633A3B">
      <w:pPr>
        <w:tabs>
          <w:tab w:val="left" w:pos="426"/>
          <w:tab w:val="left" w:pos="720"/>
          <w:tab w:val="right" w:pos="6600"/>
          <w:tab w:val="right" w:pos="8040"/>
        </w:tabs>
        <w:ind w:left="426" w:right="-22"/>
        <w:jc w:val="both"/>
        <w:rPr>
          <w:rFonts w:ascii="Verdana" w:hAnsi="Verdana" w:cs="Arial"/>
          <w:sz w:val="17"/>
          <w:szCs w:val="17"/>
        </w:rPr>
      </w:pPr>
      <w:r w:rsidRPr="00107B4D">
        <w:rPr>
          <w:rFonts w:ascii="Verdana" w:hAnsi="Verdana" w:cs="Arial"/>
          <w:sz w:val="17"/>
          <w:szCs w:val="17"/>
        </w:rPr>
        <w:t xml:space="preserve">Esta rubrica apresenta o seguinte detalhe por tipo de produto: </w:t>
      </w:r>
    </w:p>
    <w:p w14:paraId="38A7BC2C" w14:textId="77777777" w:rsidR="00C82F0D" w:rsidRPr="00107B4D" w:rsidRDefault="00C82F0D" w:rsidP="00633A3B">
      <w:pPr>
        <w:tabs>
          <w:tab w:val="left" w:pos="426"/>
          <w:tab w:val="left" w:pos="720"/>
          <w:tab w:val="right" w:pos="6600"/>
          <w:tab w:val="right" w:pos="8040"/>
        </w:tabs>
        <w:ind w:left="426" w:right="-22"/>
        <w:jc w:val="both"/>
        <w:rPr>
          <w:rFonts w:ascii="Verdana" w:hAnsi="Verdana"/>
          <w:noProof/>
        </w:rPr>
      </w:pPr>
    </w:p>
    <w:p w14:paraId="15EAB596" w14:textId="77777777" w:rsidR="00C82F0D" w:rsidRPr="00107B4D" w:rsidRDefault="00C82F0D" w:rsidP="00633A3B">
      <w:pPr>
        <w:tabs>
          <w:tab w:val="left" w:pos="426"/>
          <w:tab w:val="left" w:pos="720"/>
          <w:tab w:val="right" w:pos="6600"/>
          <w:tab w:val="right" w:pos="8040"/>
        </w:tabs>
        <w:ind w:left="426" w:right="-22"/>
        <w:jc w:val="both"/>
        <w:rPr>
          <w:rFonts w:ascii="Verdana" w:hAnsi="Verdana" w:cs="Arial"/>
          <w:sz w:val="17"/>
          <w:szCs w:val="17"/>
        </w:rPr>
      </w:pPr>
      <w:r w:rsidRPr="00A57A19">
        <w:rPr>
          <w:noProof/>
        </w:rPr>
        <w:drawing>
          <wp:inline distT="0" distB="0" distL="0" distR="0" wp14:anchorId="6B860A2E" wp14:editId="104182A5">
            <wp:extent cx="5023485" cy="1236652"/>
            <wp:effectExtent l="0" t="0" r="5715" b="1905"/>
            <wp:docPr id="1395650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035081" cy="1239507"/>
                    </a:xfrm>
                    <a:prstGeom prst="rect">
                      <a:avLst/>
                    </a:prstGeom>
                    <a:noFill/>
                    <a:ln>
                      <a:noFill/>
                    </a:ln>
                  </pic:spPr>
                </pic:pic>
              </a:graphicData>
            </a:graphic>
          </wp:inline>
        </w:drawing>
      </w:r>
    </w:p>
    <w:p w14:paraId="6844E78C" w14:textId="77777777" w:rsidR="00C82F0D" w:rsidRPr="00107B4D" w:rsidRDefault="00C82F0D" w:rsidP="00CB36FD">
      <w:pPr>
        <w:tabs>
          <w:tab w:val="left" w:pos="426"/>
          <w:tab w:val="left" w:pos="720"/>
          <w:tab w:val="right" w:pos="6600"/>
          <w:tab w:val="right" w:pos="8040"/>
        </w:tabs>
        <w:ind w:left="426" w:right="-22"/>
        <w:jc w:val="both"/>
        <w:rPr>
          <w:rFonts w:ascii="Verdana" w:hAnsi="Verdana" w:cs="Arial"/>
          <w:sz w:val="17"/>
          <w:szCs w:val="17"/>
        </w:rPr>
      </w:pPr>
    </w:p>
    <w:p w14:paraId="3673DE92" w14:textId="77777777" w:rsidR="00C82F0D" w:rsidRDefault="00C82F0D" w:rsidP="006D1774">
      <w:pPr>
        <w:tabs>
          <w:tab w:val="left" w:pos="426"/>
          <w:tab w:val="left" w:pos="851"/>
        </w:tabs>
        <w:ind w:left="426" w:right="-22"/>
        <w:jc w:val="both"/>
        <w:rPr>
          <w:rFonts w:ascii="Verdana" w:hAnsi="Verdana" w:cs="Arial"/>
          <w:sz w:val="17"/>
          <w:szCs w:val="17"/>
        </w:rPr>
      </w:pPr>
      <w:r w:rsidRPr="00107B4D">
        <w:rPr>
          <w:rFonts w:ascii="Verdana" w:hAnsi="Verdana" w:cs="Arial"/>
          <w:sz w:val="17"/>
          <w:szCs w:val="17"/>
        </w:rPr>
        <w:t>Em 202</w:t>
      </w:r>
      <w:r>
        <w:rPr>
          <w:rFonts w:ascii="Verdana" w:hAnsi="Verdana" w:cs="Arial"/>
          <w:sz w:val="17"/>
          <w:szCs w:val="17"/>
        </w:rPr>
        <w:t>5</w:t>
      </w:r>
      <w:r w:rsidRPr="00107B4D">
        <w:rPr>
          <w:rFonts w:ascii="Verdana" w:hAnsi="Verdana" w:cs="Arial"/>
          <w:sz w:val="17"/>
          <w:szCs w:val="17"/>
        </w:rPr>
        <w:t xml:space="preserve">, a Sociedade </w:t>
      </w:r>
      <w:r w:rsidRPr="000B0ED3">
        <w:rPr>
          <w:rFonts w:ascii="Verdana" w:hAnsi="Verdana" w:cs="Arial"/>
          <w:sz w:val="17"/>
          <w:szCs w:val="17"/>
        </w:rPr>
        <w:t>efetuou três aplicações no Certificado Especial de Dívida de Curto Prazo (CEDIC), emitido pelo IGCP – Agência de Gestão da Tesouraria e da Dívida Pública, nos montantes de 2,5 milhões de euros, 3 milhões de euros e 20 milhões de euros, realizadas em 20 de novembro de 2025, 31 de dezembro de 2025 e 31 de dezembro de 2025, respetivamente.</w:t>
      </w:r>
      <w:r>
        <w:rPr>
          <w:rFonts w:ascii="Verdana" w:hAnsi="Verdana" w:cs="Arial"/>
          <w:sz w:val="17"/>
          <w:szCs w:val="17"/>
        </w:rPr>
        <w:t xml:space="preserve"> </w:t>
      </w:r>
      <w:r w:rsidRPr="000B0ED3">
        <w:rPr>
          <w:rFonts w:ascii="Verdana" w:hAnsi="Verdana" w:cs="Arial"/>
          <w:sz w:val="17"/>
          <w:szCs w:val="17"/>
        </w:rPr>
        <w:t>A aplicação no montante de 2,5 milhões de euros foi reembolsada em 7 de janeiro de 2026, estando previsto que as restantes aplicações sejam reembolsadas no dia 10 de abril de 2026.</w:t>
      </w:r>
    </w:p>
    <w:p w14:paraId="162E526B" w14:textId="77777777" w:rsidR="00C82F0D" w:rsidRDefault="00C82F0D" w:rsidP="006D1774">
      <w:pPr>
        <w:tabs>
          <w:tab w:val="left" w:pos="426"/>
          <w:tab w:val="left" w:pos="851"/>
        </w:tabs>
        <w:ind w:left="426" w:right="-22"/>
        <w:jc w:val="both"/>
        <w:rPr>
          <w:rFonts w:ascii="Verdana" w:hAnsi="Verdana" w:cs="Arial"/>
          <w:sz w:val="17"/>
          <w:szCs w:val="17"/>
        </w:rPr>
      </w:pPr>
    </w:p>
    <w:p w14:paraId="0A1CA260" w14:textId="77777777" w:rsidR="00C82F0D" w:rsidRPr="00107B4D" w:rsidRDefault="00C82F0D" w:rsidP="006D1774">
      <w:pPr>
        <w:tabs>
          <w:tab w:val="left" w:pos="426"/>
          <w:tab w:val="left" w:pos="851"/>
        </w:tabs>
        <w:ind w:left="426" w:right="-22"/>
        <w:jc w:val="both"/>
        <w:rPr>
          <w:rFonts w:ascii="Verdana" w:hAnsi="Verdana" w:cs="Arial"/>
          <w:sz w:val="17"/>
          <w:szCs w:val="17"/>
        </w:rPr>
      </w:pPr>
      <w:r w:rsidRPr="00107B4D">
        <w:rPr>
          <w:rFonts w:ascii="Verdana" w:hAnsi="Verdana" w:cs="Arial"/>
          <w:sz w:val="17"/>
          <w:szCs w:val="17"/>
        </w:rPr>
        <w:t xml:space="preserve">Em 27 de dezembro e 31 de dezembro de 2024 a Sociedade efetuou aplicações no montante de 33.000 </w:t>
      </w:r>
      <w:proofErr w:type="spellStart"/>
      <w:proofErr w:type="gramStart"/>
      <w:r w:rsidRPr="00107B4D">
        <w:rPr>
          <w:rFonts w:ascii="Verdana" w:hAnsi="Verdana" w:cs="Arial"/>
          <w:sz w:val="17"/>
          <w:szCs w:val="17"/>
        </w:rPr>
        <w:t>m.euros</w:t>
      </w:r>
      <w:proofErr w:type="spellEnd"/>
      <w:proofErr w:type="gramEnd"/>
      <w:r w:rsidRPr="00107B4D">
        <w:rPr>
          <w:rFonts w:ascii="Verdana" w:hAnsi="Verdana" w:cs="Arial"/>
          <w:sz w:val="17"/>
          <w:szCs w:val="17"/>
        </w:rPr>
        <w:t xml:space="preserve"> e 4.000 </w:t>
      </w:r>
      <w:proofErr w:type="spellStart"/>
      <w:proofErr w:type="gramStart"/>
      <w:r w:rsidRPr="00107B4D">
        <w:rPr>
          <w:rFonts w:ascii="Verdana" w:hAnsi="Verdana" w:cs="Arial"/>
          <w:sz w:val="17"/>
          <w:szCs w:val="17"/>
        </w:rPr>
        <w:t>m.euros</w:t>
      </w:r>
      <w:proofErr w:type="spellEnd"/>
      <w:proofErr w:type="gramEnd"/>
      <w:r w:rsidRPr="00107B4D">
        <w:rPr>
          <w:rFonts w:ascii="Verdana" w:hAnsi="Verdana" w:cs="Arial"/>
          <w:sz w:val="17"/>
          <w:szCs w:val="17"/>
        </w:rPr>
        <w:t xml:space="preserve"> no Certificado Especial de Dívida de Curto Prazo (CEDIC), emitido pelo IGCP – Agência de Gestão da Tesouraria e da Dívida Pública que tiveram o seu reembolso em 3 de janeiro de 2025 e 7 de janeiro de 2025, respetivamente. </w:t>
      </w:r>
    </w:p>
    <w:p w14:paraId="078DE5A4" w14:textId="77777777" w:rsidR="00C82F0D" w:rsidRPr="00107B4D" w:rsidRDefault="00C82F0D" w:rsidP="00692C6D">
      <w:pPr>
        <w:tabs>
          <w:tab w:val="left" w:pos="426"/>
          <w:tab w:val="left" w:pos="851"/>
        </w:tabs>
        <w:ind w:left="426" w:right="-22"/>
        <w:jc w:val="both"/>
        <w:rPr>
          <w:rFonts w:ascii="Verdana" w:hAnsi="Verdana" w:cs="Arial"/>
          <w:sz w:val="17"/>
          <w:szCs w:val="17"/>
        </w:rPr>
      </w:pPr>
    </w:p>
    <w:p w14:paraId="69AF70DC" w14:textId="77777777" w:rsidR="00C82F0D" w:rsidRPr="00107B4D" w:rsidRDefault="00C82F0D" w:rsidP="00CB36FD">
      <w:pPr>
        <w:tabs>
          <w:tab w:val="left" w:pos="426"/>
          <w:tab w:val="left" w:pos="720"/>
          <w:tab w:val="right" w:pos="6600"/>
          <w:tab w:val="right" w:pos="8040"/>
        </w:tabs>
        <w:ind w:left="426" w:right="-22"/>
        <w:jc w:val="both"/>
        <w:rPr>
          <w:rFonts w:ascii="Verdana" w:hAnsi="Verdana" w:cs="Arial"/>
          <w:sz w:val="17"/>
          <w:szCs w:val="17"/>
        </w:rPr>
      </w:pPr>
      <w:r w:rsidRPr="00107B4D">
        <w:rPr>
          <w:rFonts w:ascii="Verdana" w:hAnsi="Verdana" w:cs="Arial"/>
          <w:sz w:val="17"/>
          <w:szCs w:val="17"/>
        </w:rPr>
        <w:t>Os juros relativos a esta aplicação encontram-se refletidos na rubrica “Juros de aplicações”.</w:t>
      </w:r>
    </w:p>
    <w:p w14:paraId="0A898F2D" w14:textId="77777777" w:rsidR="00C82F0D" w:rsidRPr="00107B4D" w:rsidRDefault="00C82F0D" w:rsidP="00CB36FD">
      <w:pPr>
        <w:tabs>
          <w:tab w:val="left" w:pos="426"/>
          <w:tab w:val="left" w:pos="720"/>
          <w:tab w:val="right" w:pos="6600"/>
          <w:tab w:val="right" w:pos="8040"/>
        </w:tabs>
        <w:ind w:left="426" w:right="-22"/>
        <w:jc w:val="both"/>
        <w:rPr>
          <w:rFonts w:ascii="Verdana" w:hAnsi="Verdana" w:cs="Arial"/>
          <w:sz w:val="17"/>
          <w:szCs w:val="17"/>
        </w:rPr>
      </w:pPr>
    </w:p>
    <w:p w14:paraId="5A46705C" w14:textId="77777777" w:rsidR="00C82F0D" w:rsidRPr="00107B4D" w:rsidRDefault="00C82F0D">
      <w:pPr>
        <w:rPr>
          <w:rFonts w:ascii="Verdana" w:hAnsi="Verdana" w:cs="Arial"/>
          <w:sz w:val="17"/>
          <w:szCs w:val="17"/>
          <w:u w:val="single"/>
          <w:lang w:eastAsia="en-US"/>
        </w:rPr>
      </w:pPr>
    </w:p>
    <w:p w14:paraId="5B517068" w14:textId="77777777" w:rsidR="00C82F0D" w:rsidRPr="00107B4D" w:rsidRDefault="00C82F0D" w:rsidP="00D84952">
      <w:pPr>
        <w:pStyle w:val="Ttulo1"/>
        <w:keepNext w:val="0"/>
        <w:keepLines w:val="0"/>
        <w:numPr>
          <w:ilvl w:val="0"/>
          <w:numId w:val="3"/>
        </w:numPr>
        <w:tabs>
          <w:tab w:val="left" w:pos="426"/>
        </w:tabs>
        <w:spacing w:before="0"/>
        <w:ind w:right="-22"/>
        <w:jc w:val="both"/>
        <w:rPr>
          <w:rFonts w:ascii="Verdana" w:eastAsia="Times New Roman" w:hAnsi="Verdana" w:cs="Arial"/>
          <w:b w:val="0"/>
          <w:bCs w:val="0"/>
          <w:color w:val="auto"/>
          <w:sz w:val="17"/>
          <w:szCs w:val="17"/>
          <w:u w:val="single"/>
          <w:lang w:eastAsia="en-US"/>
        </w:rPr>
      </w:pPr>
      <w:r w:rsidRPr="00107B4D">
        <w:rPr>
          <w:rFonts w:ascii="Verdana" w:eastAsia="Times New Roman" w:hAnsi="Verdana" w:cs="Arial"/>
          <w:b w:val="0"/>
          <w:bCs w:val="0"/>
          <w:color w:val="auto"/>
          <w:sz w:val="17"/>
          <w:szCs w:val="17"/>
          <w:u w:val="single"/>
          <w:lang w:eastAsia="en-US"/>
        </w:rPr>
        <w:lastRenderedPageBreak/>
        <w:t>GASTOS E PERDAS FINANCEIROS</w:t>
      </w:r>
    </w:p>
    <w:p w14:paraId="5E5230B4" w14:textId="77777777" w:rsidR="00C82F0D" w:rsidRPr="00107B4D" w:rsidRDefault="00C82F0D" w:rsidP="00633A3B">
      <w:pPr>
        <w:tabs>
          <w:tab w:val="left" w:pos="426"/>
          <w:tab w:val="left" w:pos="720"/>
          <w:tab w:val="right" w:pos="6600"/>
          <w:tab w:val="right" w:pos="8040"/>
        </w:tabs>
        <w:ind w:right="-22"/>
        <w:jc w:val="both"/>
        <w:rPr>
          <w:rFonts w:ascii="Verdana" w:hAnsi="Verdana" w:cs="Arial"/>
          <w:sz w:val="17"/>
          <w:szCs w:val="17"/>
          <w:u w:val="single"/>
        </w:rPr>
      </w:pPr>
    </w:p>
    <w:p w14:paraId="12234AF3" w14:textId="77777777" w:rsidR="00C82F0D" w:rsidRPr="00107B4D" w:rsidRDefault="00C82F0D" w:rsidP="00633A3B">
      <w:pPr>
        <w:tabs>
          <w:tab w:val="left" w:pos="426"/>
          <w:tab w:val="left" w:pos="720"/>
          <w:tab w:val="right" w:pos="6600"/>
          <w:tab w:val="right" w:pos="8040"/>
        </w:tabs>
        <w:ind w:left="426" w:right="-22"/>
        <w:jc w:val="both"/>
        <w:rPr>
          <w:rFonts w:ascii="Verdana" w:hAnsi="Verdana" w:cs="Arial"/>
          <w:sz w:val="17"/>
          <w:szCs w:val="17"/>
        </w:rPr>
      </w:pPr>
      <w:r w:rsidRPr="00107B4D">
        <w:rPr>
          <w:rFonts w:ascii="Verdana" w:hAnsi="Verdana" w:cs="Arial"/>
          <w:sz w:val="17"/>
          <w:szCs w:val="17"/>
        </w:rPr>
        <w:t>Esta rubrica apresenta o seguinte detalhe:</w:t>
      </w:r>
    </w:p>
    <w:p w14:paraId="6EFF12C8" w14:textId="77777777" w:rsidR="00C82F0D" w:rsidRPr="00107B4D" w:rsidRDefault="00C82F0D" w:rsidP="00633A3B">
      <w:pPr>
        <w:tabs>
          <w:tab w:val="left" w:pos="426"/>
          <w:tab w:val="left" w:pos="720"/>
          <w:tab w:val="right" w:pos="6600"/>
          <w:tab w:val="right" w:pos="8040"/>
        </w:tabs>
        <w:ind w:left="426" w:right="-22"/>
        <w:jc w:val="both"/>
        <w:rPr>
          <w:rFonts w:ascii="Verdana" w:hAnsi="Verdana" w:cs="Arial"/>
          <w:sz w:val="17"/>
          <w:szCs w:val="17"/>
        </w:rPr>
      </w:pPr>
    </w:p>
    <w:p w14:paraId="4A807FF0" w14:textId="77777777" w:rsidR="00C82F0D" w:rsidRPr="000A1737" w:rsidRDefault="00C82F0D" w:rsidP="00633A3B">
      <w:pPr>
        <w:tabs>
          <w:tab w:val="left" w:pos="426"/>
          <w:tab w:val="left" w:pos="720"/>
          <w:tab w:val="right" w:pos="6600"/>
          <w:tab w:val="right" w:pos="8040"/>
        </w:tabs>
        <w:ind w:left="426" w:right="-22"/>
        <w:jc w:val="both"/>
        <w:rPr>
          <w:rFonts w:ascii="Verdana" w:hAnsi="Verdana" w:cs="Arial"/>
          <w:sz w:val="17"/>
          <w:szCs w:val="17"/>
        </w:rPr>
      </w:pPr>
      <w:r w:rsidRPr="000A1737">
        <w:rPr>
          <w:noProof/>
        </w:rPr>
        <w:drawing>
          <wp:inline distT="0" distB="0" distL="0" distR="0" wp14:anchorId="3C3DB834" wp14:editId="26D06893">
            <wp:extent cx="5036820" cy="912939"/>
            <wp:effectExtent l="0" t="0" r="0" b="0"/>
            <wp:docPr id="23571813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096147" cy="923692"/>
                    </a:xfrm>
                    <a:prstGeom prst="rect">
                      <a:avLst/>
                    </a:prstGeom>
                    <a:noFill/>
                    <a:ln>
                      <a:noFill/>
                    </a:ln>
                  </pic:spPr>
                </pic:pic>
              </a:graphicData>
            </a:graphic>
          </wp:inline>
        </w:drawing>
      </w:r>
    </w:p>
    <w:p w14:paraId="3EB8E8A3" w14:textId="77777777" w:rsidR="00C82F0D" w:rsidRPr="000A1737" w:rsidRDefault="00C82F0D" w:rsidP="00692C6D">
      <w:pPr>
        <w:rPr>
          <w:rFonts w:ascii="Verdana" w:hAnsi="Verdana" w:cs="Arial"/>
          <w:sz w:val="17"/>
          <w:szCs w:val="17"/>
        </w:rPr>
      </w:pPr>
    </w:p>
    <w:p w14:paraId="56C195DF" w14:textId="77777777" w:rsidR="00C82F0D" w:rsidRPr="000A1737" w:rsidRDefault="00C82F0D" w:rsidP="00D84952">
      <w:pPr>
        <w:pStyle w:val="Ttulo1"/>
        <w:keepNext w:val="0"/>
        <w:keepLines w:val="0"/>
        <w:numPr>
          <w:ilvl w:val="0"/>
          <w:numId w:val="3"/>
        </w:numPr>
        <w:tabs>
          <w:tab w:val="left" w:pos="426"/>
        </w:tabs>
        <w:spacing w:before="0"/>
        <w:ind w:right="-22"/>
        <w:jc w:val="both"/>
        <w:rPr>
          <w:rFonts w:ascii="Verdana" w:eastAsia="Times New Roman" w:hAnsi="Verdana" w:cs="Arial"/>
          <w:b w:val="0"/>
          <w:bCs w:val="0"/>
          <w:color w:val="auto"/>
          <w:sz w:val="17"/>
          <w:szCs w:val="17"/>
          <w:u w:val="single"/>
          <w:lang w:eastAsia="en-US"/>
        </w:rPr>
      </w:pPr>
      <w:r w:rsidRPr="000A1737">
        <w:rPr>
          <w:rFonts w:ascii="Verdana" w:eastAsia="Times New Roman" w:hAnsi="Verdana" w:cs="Arial"/>
          <w:b w:val="0"/>
          <w:bCs w:val="0"/>
          <w:color w:val="auto"/>
          <w:sz w:val="17"/>
          <w:szCs w:val="17"/>
          <w:u w:val="single"/>
          <w:lang w:eastAsia="en-US"/>
        </w:rPr>
        <w:t>RELATO POR SEGMENTOS</w:t>
      </w:r>
    </w:p>
    <w:p w14:paraId="5B9F71FD" w14:textId="77777777" w:rsidR="00C82F0D" w:rsidRPr="000A1737" w:rsidRDefault="00C82F0D" w:rsidP="00633A3B">
      <w:pPr>
        <w:tabs>
          <w:tab w:val="left" w:pos="426"/>
        </w:tabs>
        <w:ind w:right="-22"/>
        <w:jc w:val="both"/>
        <w:rPr>
          <w:rFonts w:ascii="Verdana" w:hAnsi="Verdana" w:cs="Arial"/>
          <w:sz w:val="17"/>
          <w:szCs w:val="17"/>
          <w:u w:val="single"/>
        </w:rPr>
      </w:pPr>
    </w:p>
    <w:p w14:paraId="0EE4D8EB" w14:textId="77777777" w:rsidR="00C82F0D" w:rsidRPr="000A1737" w:rsidRDefault="00C82F0D" w:rsidP="00633A3B">
      <w:pPr>
        <w:autoSpaceDE w:val="0"/>
        <w:autoSpaceDN w:val="0"/>
        <w:adjustRightInd w:val="0"/>
        <w:ind w:left="400" w:right="-22"/>
        <w:jc w:val="both"/>
        <w:rPr>
          <w:rFonts w:ascii="Verdana" w:hAnsi="Verdana" w:cs="Arial"/>
          <w:sz w:val="17"/>
          <w:szCs w:val="17"/>
        </w:rPr>
      </w:pPr>
      <w:r w:rsidRPr="000A1737">
        <w:rPr>
          <w:rFonts w:ascii="Verdana" w:hAnsi="Verdana" w:cs="Arial"/>
          <w:sz w:val="17"/>
          <w:szCs w:val="17"/>
        </w:rPr>
        <w:t xml:space="preserve">Para cumprimento dos requisitos da Norma IFRS 8, a Sociedade apresenta de seguida as divulgações por segmentos operacionais, de acordo com a informação analisada pelos órgãos de gestão: </w:t>
      </w:r>
    </w:p>
    <w:p w14:paraId="7C627952" w14:textId="77777777" w:rsidR="00C82F0D" w:rsidRPr="000A1737" w:rsidRDefault="00C82F0D" w:rsidP="00633A3B">
      <w:pPr>
        <w:autoSpaceDE w:val="0"/>
        <w:autoSpaceDN w:val="0"/>
        <w:adjustRightInd w:val="0"/>
        <w:ind w:left="400" w:right="-22"/>
        <w:jc w:val="both"/>
        <w:rPr>
          <w:rFonts w:ascii="Verdana" w:hAnsi="Verdana" w:cs="Arial"/>
          <w:sz w:val="17"/>
          <w:szCs w:val="17"/>
        </w:rPr>
      </w:pPr>
    </w:p>
    <w:p w14:paraId="68D549B4" w14:textId="77777777" w:rsidR="00C82F0D" w:rsidRPr="000A1737" w:rsidRDefault="00C82F0D" w:rsidP="00633A3B">
      <w:pPr>
        <w:tabs>
          <w:tab w:val="left" w:pos="400"/>
          <w:tab w:val="left" w:pos="700"/>
          <w:tab w:val="left" w:pos="993"/>
        </w:tabs>
        <w:ind w:left="700" w:right="-22" w:hanging="700"/>
        <w:jc w:val="both"/>
        <w:rPr>
          <w:rFonts w:ascii="Verdana" w:hAnsi="Verdana" w:cs="Arial"/>
          <w:sz w:val="17"/>
          <w:szCs w:val="17"/>
        </w:rPr>
      </w:pPr>
      <w:r w:rsidRPr="000A1737">
        <w:rPr>
          <w:rFonts w:ascii="Verdana" w:hAnsi="Verdana" w:cs="Arial"/>
          <w:sz w:val="17"/>
          <w:szCs w:val="17"/>
        </w:rPr>
        <w:tab/>
        <w:t>-</w:t>
      </w:r>
      <w:r w:rsidRPr="000A1737">
        <w:rPr>
          <w:rFonts w:ascii="Verdana" w:hAnsi="Verdana" w:cs="Arial"/>
          <w:sz w:val="17"/>
          <w:szCs w:val="17"/>
        </w:rPr>
        <w:tab/>
      </w:r>
      <w:r w:rsidRPr="000A1737">
        <w:rPr>
          <w:rFonts w:ascii="Verdana" w:hAnsi="Verdana" w:cs="Arial"/>
          <w:sz w:val="17"/>
          <w:szCs w:val="17"/>
          <w:u w:val="single"/>
        </w:rPr>
        <w:t>Retalho</w:t>
      </w:r>
      <w:r w:rsidRPr="000A1737">
        <w:rPr>
          <w:rFonts w:ascii="Verdana" w:hAnsi="Verdana" w:cs="Arial"/>
          <w:sz w:val="17"/>
          <w:szCs w:val="17"/>
        </w:rPr>
        <w:t>: compreende a atividade com particulares e empresários em nome individual.</w:t>
      </w:r>
    </w:p>
    <w:p w14:paraId="5979759A" w14:textId="77777777" w:rsidR="00C82F0D" w:rsidRPr="000A1737" w:rsidRDefault="00C82F0D" w:rsidP="00633A3B">
      <w:pPr>
        <w:tabs>
          <w:tab w:val="left" w:pos="400"/>
          <w:tab w:val="left" w:pos="700"/>
          <w:tab w:val="left" w:pos="993"/>
        </w:tabs>
        <w:ind w:left="700" w:right="-22" w:hanging="700"/>
        <w:jc w:val="both"/>
        <w:rPr>
          <w:rFonts w:ascii="Verdana" w:hAnsi="Verdana" w:cs="Arial"/>
          <w:sz w:val="17"/>
          <w:szCs w:val="17"/>
        </w:rPr>
      </w:pPr>
      <w:r w:rsidRPr="000A1737">
        <w:rPr>
          <w:rFonts w:ascii="Verdana" w:hAnsi="Verdana" w:cs="Arial"/>
          <w:sz w:val="17"/>
          <w:szCs w:val="17"/>
        </w:rPr>
        <w:tab/>
        <w:t>-</w:t>
      </w:r>
      <w:r w:rsidRPr="000A1737">
        <w:rPr>
          <w:rFonts w:ascii="Verdana" w:hAnsi="Verdana" w:cs="Arial"/>
          <w:sz w:val="17"/>
          <w:szCs w:val="17"/>
        </w:rPr>
        <w:tab/>
      </w:r>
      <w:r w:rsidRPr="000A1737">
        <w:rPr>
          <w:rFonts w:ascii="Verdana" w:hAnsi="Verdana" w:cs="Arial"/>
          <w:sz w:val="17"/>
          <w:szCs w:val="17"/>
          <w:u w:val="single"/>
        </w:rPr>
        <w:t>Comercial</w:t>
      </w:r>
      <w:r w:rsidRPr="000A1737">
        <w:rPr>
          <w:rFonts w:ascii="Verdana" w:hAnsi="Verdana" w:cs="Arial"/>
          <w:sz w:val="17"/>
          <w:szCs w:val="17"/>
        </w:rPr>
        <w:t>: compreende a atividade com empresas.</w:t>
      </w:r>
    </w:p>
    <w:p w14:paraId="23A16E69" w14:textId="77777777" w:rsidR="00C82F0D" w:rsidRPr="000A1737" w:rsidRDefault="00C82F0D" w:rsidP="00633A3B">
      <w:pPr>
        <w:tabs>
          <w:tab w:val="left" w:pos="400"/>
          <w:tab w:val="left" w:pos="700"/>
          <w:tab w:val="left" w:pos="993"/>
        </w:tabs>
        <w:ind w:left="700" w:right="-22" w:hanging="700"/>
        <w:jc w:val="both"/>
        <w:rPr>
          <w:rFonts w:ascii="Verdana" w:hAnsi="Verdana" w:cs="Arial"/>
          <w:sz w:val="17"/>
          <w:szCs w:val="17"/>
        </w:rPr>
      </w:pPr>
      <w:r w:rsidRPr="000A1737">
        <w:rPr>
          <w:rFonts w:ascii="Verdana" w:hAnsi="Verdana" w:cs="Arial"/>
          <w:sz w:val="17"/>
          <w:szCs w:val="17"/>
        </w:rPr>
        <w:tab/>
        <w:t>-</w:t>
      </w:r>
      <w:r w:rsidRPr="000A1737">
        <w:rPr>
          <w:rFonts w:ascii="Verdana" w:hAnsi="Verdana" w:cs="Arial"/>
          <w:sz w:val="17"/>
          <w:szCs w:val="17"/>
        </w:rPr>
        <w:tab/>
      </w:r>
      <w:r w:rsidRPr="000A1737">
        <w:rPr>
          <w:rFonts w:ascii="Verdana" w:hAnsi="Verdana" w:cs="Arial"/>
          <w:sz w:val="17"/>
          <w:szCs w:val="17"/>
          <w:u w:val="single"/>
        </w:rPr>
        <w:t>Outros</w:t>
      </w:r>
      <w:r w:rsidRPr="000A1737">
        <w:rPr>
          <w:rFonts w:ascii="Verdana" w:hAnsi="Verdana" w:cs="Arial"/>
          <w:sz w:val="17"/>
          <w:szCs w:val="17"/>
        </w:rPr>
        <w:t>: compreende todos os segmentos de atividade que não foram contemplados nas linhas de negócio anteriores.</w:t>
      </w:r>
    </w:p>
    <w:p w14:paraId="03158758" w14:textId="77777777" w:rsidR="00C82F0D" w:rsidRPr="000A1737" w:rsidRDefault="00C82F0D" w:rsidP="00633A3B">
      <w:pPr>
        <w:tabs>
          <w:tab w:val="left" w:pos="400"/>
          <w:tab w:val="left" w:pos="700"/>
          <w:tab w:val="left" w:pos="993"/>
        </w:tabs>
        <w:ind w:left="700" w:right="-22" w:hanging="700"/>
        <w:jc w:val="both"/>
        <w:rPr>
          <w:rFonts w:ascii="Verdana" w:hAnsi="Verdana" w:cs="Arial"/>
          <w:sz w:val="17"/>
          <w:szCs w:val="17"/>
        </w:rPr>
      </w:pPr>
    </w:p>
    <w:p w14:paraId="6BF5DC3C" w14:textId="77777777" w:rsidR="00C82F0D" w:rsidRPr="000A1737" w:rsidRDefault="00C82F0D" w:rsidP="00633A3B">
      <w:pPr>
        <w:tabs>
          <w:tab w:val="left" w:pos="426"/>
        </w:tabs>
        <w:ind w:left="426" w:right="-22"/>
        <w:jc w:val="both"/>
        <w:rPr>
          <w:rFonts w:ascii="Verdana" w:hAnsi="Verdana" w:cs="Arial"/>
          <w:sz w:val="17"/>
          <w:szCs w:val="17"/>
        </w:rPr>
      </w:pPr>
      <w:r w:rsidRPr="000A1737">
        <w:rPr>
          <w:rFonts w:ascii="Verdana" w:hAnsi="Verdana" w:cs="Arial"/>
          <w:sz w:val="17"/>
          <w:szCs w:val="17"/>
        </w:rPr>
        <w:t xml:space="preserve"> A distribuição dos principais ativos, passivos e rubricas de resultados por segmentos operacionais nos exercícios de 2025 e 2024 é a seguinte: </w:t>
      </w:r>
    </w:p>
    <w:p w14:paraId="520EDC83" w14:textId="77777777" w:rsidR="00C82F0D" w:rsidRPr="000A1737" w:rsidRDefault="00C82F0D" w:rsidP="00633A3B">
      <w:pPr>
        <w:tabs>
          <w:tab w:val="left" w:pos="426"/>
        </w:tabs>
        <w:ind w:left="426" w:right="-22"/>
        <w:jc w:val="both"/>
        <w:rPr>
          <w:rFonts w:ascii="Verdana" w:hAnsi="Verdana" w:cs="Arial"/>
          <w:sz w:val="17"/>
          <w:szCs w:val="17"/>
        </w:rPr>
      </w:pPr>
    </w:p>
    <w:p w14:paraId="1F2E81F5" w14:textId="5127700E" w:rsidR="00C82F0D" w:rsidRPr="000A1737" w:rsidRDefault="00B17F04" w:rsidP="00633A3B">
      <w:pPr>
        <w:tabs>
          <w:tab w:val="left" w:pos="426"/>
        </w:tabs>
        <w:ind w:left="426" w:right="-22"/>
        <w:jc w:val="both"/>
        <w:rPr>
          <w:rFonts w:ascii="Verdana" w:hAnsi="Verdana" w:cs="Arial"/>
          <w:sz w:val="17"/>
          <w:szCs w:val="17"/>
        </w:rPr>
      </w:pPr>
      <w:r w:rsidRPr="00E57839">
        <w:rPr>
          <w:noProof/>
        </w:rPr>
        <w:drawing>
          <wp:inline distT="0" distB="0" distL="0" distR="0" wp14:anchorId="6B7EB30A" wp14:editId="76A7687C">
            <wp:extent cx="5036820" cy="2216707"/>
            <wp:effectExtent l="0" t="0" r="0" b="0"/>
            <wp:docPr id="17644123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054900" cy="2224664"/>
                    </a:xfrm>
                    <a:prstGeom prst="rect">
                      <a:avLst/>
                    </a:prstGeom>
                    <a:noFill/>
                    <a:ln>
                      <a:noFill/>
                    </a:ln>
                  </pic:spPr>
                </pic:pic>
              </a:graphicData>
            </a:graphic>
          </wp:inline>
        </w:drawing>
      </w:r>
    </w:p>
    <w:p w14:paraId="563C4ADA" w14:textId="004D3B52" w:rsidR="00C82F0D" w:rsidRPr="006D1774" w:rsidRDefault="00B17F04" w:rsidP="00B37798">
      <w:pPr>
        <w:tabs>
          <w:tab w:val="left" w:pos="426"/>
        </w:tabs>
        <w:ind w:left="426" w:right="-22"/>
        <w:jc w:val="both"/>
        <w:rPr>
          <w:rFonts w:ascii="Verdana" w:hAnsi="Verdana" w:cs="Arial"/>
          <w:sz w:val="17"/>
          <w:szCs w:val="17"/>
          <w:highlight w:val="yellow"/>
        </w:rPr>
      </w:pPr>
      <w:r w:rsidRPr="00741F1D">
        <w:rPr>
          <w:noProof/>
        </w:rPr>
        <w:drawing>
          <wp:inline distT="0" distB="0" distL="0" distR="0" wp14:anchorId="5B9917FE" wp14:editId="1B3A54ED">
            <wp:extent cx="5082540" cy="2132917"/>
            <wp:effectExtent l="0" t="0" r="3810" b="0"/>
            <wp:docPr id="14033329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095514" cy="2138361"/>
                    </a:xfrm>
                    <a:prstGeom prst="rect">
                      <a:avLst/>
                    </a:prstGeom>
                    <a:noFill/>
                    <a:ln>
                      <a:noFill/>
                    </a:ln>
                  </pic:spPr>
                </pic:pic>
              </a:graphicData>
            </a:graphic>
          </wp:inline>
        </w:drawing>
      </w:r>
    </w:p>
    <w:p w14:paraId="62106589" w14:textId="77777777" w:rsidR="00C82F0D" w:rsidRPr="006D1774" w:rsidRDefault="00C82F0D" w:rsidP="00633A3B">
      <w:pPr>
        <w:tabs>
          <w:tab w:val="left" w:pos="426"/>
        </w:tabs>
        <w:ind w:left="426" w:right="-22"/>
        <w:jc w:val="both"/>
        <w:rPr>
          <w:rFonts w:ascii="Verdana" w:hAnsi="Verdana" w:cs="Arial"/>
          <w:sz w:val="17"/>
          <w:szCs w:val="17"/>
          <w:highlight w:val="yellow"/>
        </w:rPr>
      </w:pPr>
    </w:p>
    <w:p w14:paraId="2A141888" w14:textId="77777777" w:rsidR="00C82F0D" w:rsidRPr="006D1774" w:rsidRDefault="00C82F0D" w:rsidP="00633A3B">
      <w:pPr>
        <w:tabs>
          <w:tab w:val="left" w:pos="426"/>
        </w:tabs>
        <w:ind w:left="426" w:right="-22"/>
        <w:jc w:val="both"/>
        <w:rPr>
          <w:rFonts w:ascii="Verdana" w:hAnsi="Verdana" w:cs="Arial"/>
          <w:sz w:val="17"/>
          <w:szCs w:val="17"/>
          <w:highlight w:val="yellow"/>
        </w:rPr>
      </w:pPr>
    </w:p>
    <w:p w14:paraId="5FFDD220" w14:textId="77777777" w:rsidR="00C82F0D" w:rsidRDefault="00C82F0D" w:rsidP="00633A3B">
      <w:pPr>
        <w:tabs>
          <w:tab w:val="left" w:pos="426"/>
        </w:tabs>
        <w:ind w:left="426" w:right="-22"/>
        <w:jc w:val="both"/>
        <w:rPr>
          <w:rFonts w:ascii="Verdana" w:hAnsi="Verdana" w:cs="Arial"/>
          <w:sz w:val="17"/>
          <w:szCs w:val="17"/>
          <w:highlight w:val="yellow"/>
        </w:rPr>
      </w:pPr>
    </w:p>
    <w:p w14:paraId="277302B9" w14:textId="77777777" w:rsidR="00C82F0D" w:rsidRPr="006D1774" w:rsidRDefault="00C82F0D" w:rsidP="00633A3B">
      <w:pPr>
        <w:tabs>
          <w:tab w:val="left" w:pos="426"/>
        </w:tabs>
        <w:ind w:left="426" w:right="-22"/>
        <w:jc w:val="both"/>
        <w:rPr>
          <w:rFonts w:ascii="Verdana" w:hAnsi="Verdana" w:cs="Arial"/>
          <w:sz w:val="17"/>
          <w:szCs w:val="17"/>
          <w:highlight w:val="yellow"/>
        </w:rPr>
      </w:pPr>
      <w:r w:rsidRPr="00491EA7">
        <w:rPr>
          <w:noProof/>
        </w:rPr>
        <w:lastRenderedPageBreak/>
        <w:drawing>
          <wp:inline distT="0" distB="0" distL="0" distR="0" wp14:anchorId="169E744C" wp14:editId="57E03CF5">
            <wp:extent cx="5036820" cy="1934274"/>
            <wp:effectExtent l="0" t="0" r="0" b="8890"/>
            <wp:docPr id="71714039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051486" cy="1939906"/>
                    </a:xfrm>
                    <a:prstGeom prst="rect">
                      <a:avLst/>
                    </a:prstGeom>
                    <a:noFill/>
                    <a:ln>
                      <a:noFill/>
                    </a:ln>
                  </pic:spPr>
                </pic:pic>
              </a:graphicData>
            </a:graphic>
          </wp:inline>
        </w:drawing>
      </w:r>
    </w:p>
    <w:p w14:paraId="023C38AB" w14:textId="77777777" w:rsidR="00C82F0D" w:rsidRPr="006D1774" w:rsidRDefault="00C82F0D" w:rsidP="00633A3B">
      <w:pPr>
        <w:tabs>
          <w:tab w:val="left" w:pos="426"/>
        </w:tabs>
        <w:ind w:left="426" w:right="-22"/>
        <w:jc w:val="both"/>
        <w:rPr>
          <w:rFonts w:ascii="Verdana" w:hAnsi="Verdana" w:cs="Arial"/>
          <w:sz w:val="17"/>
          <w:szCs w:val="17"/>
          <w:highlight w:val="yellow"/>
        </w:rPr>
      </w:pPr>
    </w:p>
    <w:p w14:paraId="5B56BA35" w14:textId="77777777" w:rsidR="00C82F0D" w:rsidRPr="006D1774" w:rsidRDefault="00C82F0D" w:rsidP="00633A3B">
      <w:pPr>
        <w:tabs>
          <w:tab w:val="left" w:pos="426"/>
        </w:tabs>
        <w:ind w:left="426" w:right="-22"/>
        <w:jc w:val="both"/>
        <w:rPr>
          <w:rFonts w:ascii="Verdana" w:hAnsi="Verdana" w:cs="Arial"/>
          <w:sz w:val="17"/>
          <w:szCs w:val="17"/>
          <w:highlight w:val="yellow"/>
        </w:rPr>
      </w:pPr>
      <w:r w:rsidRPr="00741F1D">
        <w:rPr>
          <w:noProof/>
        </w:rPr>
        <w:drawing>
          <wp:inline distT="0" distB="0" distL="0" distR="0" wp14:anchorId="508F696E" wp14:editId="28CC866A">
            <wp:extent cx="5036820" cy="1935478"/>
            <wp:effectExtent l="0" t="0" r="0" b="8255"/>
            <wp:docPr id="992598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046436" cy="1939173"/>
                    </a:xfrm>
                    <a:prstGeom prst="rect">
                      <a:avLst/>
                    </a:prstGeom>
                    <a:noFill/>
                    <a:ln>
                      <a:noFill/>
                    </a:ln>
                  </pic:spPr>
                </pic:pic>
              </a:graphicData>
            </a:graphic>
          </wp:inline>
        </w:drawing>
      </w:r>
    </w:p>
    <w:p w14:paraId="2932650A" w14:textId="77777777" w:rsidR="00C82F0D" w:rsidRPr="006D1774" w:rsidRDefault="00C82F0D" w:rsidP="00633A3B">
      <w:pPr>
        <w:tabs>
          <w:tab w:val="left" w:pos="426"/>
        </w:tabs>
        <w:ind w:left="426" w:right="-22"/>
        <w:jc w:val="both"/>
        <w:rPr>
          <w:rFonts w:ascii="Verdana" w:hAnsi="Verdana" w:cs="Arial"/>
          <w:sz w:val="17"/>
          <w:szCs w:val="17"/>
          <w:highlight w:val="yellow"/>
        </w:rPr>
      </w:pPr>
    </w:p>
    <w:p w14:paraId="0D5AFCB0" w14:textId="77777777" w:rsidR="00C82F0D" w:rsidRPr="00107B4D" w:rsidRDefault="00C82F0D" w:rsidP="00633A3B">
      <w:pPr>
        <w:tabs>
          <w:tab w:val="left" w:pos="426"/>
        </w:tabs>
        <w:ind w:left="426" w:right="-22"/>
        <w:jc w:val="both"/>
        <w:rPr>
          <w:rFonts w:ascii="Verdana" w:hAnsi="Verdana" w:cs="Arial"/>
          <w:sz w:val="17"/>
          <w:szCs w:val="17"/>
        </w:rPr>
      </w:pPr>
    </w:p>
    <w:p w14:paraId="769CAD6C" w14:textId="77777777" w:rsidR="00C82F0D" w:rsidRPr="00B37798" w:rsidRDefault="00C82F0D" w:rsidP="006D1774">
      <w:pPr>
        <w:tabs>
          <w:tab w:val="left" w:pos="426"/>
        </w:tabs>
        <w:ind w:right="-22"/>
        <w:jc w:val="both"/>
        <w:rPr>
          <w:rFonts w:ascii="Verdana" w:hAnsi="Verdana" w:cs="Arial"/>
          <w:sz w:val="17"/>
          <w:szCs w:val="17"/>
        </w:rPr>
      </w:pPr>
    </w:p>
    <w:p w14:paraId="73B5FEFE" w14:textId="77777777" w:rsidR="00C82F0D" w:rsidRPr="00B37798" w:rsidRDefault="00C82F0D" w:rsidP="00633A3B">
      <w:pPr>
        <w:tabs>
          <w:tab w:val="left" w:pos="400"/>
          <w:tab w:val="left" w:pos="700"/>
          <w:tab w:val="left" w:pos="993"/>
        </w:tabs>
        <w:ind w:left="700" w:right="-53" w:hanging="274"/>
        <w:jc w:val="both"/>
        <w:rPr>
          <w:rFonts w:ascii="Verdana" w:hAnsi="Verdana" w:cs="Arial"/>
          <w:b/>
          <w:sz w:val="17"/>
          <w:szCs w:val="17"/>
          <w:u w:val="single"/>
        </w:rPr>
      </w:pPr>
      <w:r w:rsidRPr="00B37798">
        <w:rPr>
          <w:rFonts w:ascii="Verdana" w:hAnsi="Verdana" w:cs="Arial"/>
          <w:b/>
          <w:sz w:val="17"/>
          <w:szCs w:val="17"/>
          <w:u w:val="single"/>
        </w:rPr>
        <w:t>Mercados Geográficos</w:t>
      </w:r>
    </w:p>
    <w:p w14:paraId="280452BB" w14:textId="77777777" w:rsidR="00C82F0D" w:rsidRPr="00B37798" w:rsidRDefault="00C82F0D" w:rsidP="00633A3B">
      <w:pPr>
        <w:tabs>
          <w:tab w:val="left" w:pos="400"/>
          <w:tab w:val="left" w:pos="700"/>
          <w:tab w:val="left" w:pos="993"/>
        </w:tabs>
        <w:ind w:right="-53"/>
        <w:jc w:val="both"/>
        <w:rPr>
          <w:rFonts w:ascii="Verdana" w:hAnsi="Verdana" w:cs="Arial"/>
          <w:b/>
          <w:sz w:val="17"/>
          <w:szCs w:val="17"/>
          <w:u w:val="single"/>
        </w:rPr>
      </w:pPr>
    </w:p>
    <w:p w14:paraId="48E69E88" w14:textId="77777777" w:rsidR="00C82F0D" w:rsidRPr="00B37798" w:rsidRDefault="00C82F0D" w:rsidP="00DD25A1">
      <w:pPr>
        <w:autoSpaceDE w:val="0"/>
        <w:autoSpaceDN w:val="0"/>
        <w:adjustRightInd w:val="0"/>
        <w:ind w:left="400"/>
        <w:jc w:val="both"/>
        <w:rPr>
          <w:rFonts w:ascii="Verdana" w:hAnsi="Verdana" w:cs="Arial"/>
          <w:sz w:val="17"/>
          <w:szCs w:val="17"/>
        </w:rPr>
      </w:pPr>
      <w:r w:rsidRPr="00B37798">
        <w:rPr>
          <w:rFonts w:ascii="Verdana" w:hAnsi="Verdana" w:cs="Arial"/>
          <w:sz w:val="17"/>
          <w:szCs w:val="17"/>
        </w:rPr>
        <w:t>Em 31 de dezembro de 202</w:t>
      </w:r>
      <w:r>
        <w:rPr>
          <w:rFonts w:ascii="Verdana" w:hAnsi="Verdana" w:cs="Arial"/>
          <w:sz w:val="17"/>
          <w:szCs w:val="17"/>
        </w:rPr>
        <w:t>5</w:t>
      </w:r>
      <w:r w:rsidRPr="00B37798">
        <w:rPr>
          <w:rFonts w:ascii="Verdana" w:hAnsi="Verdana" w:cs="Arial"/>
          <w:sz w:val="17"/>
          <w:szCs w:val="17"/>
        </w:rPr>
        <w:t xml:space="preserve"> e 202</w:t>
      </w:r>
      <w:r>
        <w:rPr>
          <w:rFonts w:ascii="Verdana" w:hAnsi="Verdana" w:cs="Arial"/>
          <w:sz w:val="17"/>
          <w:szCs w:val="17"/>
        </w:rPr>
        <w:t>4</w:t>
      </w:r>
      <w:r w:rsidRPr="00B37798">
        <w:rPr>
          <w:rFonts w:ascii="Verdana" w:hAnsi="Verdana" w:cs="Arial"/>
          <w:sz w:val="17"/>
          <w:szCs w:val="17"/>
        </w:rPr>
        <w:t>, a atividade da Sociedade é desenvolvida exclusivamente em Portugal.</w:t>
      </w:r>
    </w:p>
    <w:p w14:paraId="525CB600" w14:textId="77777777" w:rsidR="00C82F0D" w:rsidRPr="007400AB" w:rsidRDefault="00C82F0D" w:rsidP="00633A3B">
      <w:pPr>
        <w:autoSpaceDE w:val="0"/>
        <w:autoSpaceDN w:val="0"/>
        <w:adjustRightInd w:val="0"/>
        <w:ind w:left="400"/>
        <w:jc w:val="both"/>
        <w:rPr>
          <w:rFonts w:ascii="Verdana" w:hAnsi="Verdana" w:cs="Arial"/>
          <w:sz w:val="17"/>
          <w:szCs w:val="17"/>
          <w:highlight w:val="yellow"/>
        </w:rPr>
      </w:pPr>
    </w:p>
    <w:p w14:paraId="49BEFBBC" w14:textId="77777777" w:rsidR="00C82F0D" w:rsidRPr="007400AB" w:rsidRDefault="00C82F0D">
      <w:pPr>
        <w:rPr>
          <w:rFonts w:ascii="Verdana" w:hAnsi="Verdana" w:cs="Arial"/>
          <w:sz w:val="17"/>
          <w:szCs w:val="17"/>
          <w:highlight w:val="yellow"/>
        </w:rPr>
      </w:pPr>
    </w:p>
    <w:p w14:paraId="3ECC3E0E" w14:textId="77777777" w:rsidR="00C82F0D" w:rsidRPr="00107B4D" w:rsidRDefault="00C82F0D" w:rsidP="00633A3B">
      <w:pPr>
        <w:jc w:val="both"/>
        <w:rPr>
          <w:rFonts w:ascii="Verdana" w:hAnsi="Verdana" w:cs="Arial"/>
          <w:sz w:val="17"/>
          <w:szCs w:val="17"/>
        </w:rPr>
      </w:pPr>
    </w:p>
    <w:p w14:paraId="3C7561FF" w14:textId="77777777" w:rsidR="00C82F0D" w:rsidRPr="00DE0C90" w:rsidRDefault="00C82F0D" w:rsidP="00D84952">
      <w:pPr>
        <w:pStyle w:val="Ttulo1"/>
        <w:keepNext w:val="0"/>
        <w:keepLines w:val="0"/>
        <w:numPr>
          <w:ilvl w:val="0"/>
          <w:numId w:val="3"/>
        </w:numPr>
        <w:tabs>
          <w:tab w:val="left" w:pos="426"/>
        </w:tabs>
        <w:spacing w:before="0"/>
        <w:ind w:right="-22"/>
        <w:jc w:val="both"/>
        <w:rPr>
          <w:rFonts w:ascii="Verdana" w:eastAsia="Times New Roman" w:hAnsi="Verdana" w:cs="Arial"/>
          <w:b w:val="0"/>
          <w:bCs w:val="0"/>
          <w:color w:val="auto"/>
          <w:sz w:val="17"/>
          <w:szCs w:val="17"/>
          <w:u w:val="single"/>
          <w:lang w:eastAsia="en-US"/>
        </w:rPr>
      </w:pPr>
      <w:r w:rsidRPr="00DE0C90">
        <w:rPr>
          <w:rFonts w:ascii="Verdana" w:eastAsia="Times New Roman" w:hAnsi="Verdana" w:cs="Arial"/>
          <w:b w:val="0"/>
          <w:bCs w:val="0"/>
          <w:color w:val="auto"/>
          <w:sz w:val="17"/>
          <w:szCs w:val="17"/>
          <w:u w:val="single"/>
          <w:lang w:eastAsia="en-US"/>
        </w:rPr>
        <w:t>ENTIDADES RELACIONADAS</w:t>
      </w:r>
    </w:p>
    <w:p w14:paraId="7E3D5557" w14:textId="77777777" w:rsidR="00C82F0D" w:rsidRPr="00BC4C83" w:rsidRDefault="00C82F0D" w:rsidP="00633A3B">
      <w:pPr>
        <w:tabs>
          <w:tab w:val="left" w:pos="426"/>
          <w:tab w:val="left" w:pos="720"/>
          <w:tab w:val="right" w:pos="6600"/>
          <w:tab w:val="right" w:pos="8040"/>
        </w:tabs>
        <w:ind w:right="-22"/>
        <w:jc w:val="both"/>
        <w:rPr>
          <w:rFonts w:ascii="Verdana" w:hAnsi="Verdana" w:cs="Arial"/>
          <w:sz w:val="17"/>
          <w:szCs w:val="17"/>
          <w:highlight w:val="yellow"/>
        </w:rPr>
      </w:pPr>
    </w:p>
    <w:p w14:paraId="11FFE56B" w14:textId="77777777" w:rsidR="00C82F0D" w:rsidRPr="00DE0C90" w:rsidRDefault="00C82F0D" w:rsidP="00633A3B">
      <w:pPr>
        <w:tabs>
          <w:tab w:val="left" w:pos="426"/>
          <w:tab w:val="left" w:pos="567"/>
          <w:tab w:val="left" w:pos="993"/>
          <w:tab w:val="right" w:pos="7088"/>
          <w:tab w:val="right" w:pos="8505"/>
        </w:tabs>
        <w:ind w:left="425" w:right="-22"/>
        <w:jc w:val="both"/>
        <w:rPr>
          <w:rFonts w:ascii="Verdana" w:hAnsi="Verdana" w:cs="Arial"/>
          <w:sz w:val="17"/>
          <w:szCs w:val="17"/>
        </w:rPr>
      </w:pPr>
      <w:r w:rsidRPr="00DE0C90">
        <w:rPr>
          <w:rFonts w:ascii="Verdana" w:hAnsi="Verdana" w:cs="Arial"/>
          <w:sz w:val="17"/>
          <w:szCs w:val="17"/>
        </w:rPr>
        <w:t>Em 31 de dezembro de 2025 e 2024, são consideradas entidades relacionadas da Sociedade, o seu acionista, as suas participadas, e a Parparticipadas, SGPS, S.A. (entidade fundida com a Sociedade em 2024), e suas filiais e associadas, as outras entidades pertencentes ao Estado Português, nomeadamente a Entidade do Tesouro e Finanças (ETF) e os órgãos de gestão da Sociedade.</w:t>
      </w:r>
    </w:p>
    <w:p w14:paraId="2110E242" w14:textId="77777777" w:rsidR="00C82F0D" w:rsidRPr="00DE0C90" w:rsidRDefault="00C82F0D">
      <w:pPr>
        <w:rPr>
          <w:rFonts w:ascii="Verdana" w:hAnsi="Verdana" w:cs="Arial"/>
          <w:sz w:val="17"/>
          <w:szCs w:val="17"/>
        </w:rPr>
      </w:pPr>
    </w:p>
    <w:p w14:paraId="1FC4D425" w14:textId="77777777" w:rsidR="00C82F0D" w:rsidRDefault="00C82F0D" w:rsidP="00633A3B">
      <w:pPr>
        <w:tabs>
          <w:tab w:val="left" w:pos="426"/>
          <w:tab w:val="left" w:pos="720"/>
          <w:tab w:val="right" w:pos="6600"/>
          <w:tab w:val="right" w:pos="8040"/>
        </w:tabs>
        <w:ind w:left="426" w:right="-22"/>
        <w:jc w:val="both"/>
        <w:rPr>
          <w:rFonts w:ascii="Verdana" w:hAnsi="Verdana" w:cs="Arial"/>
          <w:sz w:val="17"/>
          <w:szCs w:val="17"/>
        </w:rPr>
      </w:pPr>
      <w:r w:rsidRPr="00DE0C90">
        <w:rPr>
          <w:rFonts w:ascii="Verdana" w:hAnsi="Verdana" w:cs="Arial"/>
          <w:sz w:val="17"/>
          <w:szCs w:val="17"/>
        </w:rPr>
        <w:t>Em 31 de dezembro de 2025 e 2024, as demonstrações financeiras da Sociedade incluem os seguintes principais saldos e transações com entidades relacionadas:</w:t>
      </w:r>
    </w:p>
    <w:p w14:paraId="5D0B64EF" w14:textId="77777777" w:rsidR="00C82F0D" w:rsidRDefault="00C82F0D" w:rsidP="00633A3B">
      <w:pPr>
        <w:tabs>
          <w:tab w:val="left" w:pos="426"/>
          <w:tab w:val="left" w:pos="720"/>
          <w:tab w:val="right" w:pos="6600"/>
          <w:tab w:val="right" w:pos="8040"/>
        </w:tabs>
        <w:ind w:left="426" w:right="-22"/>
        <w:jc w:val="both"/>
        <w:rPr>
          <w:rFonts w:ascii="Verdana" w:hAnsi="Verdana" w:cs="Arial"/>
          <w:sz w:val="17"/>
          <w:szCs w:val="17"/>
        </w:rPr>
      </w:pPr>
    </w:p>
    <w:p w14:paraId="192C0855" w14:textId="547B8FD1" w:rsidR="00C82F0D" w:rsidRPr="00DE0C90" w:rsidRDefault="00ED04E8" w:rsidP="00633A3B">
      <w:pPr>
        <w:tabs>
          <w:tab w:val="left" w:pos="426"/>
          <w:tab w:val="left" w:pos="720"/>
          <w:tab w:val="right" w:pos="6600"/>
          <w:tab w:val="right" w:pos="8040"/>
        </w:tabs>
        <w:ind w:left="426" w:right="-22"/>
        <w:jc w:val="both"/>
        <w:rPr>
          <w:rFonts w:ascii="Verdana" w:hAnsi="Verdana" w:cs="Arial"/>
          <w:sz w:val="17"/>
          <w:szCs w:val="17"/>
        </w:rPr>
      </w:pPr>
      <w:r w:rsidRPr="00E57839">
        <w:rPr>
          <w:noProof/>
        </w:rPr>
        <w:lastRenderedPageBreak/>
        <w:drawing>
          <wp:inline distT="0" distB="0" distL="0" distR="0" wp14:anchorId="5D0C0BCE" wp14:editId="322DCA8F">
            <wp:extent cx="5055870" cy="2587174"/>
            <wp:effectExtent l="0" t="0" r="0" b="3810"/>
            <wp:docPr id="212504986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061305" cy="2589955"/>
                    </a:xfrm>
                    <a:prstGeom prst="rect">
                      <a:avLst/>
                    </a:prstGeom>
                    <a:noFill/>
                    <a:ln>
                      <a:noFill/>
                    </a:ln>
                  </pic:spPr>
                </pic:pic>
              </a:graphicData>
            </a:graphic>
          </wp:inline>
        </w:drawing>
      </w:r>
    </w:p>
    <w:p w14:paraId="494860BF" w14:textId="77777777" w:rsidR="00C82F0D" w:rsidRPr="00BC4C83" w:rsidRDefault="00C82F0D" w:rsidP="00633A3B">
      <w:pPr>
        <w:tabs>
          <w:tab w:val="left" w:pos="426"/>
          <w:tab w:val="left" w:pos="720"/>
          <w:tab w:val="right" w:pos="6600"/>
          <w:tab w:val="right" w:pos="8040"/>
        </w:tabs>
        <w:ind w:left="426" w:right="-22"/>
        <w:jc w:val="both"/>
        <w:rPr>
          <w:rFonts w:ascii="Verdana" w:hAnsi="Verdana" w:cs="Arial"/>
          <w:sz w:val="17"/>
          <w:szCs w:val="17"/>
          <w:highlight w:val="yellow"/>
        </w:rPr>
      </w:pPr>
    </w:p>
    <w:p w14:paraId="78B45E3E" w14:textId="2A2A9728" w:rsidR="00C82F0D" w:rsidRPr="00BC4C83" w:rsidRDefault="00ED04E8" w:rsidP="00633A3B">
      <w:pPr>
        <w:tabs>
          <w:tab w:val="left" w:pos="426"/>
          <w:tab w:val="left" w:pos="720"/>
          <w:tab w:val="right" w:pos="6600"/>
          <w:tab w:val="right" w:pos="8040"/>
        </w:tabs>
        <w:ind w:left="426" w:right="-22"/>
        <w:jc w:val="both"/>
        <w:rPr>
          <w:rFonts w:ascii="Verdana" w:hAnsi="Verdana" w:cs="Arial"/>
          <w:sz w:val="17"/>
          <w:szCs w:val="17"/>
          <w:highlight w:val="yellow"/>
        </w:rPr>
      </w:pPr>
      <w:r w:rsidRPr="00D33E70">
        <w:rPr>
          <w:noProof/>
        </w:rPr>
        <w:drawing>
          <wp:inline distT="0" distB="0" distL="0" distR="0" wp14:anchorId="5FC71EE1" wp14:editId="74F897B8">
            <wp:extent cx="5055870" cy="2608331"/>
            <wp:effectExtent l="0" t="0" r="0" b="0"/>
            <wp:docPr id="70807299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069551" cy="2615389"/>
                    </a:xfrm>
                    <a:prstGeom prst="rect">
                      <a:avLst/>
                    </a:prstGeom>
                    <a:noFill/>
                    <a:ln>
                      <a:noFill/>
                    </a:ln>
                  </pic:spPr>
                </pic:pic>
              </a:graphicData>
            </a:graphic>
          </wp:inline>
        </w:drawing>
      </w:r>
    </w:p>
    <w:p w14:paraId="3A906F14" w14:textId="77777777" w:rsidR="00C82F0D" w:rsidRPr="00107B4D" w:rsidRDefault="00C82F0D" w:rsidP="00633A3B">
      <w:pPr>
        <w:jc w:val="both"/>
        <w:rPr>
          <w:rFonts w:ascii="Verdana" w:hAnsi="Verdana" w:cs="Arial"/>
          <w:sz w:val="17"/>
          <w:szCs w:val="17"/>
        </w:rPr>
      </w:pPr>
    </w:p>
    <w:p w14:paraId="52022429" w14:textId="77777777" w:rsidR="00C82F0D" w:rsidRPr="00107B4D" w:rsidRDefault="00C82F0D" w:rsidP="00633A3B">
      <w:pPr>
        <w:jc w:val="both"/>
        <w:rPr>
          <w:rFonts w:ascii="Verdana" w:hAnsi="Verdana" w:cs="Arial"/>
          <w:sz w:val="17"/>
          <w:szCs w:val="17"/>
        </w:rPr>
      </w:pPr>
    </w:p>
    <w:p w14:paraId="37322731" w14:textId="77777777" w:rsidR="00C82F0D" w:rsidRPr="001A4C61" w:rsidRDefault="00C82F0D" w:rsidP="00D84952">
      <w:pPr>
        <w:pStyle w:val="Ttulo1"/>
        <w:keepNext w:val="0"/>
        <w:keepLines w:val="0"/>
        <w:numPr>
          <w:ilvl w:val="0"/>
          <w:numId w:val="3"/>
        </w:numPr>
        <w:tabs>
          <w:tab w:val="left" w:pos="426"/>
        </w:tabs>
        <w:spacing w:before="0"/>
        <w:ind w:right="-22"/>
        <w:jc w:val="both"/>
        <w:rPr>
          <w:rFonts w:ascii="Verdana" w:eastAsia="Times New Roman" w:hAnsi="Verdana" w:cs="Arial"/>
          <w:b w:val="0"/>
          <w:bCs w:val="0"/>
          <w:color w:val="auto"/>
          <w:sz w:val="17"/>
          <w:szCs w:val="17"/>
          <w:u w:val="single"/>
          <w:lang w:eastAsia="en-US"/>
        </w:rPr>
      </w:pPr>
      <w:r w:rsidRPr="001A4C61">
        <w:rPr>
          <w:rFonts w:ascii="Verdana" w:eastAsia="Times New Roman" w:hAnsi="Verdana" w:cs="Arial"/>
          <w:b w:val="0"/>
          <w:bCs w:val="0"/>
          <w:color w:val="auto"/>
          <w:sz w:val="17"/>
          <w:szCs w:val="17"/>
          <w:u w:val="single"/>
          <w:lang w:eastAsia="en-US"/>
        </w:rPr>
        <w:t>DIVULGAÇÕES RELATIVAS A INSTRUMENTOS FINANCEIROS</w:t>
      </w:r>
    </w:p>
    <w:p w14:paraId="1A1644AA" w14:textId="77777777" w:rsidR="00C82F0D" w:rsidRPr="001A4C61" w:rsidRDefault="00C82F0D" w:rsidP="00633A3B">
      <w:pPr>
        <w:pStyle w:val="Textodebloco"/>
        <w:tabs>
          <w:tab w:val="left" w:pos="851"/>
          <w:tab w:val="left" w:pos="1134"/>
          <w:tab w:val="right" w:pos="7939"/>
        </w:tabs>
        <w:rPr>
          <w:rFonts w:ascii="Verdana" w:hAnsi="Verdana" w:cs="Arial"/>
          <w:caps/>
          <w:sz w:val="17"/>
          <w:szCs w:val="17"/>
          <w:u w:val="single"/>
        </w:rPr>
      </w:pPr>
    </w:p>
    <w:p w14:paraId="6354FAA2" w14:textId="77777777" w:rsidR="00C82F0D" w:rsidRPr="001A4C61" w:rsidRDefault="00C82F0D" w:rsidP="00633A3B">
      <w:pPr>
        <w:pStyle w:val="Textodebloco"/>
        <w:tabs>
          <w:tab w:val="left" w:pos="851"/>
          <w:tab w:val="left" w:pos="1134"/>
          <w:tab w:val="right" w:pos="7939"/>
        </w:tabs>
        <w:rPr>
          <w:rFonts w:ascii="Verdana" w:hAnsi="Verdana" w:cs="Arial"/>
          <w:sz w:val="17"/>
          <w:szCs w:val="17"/>
          <w:u w:val="single"/>
        </w:rPr>
      </w:pPr>
      <w:r w:rsidRPr="001A4C61">
        <w:rPr>
          <w:rFonts w:ascii="Verdana" w:hAnsi="Verdana" w:cs="Arial"/>
          <w:caps/>
          <w:sz w:val="17"/>
          <w:szCs w:val="17"/>
        </w:rPr>
        <w:tab/>
      </w:r>
      <w:r w:rsidRPr="001A4C61">
        <w:rPr>
          <w:rFonts w:ascii="Verdana" w:hAnsi="Verdana" w:cs="Arial"/>
          <w:sz w:val="17"/>
          <w:szCs w:val="17"/>
          <w:u w:val="single"/>
        </w:rPr>
        <w:t>Políticas de gestão do risco</w:t>
      </w:r>
    </w:p>
    <w:p w14:paraId="4E2000A0" w14:textId="77777777" w:rsidR="00C82F0D" w:rsidRPr="001A4C61" w:rsidRDefault="00C82F0D" w:rsidP="00633A3B">
      <w:pPr>
        <w:pStyle w:val="Textodebloco"/>
        <w:tabs>
          <w:tab w:val="left" w:pos="851"/>
          <w:tab w:val="left" w:pos="1134"/>
          <w:tab w:val="right" w:pos="7939"/>
        </w:tabs>
        <w:rPr>
          <w:rFonts w:ascii="Verdana" w:hAnsi="Verdana" w:cs="Arial"/>
          <w:caps/>
          <w:sz w:val="17"/>
          <w:szCs w:val="17"/>
          <w:u w:val="single"/>
        </w:rPr>
      </w:pPr>
    </w:p>
    <w:p w14:paraId="3CC4E9EB" w14:textId="77777777" w:rsidR="00C82F0D" w:rsidRPr="001A4C61" w:rsidRDefault="00C82F0D" w:rsidP="00633A3B">
      <w:pPr>
        <w:ind w:left="450"/>
        <w:jc w:val="both"/>
        <w:rPr>
          <w:rFonts w:ascii="Verdana" w:hAnsi="Verdana" w:cs="Arial"/>
          <w:b/>
          <w:i/>
          <w:sz w:val="17"/>
          <w:szCs w:val="17"/>
        </w:rPr>
      </w:pPr>
      <w:r w:rsidRPr="001A4C61">
        <w:rPr>
          <w:rFonts w:ascii="Verdana" w:hAnsi="Verdana" w:cs="Arial"/>
          <w:b/>
          <w:i/>
          <w:sz w:val="17"/>
          <w:szCs w:val="17"/>
        </w:rPr>
        <w:t>Risco de Taxa de Juro</w:t>
      </w:r>
    </w:p>
    <w:p w14:paraId="694EB682" w14:textId="77777777" w:rsidR="00C82F0D" w:rsidRPr="001A4C61" w:rsidRDefault="00C82F0D" w:rsidP="00633A3B">
      <w:pPr>
        <w:jc w:val="both"/>
        <w:rPr>
          <w:rFonts w:ascii="Verdana" w:hAnsi="Verdana" w:cs="Arial"/>
          <w:b/>
          <w:sz w:val="17"/>
          <w:szCs w:val="17"/>
        </w:rPr>
      </w:pPr>
    </w:p>
    <w:p w14:paraId="0BBC86C6" w14:textId="77777777" w:rsidR="00C82F0D" w:rsidRPr="001A4C61" w:rsidRDefault="00C82F0D" w:rsidP="00633A3B">
      <w:pPr>
        <w:tabs>
          <w:tab w:val="left" w:pos="1035"/>
        </w:tabs>
        <w:ind w:left="450"/>
        <w:jc w:val="both"/>
        <w:rPr>
          <w:rFonts w:ascii="Verdana" w:hAnsi="Verdana" w:cs="Arial"/>
          <w:sz w:val="17"/>
          <w:szCs w:val="17"/>
        </w:rPr>
      </w:pPr>
      <w:r w:rsidRPr="001A4C61">
        <w:rPr>
          <w:rFonts w:ascii="Verdana" w:hAnsi="Verdana" w:cs="Arial"/>
          <w:sz w:val="17"/>
          <w:szCs w:val="17"/>
        </w:rPr>
        <w:t>O risco de taxa de juro pode ser definido como o impacto nos resultados e no capital próprio de uma variação adversa das taxas de juro de mercado. Incorre-se na assunção de risco de taxa de juro sempre que, no desenvolvimento da atividade, se contratam operações com fluxos financeiros futuros sensíveis a eventuais variações da taxa de juro.</w:t>
      </w:r>
    </w:p>
    <w:p w14:paraId="5A8B22D5" w14:textId="77777777" w:rsidR="00C82F0D" w:rsidRPr="001A4C61" w:rsidRDefault="00C82F0D" w:rsidP="00633A3B">
      <w:pPr>
        <w:tabs>
          <w:tab w:val="left" w:pos="1035"/>
        </w:tabs>
        <w:jc w:val="both"/>
        <w:rPr>
          <w:rFonts w:ascii="Verdana" w:hAnsi="Verdana" w:cs="Arial"/>
          <w:sz w:val="17"/>
          <w:szCs w:val="17"/>
        </w:rPr>
      </w:pPr>
    </w:p>
    <w:p w14:paraId="26C43B78" w14:textId="77777777" w:rsidR="00C82F0D" w:rsidRPr="001A4C61" w:rsidRDefault="00C82F0D" w:rsidP="00633A3B">
      <w:pPr>
        <w:tabs>
          <w:tab w:val="left" w:pos="1035"/>
        </w:tabs>
        <w:ind w:left="450"/>
        <w:jc w:val="both"/>
        <w:rPr>
          <w:rFonts w:ascii="Verdana" w:hAnsi="Verdana" w:cs="Arial"/>
          <w:sz w:val="17"/>
          <w:szCs w:val="17"/>
        </w:rPr>
      </w:pPr>
      <w:r w:rsidRPr="001A4C61">
        <w:rPr>
          <w:rFonts w:ascii="Verdana" w:hAnsi="Verdana" w:cs="Arial"/>
          <w:sz w:val="17"/>
          <w:szCs w:val="17"/>
        </w:rPr>
        <w:t xml:space="preserve">O desenvolvimento do valor nominal dos instrumentos financeiros com exposição a risco de taxa de juro, em função da sua maturidade ou data de </w:t>
      </w:r>
      <w:proofErr w:type="spellStart"/>
      <w:r w:rsidRPr="001A4C61">
        <w:rPr>
          <w:rFonts w:ascii="Verdana" w:hAnsi="Verdana" w:cs="Arial"/>
          <w:sz w:val="17"/>
          <w:szCs w:val="17"/>
        </w:rPr>
        <w:t>refixação</w:t>
      </w:r>
      <w:proofErr w:type="spellEnd"/>
      <w:r w:rsidRPr="001A4C61">
        <w:rPr>
          <w:rFonts w:ascii="Verdana" w:hAnsi="Verdana" w:cs="Arial"/>
          <w:sz w:val="17"/>
          <w:szCs w:val="17"/>
        </w:rPr>
        <w:t xml:space="preserve"> em 2025 e 2024, é apresentado no quadro seguinte:</w:t>
      </w:r>
    </w:p>
    <w:p w14:paraId="512A2842" w14:textId="77777777" w:rsidR="00C82F0D" w:rsidRPr="001A4C61" w:rsidRDefault="00C82F0D" w:rsidP="00633A3B">
      <w:pPr>
        <w:tabs>
          <w:tab w:val="left" w:pos="1035"/>
        </w:tabs>
        <w:ind w:left="450"/>
        <w:jc w:val="both"/>
        <w:rPr>
          <w:rFonts w:ascii="Verdana" w:hAnsi="Verdana" w:cs="Arial"/>
          <w:sz w:val="17"/>
          <w:szCs w:val="17"/>
        </w:rPr>
      </w:pPr>
    </w:p>
    <w:p w14:paraId="5957589F" w14:textId="77777777" w:rsidR="00C82F0D" w:rsidRPr="001A4C61" w:rsidRDefault="00C82F0D" w:rsidP="00633A3B">
      <w:pPr>
        <w:tabs>
          <w:tab w:val="left" w:pos="1035"/>
        </w:tabs>
        <w:ind w:left="450"/>
        <w:jc w:val="both"/>
        <w:rPr>
          <w:rFonts w:ascii="Verdana" w:hAnsi="Verdana" w:cs="Arial"/>
          <w:sz w:val="17"/>
          <w:szCs w:val="17"/>
        </w:rPr>
      </w:pPr>
    </w:p>
    <w:p w14:paraId="06EFB424" w14:textId="1748123C" w:rsidR="00C82F0D" w:rsidRPr="001A4C61" w:rsidRDefault="000837E3" w:rsidP="00633A3B">
      <w:pPr>
        <w:tabs>
          <w:tab w:val="left" w:pos="1035"/>
        </w:tabs>
        <w:ind w:left="450"/>
        <w:jc w:val="both"/>
        <w:rPr>
          <w:rFonts w:ascii="Verdana" w:hAnsi="Verdana" w:cs="Arial"/>
          <w:sz w:val="17"/>
          <w:szCs w:val="17"/>
        </w:rPr>
      </w:pPr>
      <w:r w:rsidRPr="00E57839">
        <w:rPr>
          <w:noProof/>
        </w:rPr>
        <w:lastRenderedPageBreak/>
        <w:drawing>
          <wp:inline distT="0" distB="0" distL="0" distR="0" wp14:anchorId="3CA9EB02" wp14:editId="5DA97D2C">
            <wp:extent cx="5026660" cy="1281305"/>
            <wp:effectExtent l="0" t="0" r="2540" b="0"/>
            <wp:docPr id="16474501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049062" cy="1287015"/>
                    </a:xfrm>
                    <a:prstGeom prst="rect">
                      <a:avLst/>
                    </a:prstGeom>
                    <a:noFill/>
                    <a:ln>
                      <a:noFill/>
                    </a:ln>
                  </pic:spPr>
                </pic:pic>
              </a:graphicData>
            </a:graphic>
          </wp:inline>
        </w:drawing>
      </w:r>
    </w:p>
    <w:p w14:paraId="34DE7D87" w14:textId="77777777" w:rsidR="00C82F0D" w:rsidRPr="001A4C61" w:rsidRDefault="00C82F0D" w:rsidP="00633A3B">
      <w:pPr>
        <w:tabs>
          <w:tab w:val="left" w:pos="1035"/>
        </w:tabs>
        <w:ind w:left="450"/>
        <w:jc w:val="both"/>
        <w:rPr>
          <w:rFonts w:ascii="Verdana" w:hAnsi="Verdana" w:cs="Arial"/>
          <w:sz w:val="17"/>
          <w:szCs w:val="17"/>
        </w:rPr>
      </w:pPr>
    </w:p>
    <w:p w14:paraId="56828393" w14:textId="77777777" w:rsidR="00C82F0D" w:rsidRPr="001A4C61" w:rsidRDefault="00C82F0D" w:rsidP="00633A3B">
      <w:pPr>
        <w:tabs>
          <w:tab w:val="left" w:pos="1035"/>
        </w:tabs>
        <w:ind w:left="450"/>
        <w:jc w:val="both"/>
        <w:rPr>
          <w:rFonts w:ascii="Verdana" w:hAnsi="Verdana" w:cs="Arial"/>
          <w:sz w:val="17"/>
          <w:szCs w:val="17"/>
        </w:rPr>
      </w:pPr>
    </w:p>
    <w:p w14:paraId="67FE8EF1" w14:textId="77777777" w:rsidR="00C82F0D" w:rsidRPr="001A4C61" w:rsidRDefault="00C82F0D" w:rsidP="00633A3B">
      <w:pPr>
        <w:tabs>
          <w:tab w:val="left" w:pos="1035"/>
        </w:tabs>
        <w:ind w:left="450"/>
        <w:jc w:val="both"/>
        <w:rPr>
          <w:rFonts w:ascii="Verdana" w:hAnsi="Verdana" w:cs="Arial"/>
          <w:sz w:val="17"/>
          <w:szCs w:val="17"/>
        </w:rPr>
      </w:pPr>
      <w:r w:rsidRPr="0078680F">
        <w:rPr>
          <w:noProof/>
        </w:rPr>
        <w:drawing>
          <wp:inline distT="0" distB="0" distL="0" distR="0" wp14:anchorId="7A99364D" wp14:editId="62C51A16">
            <wp:extent cx="5027122" cy="1348139"/>
            <wp:effectExtent l="0" t="0" r="2540" b="0"/>
            <wp:docPr id="9965775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036363" cy="1350617"/>
                    </a:xfrm>
                    <a:prstGeom prst="rect">
                      <a:avLst/>
                    </a:prstGeom>
                    <a:noFill/>
                    <a:ln>
                      <a:noFill/>
                    </a:ln>
                  </pic:spPr>
                </pic:pic>
              </a:graphicData>
            </a:graphic>
          </wp:inline>
        </w:drawing>
      </w:r>
    </w:p>
    <w:p w14:paraId="2BBEAD03" w14:textId="77777777" w:rsidR="00C82F0D" w:rsidRPr="00BC4C83" w:rsidRDefault="00C82F0D" w:rsidP="00633A3B">
      <w:pPr>
        <w:tabs>
          <w:tab w:val="left" w:pos="1035"/>
        </w:tabs>
        <w:ind w:left="450"/>
        <w:jc w:val="both"/>
        <w:rPr>
          <w:rFonts w:ascii="Verdana" w:hAnsi="Verdana" w:cs="Arial"/>
          <w:sz w:val="17"/>
          <w:szCs w:val="17"/>
          <w:highlight w:val="yellow"/>
        </w:rPr>
      </w:pPr>
    </w:p>
    <w:p w14:paraId="4D00106D" w14:textId="77777777" w:rsidR="00C82F0D" w:rsidRPr="00BC4C83" w:rsidRDefault="00C82F0D" w:rsidP="00633A3B">
      <w:pPr>
        <w:tabs>
          <w:tab w:val="left" w:pos="1035"/>
        </w:tabs>
        <w:ind w:left="450"/>
        <w:jc w:val="both"/>
        <w:rPr>
          <w:rFonts w:ascii="Verdana" w:hAnsi="Verdana" w:cs="Arial"/>
          <w:sz w:val="17"/>
          <w:szCs w:val="17"/>
          <w:highlight w:val="yellow"/>
        </w:rPr>
      </w:pPr>
      <w:r w:rsidRPr="00BC4C83">
        <w:rPr>
          <w:rFonts w:ascii="Verdana" w:hAnsi="Verdana" w:cs="Arial"/>
          <w:sz w:val="17"/>
          <w:szCs w:val="17"/>
          <w:highlight w:val="yellow"/>
        </w:rPr>
        <w:t xml:space="preserve"> </w:t>
      </w:r>
    </w:p>
    <w:p w14:paraId="1682F241" w14:textId="77777777" w:rsidR="00C82F0D" w:rsidRPr="00BC4C83" w:rsidRDefault="00C82F0D" w:rsidP="00633A3B">
      <w:pPr>
        <w:tabs>
          <w:tab w:val="left" w:pos="1035"/>
        </w:tabs>
        <w:ind w:left="450"/>
        <w:jc w:val="both"/>
        <w:rPr>
          <w:rFonts w:ascii="Verdana" w:hAnsi="Verdana" w:cs="Arial"/>
          <w:sz w:val="17"/>
          <w:szCs w:val="17"/>
          <w:highlight w:val="yellow"/>
        </w:rPr>
      </w:pPr>
    </w:p>
    <w:p w14:paraId="3894541F" w14:textId="77777777" w:rsidR="00C82F0D" w:rsidRPr="00BC4C83" w:rsidRDefault="00C82F0D" w:rsidP="00345417">
      <w:pPr>
        <w:tabs>
          <w:tab w:val="left" w:pos="1035"/>
        </w:tabs>
        <w:jc w:val="both"/>
        <w:rPr>
          <w:rFonts w:ascii="Verdana" w:hAnsi="Verdana" w:cs="Arial"/>
          <w:sz w:val="17"/>
          <w:szCs w:val="17"/>
          <w:highlight w:val="yellow"/>
        </w:rPr>
      </w:pPr>
    </w:p>
    <w:p w14:paraId="2D6BFF0E" w14:textId="77777777" w:rsidR="00C82F0D" w:rsidRPr="001A4C61" w:rsidRDefault="00C82F0D" w:rsidP="00633A3B">
      <w:pPr>
        <w:jc w:val="both"/>
        <w:rPr>
          <w:rFonts w:ascii="Verdana" w:hAnsi="Verdana" w:cs="Arial"/>
          <w:b/>
          <w:i/>
          <w:sz w:val="17"/>
          <w:szCs w:val="17"/>
        </w:rPr>
      </w:pPr>
    </w:p>
    <w:p w14:paraId="2324951A" w14:textId="77777777" w:rsidR="00C82F0D" w:rsidRPr="001A4C61" w:rsidRDefault="00C82F0D" w:rsidP="0078680F">
      <w:pPr>
        <w:jc w:val="both"/>
        <w:rPr>
          <w:rFonts w:ascii="Verdana" w:hAnsi="Verdana" w:cs="Arial"/>
          <w:b/>
          <w:i/>
          <w:sz w:val="17"/>
          <w:szCs w:val="17"/>
        </w:rPr>
      </w:pPr>
      <w:r w:rsidRPr="001A4C61">
        <w:rPr>
          <w:rFonts w:ascii="Verdana" w:hAnsi="Verdana" w:cs="Arial"/>
          <w:b/>
          <w:i/>
          <w:sz w:val="17"/>
          <w:szCs w:val="17"/>
        </w:rPr>
        <w:t>Risco de Liquidez</w:t>
      </w:r>
    </w:p>
    <w:p w14:paraId="4D78D831" w14:textId="77777777" w:rsidR="00C82F0D" w:rsidRPr="001A4C61" w:rsidRDefault="00C82F0D" w:rsidP="0078680F">
      <w:pPr>
        <w:jc w:val="both"/>
        <w:rPr>
          <w:rFonts w:ascii="Verdana" w:hAnsi="Verdana" w:cs="Arial"/>
          <w:sz w:val="17"/>
          <w:szCs w:val="17"/>
        </w:rPr>
      </w:pPr>
    </w:p>
    <w:p w14:paraId="300AB029" w14:textId="77777777" w:rsidR="00C82F0D" w:rsidRPr="001A4C61" w:rsidRDefault="00C82F0D" w:rsidP="0078680F">
      <w:pPr>
        <w:jc w:val="both"/>
        <w:rPr>
          <w:rFonts w:ascii="Verdana" w:hAnsi="Verdana" w:cs="Arial"/>
          <w:sz w:val="17"/>
          <w:szCs w:val="17"/>
        </w:rPr>
      </w:pPr>
      <w:r w:rsidRPr="001A4C61">
        <w:rPr>
          <w:rFonts w:ascii="Verdana" w:hAnsi="Verdana" w:cs="Arial"/>
          <w:sz w:val="17"/>
          <w:szCs w:val="17"/>
        </w:rPr>
        <w:t>O risco de liquidez é o risco de uma instituição não possuir recursos suficientes para financiar os seus ativos ou para honrar os seus compromissos sem incorrer em perdas inaceitáveis.</w:t>
      </w:r>
    </w:p>
    <w:p w14:paraId="2514DF00" w14:textId="77777777" w:rsidR="00C82F0D" w:rsidRPr="001A4C61" w:rsidRDefault="00C82F0D" w:rsidP="0078680F">
      <w:pPr>
        <w:jc w:val="both"/>
        <w:rPr>
          <w:rFonts w:ascii="Verdana" w:hAnsi="Verdana" w:cs="Arial"/>
          <w:sz w:val="17"/>
          <w:szCs w:val="17"/>
        </w:rPr>
      </w:pPr>
    </w:p>
    <w:p w14:paraId="2CBBCF21" w14:textId="77777777" w:rsidR="00C82F0D" w:rsidRPr="001A4C61" w:rsidRDefault="00C82F0D" w:rsidP="0078680F">
      <w:pPr>
        <w:jc w:val="both"/>
        <w:rPr>
          <w:rFonts w:ascii="Verdana" w:hAnsi="Verdana" w:cs="Arial"/>
          <w:sz w:val="17"/>
          <w:szCs w:val="17"/>
        </w:rPr>
      </w:pPr>
      <w:r w:rsidRPr="001A4C61">
        <w:rPr>
          <w:rFonts w:ascii="Verdana" w:hAnsi="Verdana" w:cs="Arial"/>
          <w:sz w:val="17"/>
          <w:szCs w:val="17"/>
        </w:rPr>
        <w:t>Em 31 de dezembro de 2025 e 2024, a liquidez da Sociedade é assegurada na sua totalidade pelo Estado Português.</w:t>
      </w:r>
    </w:p>
    <w:p w14:paraId="3C05ED72" w14:textId="77777777" w:rsidR="00C82F0D" w:rsidRPr="001A4C61" w:rsidRDefault="00C82F0D" w:rsidP="0078680F">
      <w:pPr>
        <w:jc w:val="both"/>
        <w:rPr>
          <w:rFonts w:ascii="Verdana" w:hAnsi="Verdana" w:cs="Arial"/>
          <w:sz w:val="17"/>
          <w:szCs w:val="17"/>
        </w:rPr>
      </w:pPr>
    </w:p>
    <w:p w14:paraId="4A72FAB1" w14:textId="77777777" w:rsidR="00C82F0D" w:rsidRPr="001A4C61" w:rsidRDefault="00C82F0D" w:rsidP="0078680F">
      <w:pPr>
        <w:jc w:val="both"/>
        <w:rPr>
          <w:rFonts w:ascii="Verdana" w:hAnsi="Verdana" w:cs="Arial"/>
          <w:sz w:val="17"/>
          <w:szCs w:val="17"/>
        </w:rPr>
      </w:pPr>
      <w:r w:rsidRPr="001A4C61">
        <w:rPr>
          <w:rFonts w:ascii="Verdana" w:hAnsi="Verdana" w:cs="Arial"/>
          <w:sz w:val="17"/>
          <w:szCs w:val="17"/>
        </w:rPr>
        <w:t>Os cash-flows previsionais dos instrumentos financeiros de acordo com a respetiva maturidade contratual, apresentam o seguinte detalhe:</w:t>
      </w:r>
    </w:p>
    <w:p w14:paraId="38082EB2" w14:textId="77777777" w:rsidR="00C82F0D" w:rsidRPr="001A4C61" w:rsidRDefault="00C82F0D" w:rsidP="0078680F">
      <w:pPr>
        <w:jc w:val="both"/>
        <w:rPr>
          <w:rFonts w:ascii="Verdana" w:hAnsi="Verdana" w:cs="Arial"/>
          <w:sz w:val="17"/>
          <w:szCs w:val="17"/>
        </w:rPr>
      </w:pPr>
    </w:p>
    <w:p w14:paraId="2CF426B3" w14:textId="4D44B522" w:rsidR="00C82F0D" w:rsidRPr="001A4C61" w:rsidRDefault="000837E3" w:rsidP="0078680F">
      <w:pPr>
        <w:jc w:val="both"/>
        <w:rPr>
          <w:rFonts w:ascii="Verdana" w:hAnsi="Verdana" w:cs="Arial"/>
          <w:sz w:val="17"/>
          <w:szCs w:val="17"/>
        </w:rPr>
      </w:pPr>
      <w:r w:rsidRPr="00E57839">
        <w:rPr>
          <w:noProof/>
        </w:rPr>
        <w:drawing>
          <wp:inline distT="0" distB="0" distL="0" distR="0" wp14:anchorId="5AEAFDBB" wp14:editId="010A9D38">
            <wp:extent cx="5311140" cy="1160145"/>
            <wp:effectExtent l="0" t="0" r="3810" b="1905"/>
            <wp:docPr id="12197337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311140" cy="1160145"/>
                    </a:xfrm>
                    <a:prstGeom prst="rect">
                      <a:avLst/>
                    </a:prstGeom>
                    <a:noFill/>
                    <a:ln>
                      <a:noFill/>
                    </a:ln>
                  </pic:spPr>
                </pic:pic>
              </a:graphicData>
            </a:graphic>
          </wp:inline>
        </w:drawing>
      </w:r>
    </w:p>
    <w:p w14:paraId="2D7D782C" w14:textId="77777777" w:rsidR="00C82F0D" w:rsidRPr="001A4C61" w:rsidRDefault="00C82F0D" w:rsidP="0078680F">
      <w:pPr>
        <w:jc w:val="both"/>
        <w:rPr>
          <w:rFonts w:ascii="Verdana" w:hAnsi="Verdana" w:cs="Arial"/>
          <w:sz w:val="17"/>
          <w:szCs w:val="17"/>
        </w:rPr>
      </w:pPr>
    </w:p>
    <w:p w14:paraId="4177ECFA" w14:textId="77777777" w:rsidR="00C82F0D" w:rsidRPr="001A4C61" w:rsidRDefault="00C82F0D" w:rsidP="0078680F">
      <w:pPr>
        <w:jc w:val="both"/>
        <w:rPr>
          <w:rFonts w:ascii="Verdana" w:hAnsi="Verdana" w:cs="Arial"/>
          <w:sz w:val="17"/>
          <w:szCs w:val="17"/>
        </w:rPr>
      </w:pPr>
      <w:r w:rsidRPr="001A4C61">
        <w:rPr>
          <w:noProof/>
        </w:rPr>
        <w:drawing>
          <wp:inline distT="0" distB="0" distL="0" distR="0" wp14:anchorId="06BCB041" wp14:editId="0FC25D45">
            <wp:extent cx="5311140" cy="1160145"/>
            <wp:effectExtent l="0" t="0" r="3810" b="1905"/>
            <wp:docPr id="3348302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311140" cy="1160145"/>
                    </a:xfrm>
                    <a:prstGeom prst="rect">
                      <a:avLst/>
                    </a:prstGeom>
                    <a:noFill/>
                    <a:ln>
                      <a:noFill/>
                    </a:ln>
                  </pic:spPr>
                </pic:pic>
              </a:graphicData>
            </a:graphic>
          </wp:inline>
        </w:drawing>
      </w:r>
    </w:p>
    <w:p w14:paraId="30CB071E" w14:textId="77777777" w:rsidR="00C82F0D" w:rsidRPr="001A4C61" w:rsidRDefault="00C82F0D" w:rsidP="0078680F">
      <w:pPr>
        <w:jc w:val="both"/>
        <w:rPr>
          <w:rFonts w:ascii="Verdana" w:hAnsi="Verdana" w:cs="Arial"/>
          <w:sz w:val="17"/>
          <w:szCs w:val="17"/>
        </w:rPr>
      </w:pPr>
    </w:p>
    <w:p w14:paraId="77DCCAA2" w14:textId="77777777" w:rsidR="00C82F0D" w:rsidRPr="001A4C61" w:rsidRDefault="00C82F0D" w:rsidP="0078680F">
      <w:pPr>
        <w:jc w:val="both"/>
        <w:rPr>
          <w:rFonts w:ascii="Verdana" w:hAnsi="Verdana" w:cs="Arial"/>
          <w:sz w:val="17"/>
          <w:szCs w:val="17"/>
        </w:rPr>
      </w:pPr>
    </w:p>
    <w:p w14:paraId="6C56A6A7" w14:textId="77777777" w:rsidR="00C82F0D" w:rsidRPr="001A4C61" w:rsidRDefault="00C82F0D" w:rsidP="0078680F">
      <w:pPr>
        <w:jc w:val="both"/>
        <w:rPr>
          <w:rFonts w:ascii="Verdana" w:hAnsi="Verdana" w:cs="Arial"/>
          <w:sz w:val="17"/>
          <w:szCs w:val="17"/>
        </w:rPr>
      </w:pPr>
    </w:p>
    <w:p w14:paraId="534453F8" w14:textId="77777777" w:rsidR="00C82F0D" w:rsidRPr="001A4C61" w:rsidRDefault="00C82F0D" w:rsidP="0078680F">
      <w:pPr>
        <w:jc w:val="both"/>
        <w:rPr>
          <w:rFonts w:ascii="Verdana" w:hAnsi="Verdana" w:cs="Arial"/>
          <w:sz w:val="17"/>
          <w:szCs w:val="17"/>
        </w:rPr>
      </w:pPr>
    </w:p>
    <w:p w14:paraId="7F56424F" w14:textId="19647A51" w:rsidR="00C82F0D" w:rsidRDefault="00C82F0D" w:rsidP="0078680F">
      <w:pPr>
        <w:jc w:val="both"/>
        <w:rPr>
          <w:rFonts w:ascii="Verdana" w:hAnsi="Verdana" w:cs="Arial"/>
          <w:sz w:val="17"/>
          <w:szCs w:val="17"/>
        </w:rPr>
      </w:pPr>
      <w:r w:rsidRPr="001A4C61">
        <w:rPr>
          <w:rFonts w:ascii="Verdana" w:hAnsi="Verdana" w:cs="Arial"/>
          <w:sz w:val="17"/>
          <w:szCs w:val="17"/>
        </w:rPr>
        <w:t xml:space="preserve">Conforme se pode verificar pelo quadro acima, os passivos com vencimento em 2025 e 2024 são superiores às disponibilidades da Sociedade. </w:t>
      </w:r>
      <w:r w:rsidR="00563044">
        <w:rPr>
          <w:rFonts w:ascii="Verdana" w:hAnsi="Verdana" w:cs="Arial"/>
          <w:sz w:val="17"/>
          <w:szCs w:val="17"/>
        </w:rPr>
        <w:t xml:space="preserve">A Sociedade tem procedido à </w:t>
      </w:r>
      <w:r w:rsidRPr="001A4C61">
        <w:rPr>
          <w:rFonts w:ascii="Verdana" w:hAnsi="Verdana" w:cs="Arial"/>
          <w:sz w:val="17"/>
          <w:szCs w:val="17"/>
        </w:rPr>
        <w:t>renovação</w:t>
      </w:r>
      <w:r w:rsidR="00C33702">
        <w:rPr>
          <w:rFonts w:ascii="Verdana" w:hAnsi="Verdana" w:cs="Arial"/>
          <w:sz w:val="17"/>
          <w:szCs w:val="17"/>
        </w:rPr>
        <w:t xml:space="preserve"> anual</w:t>
      </w:r>
      <w:r w:rsidRPr="001A4C61">
        <w:rPr>
          <w:rFonts w:ascii="Verdana" w:hAnsi="Verdana" w:cs="Arial"/>
          <w:sz w:val="17"/>
          <w:szCs w:val="17"/>
        </w:rPr>
        <w:t xml:space="preserve"> d</w:t>
      </w:r>
      <w:r w:rsidR="00563044">
        <w:rPr>
          <w:rFonts w:ascii="Verdana" w:hAnsi="Verdana" w:cs="Arial"/>
          <w:sz w:val="17"/>
          <w:szCs w:val="17"/>
        </w:rPr>
        <w:t>os</w:t>
      </w:r>
      <w:r w:rsidRPr="001A4C61">
        <w:rPr>
          <w:rFonts w:ascii="Verdana" w:hAnsi="Verdana" w:cs="Arial"/>
          <w:sz w:val="17"/>
          <w:szCs w:val="17"/>
        </w:rPr>
        <w:t xml:space="preserve"> empréstimos </w:t>
      </w:r>
      <w:r w:rsidR="00563044">
        <w:rPr>
          <w:rFonts w:ascii="Verdana" w:hAnsi="Verdana" w:cs="Arial"/>
          <w:sz w:val="17"/>
          <w:szCs w:val="17"/>
        </w:rPr>
        <w:t>junto da</w:t>
      </w:r>
      <w:r w:rsidRPr="001A4C61">
        <w:rPr>
          <w:rFonts w:ascii="Verdana" w:hAnsi="Verdana" w:cs="Arial"/>
          <w:sz w:val="17"/>
          <w:szCs w:val="17"/>
        </w:rPr>
        <w:t xml:space="preserve"> ETF.</w:t>
      </w:r>
    </w:p>
    <w:p w14:paraId="2B3ABC26" w14:textId="77777777" w:rsidR="00C82F0D" w:rsidRDefault="00C82F0D" w:rsidP="0078680F">
      <w:pPr>
        <w:jc w:val="both"/>
        <w:rPr>
          <w:rFonts w:ascii="Verdana" w:hAnsi="Verdana" w:cs="Arial"/>
          <w:sz w:val="17"/>
          <w:szCs w:val="17"/>
        </w:rPr>
      </w:pPr>
    </w:p>
    <w:p w14:paraId="0750C391" w14:textId="77777777" w:rsidR="00C82F0D" w:rsidRDefault="00C82F0D" w:rsidP="0078680F">
      <w:pPr>
        <w:jc w:val="both"/>
        <w:rPr>
          <w:rFonts w:ascii="Verdana" w:hAnsi="Verdana" w:cs="Arial"/>
          <w:sz w:val="17"/>
          <w:szCs w:val="17"/>
        </w:rPr>
      </w:pPr>
    </w:p>
    <w:p w14:paraId="406B4946" w14:textId="77777777" w:rsidR="00C82F0D" w:rsidRDefault="00C82F0D" w:rsidP="0078680F">
      <w:pPr>
        <w:jc w:val="both"/>
        <w:rPr>
          <w:rFonts w:ascii="Verdana" w:hAnsi="Verdana" w:cs="Arial"/>
          <w:sz w:val="17"/>
          <w:szCs w:val="17"/>
        </w:rPr>
      </w:pPr>
    </w:p>
    <w:p w14:paraId="4B766B88" w14:textId="77777777" w:rsidR="00563044" w:rsidRDefault="00563044" w:rsidP="0078680F">
      <w:pPr>
        <w:jc w:val="both"/>
        <w:rPr>
          <w:rFonts w:ascii="Verdana" w:hAnsi="Verdana" w:cs="Arial"/>
          <w:b/>
          <w:i/>
          <w:sz w:val="17"/>
          <w:szCs w:val="17"/>
        </w:rPr>
      </w:pPr>
    </w:p>
    <w:p w14:paraId="6EE6D3B9" w14:textId="0BB575D7" w:rsidR="00C82F0D" w:rsidRPr="00491EA7" w:rsidRDefault="00C82F0D" w:rsidP="0078680F">
      <w:pPr>
        <w:jc w:val="both"/>
        <w:rPr>
          <w:rFonts w:ascii="Verdana" w:hAnsi="Verdana" w:cs="Arial"/>
          <w:b/>
          <w:i/>
          <w:sz w:val="17"/>
          <w:szCs w:val="17"/>
        </w:rPr>
      </w:pPr>
      <w:r w:rsidRPr="00491EA7">
        <w:rPr>
          <w:rFonts w:ascii="Verdana" w:hAnsi="Verdana" w:cs="Arial"/>
          <w:b/>
          <w:i/>
          <w:sz w:val="17"/>
          <w:szCs w:val="17"/>
        </w:rPr>
        <w:lastRenderedPageBreak/>
        <w:t>Risco de Crédito</w:t>
      </w:r>
    </w:p>
    <w:p w14:paraId="2855637C" w14:textId="77777777" w:rsidR="00C82F0D" w:rsidRPr="00491EA7" w:rsidRDefault="00C82F0D" w:rsidP="0078680F">
      <w:pPr>
        <w:jc w:val="both"/>
        <w:rPr>
          <w:rFonts w:ascii="Verdana" w:hAnsi="Verdana" w:cs="Arial"/>
          <w:b/>
          <w:i/>
          <w:sz w:val="17"/>
          <w:szCs w:val="17"/>
        </w:rPr>
      </w:pPr>
    </w:p>
    <w:p w14:paraId="6ED64883" w14:textId="77777777" w:rsidR="00C82F0D" w:rsidRPr="00491EA7" w:rsidRDefault="00C82F0D" w:rsidP="0078680F">
      <w:pPr>
        <w:jc w:val="both"/>
        <w:rPr>
          <w:rFonts w:ascii="Verdana" w:hAnsi="Verdana" w:cs="Arial"/>
          <w:iCs/>
          <w:sz w:val="17"/>
          <w:szCs w:val="17"/>
        </w:rPr>
      </w:pPr>
      <w:r w:rsidRPr="00491EA7">
        <w:rPr>
          <w:rFonts w:ascii="Verdana" w:hAnsi="Verdana" w:cs="Arial"/>
          <w:iCs/>
          <w:sz w:val="17"/>
          <w:szCs w:val="17"/>
        </w:rPr>
        <w:t xml:space="preserve">Em </w:t>
      </w:r>
      <w:r w:rsidRPr="00491EA7">
        <w:rPr>
          <w:rFonts w:ascii="Verdana" w:hAnsi="Verdana" w:cs="Arial"/>
          <w:sz w:val="17"/>
          <w:szCs w:val="17"/>
        </w:rPr>
        <w:t>31 de dezembro de 2025 e 2024</w:t>
      </w:r>
      <w:r w:rsidRPr="00491EA7">
        <w:rPr>
          <w:rFonts w:ascii="Verdana" w:hAnsi="Verdana" w:cs="Arial"/>
          <w:iCs/>
          <w:sz w:val="17"/>
          <w:szCs w:val="17"/>
        </w:rPr>
        <w:t xml:space="preserve">, os ativos financeiros ao custo amortizado sujeitos a imparidade individual e coletiva, analisados por </w:t>
      </w:r>
      <w:proofErr w:type="spellStart"/>
      <w:r w:rsidRPr="00491EA7">
        <w:rPr>
          <w:rFonts w:ascii="Verdana" w:hAnsi="Verdana" w:cs="Arial"/>
          <w:iCs/>
          <w:sz w:val="17"/>
          <w:szCs w:val="17"/>
        </w:rPr>
        <w:t>stage</w:t>
      </w:r>
      <w:proofErr w:type="spellEnd"/>
      <w:r w:rsidRPr="00491EA7">
        <w:rPr>
          <w:rFonts w:ascii="Verdana" w:hAnsi="Verdana" w:cs="Arial"/>
          <w:iCs/>
          <w:sz w:val="17"/>
          <w:szCs w:val="17"/>
        </w:rPr>
        <w:t>, é apresentada conforme segue:</w:t>
      </w:r>
    </w:p>
    <w:p w14:paraId="2DA8B9D5" w14:textId="77777777" w:rsidR="00C82F0D" w:rsidRPr="00491EA7" w:rsidRDefault="00C82F0D" w:rsidP="0078680F">
      <w:pPr>
        <w:jc w:val="both"/>
        <w:rPr>
          <w:rFonts w:ascii="Verdana" w:hAnsi="Verdana" w:cs="Arial"/>
          <w:iCs/>
          <w:sz w:val="17"/>
          <w:szCs w:val="17"/>
        </w:rPr>
      </w:pPr>
    </w:p>
    <w:p w14:paraId="3CEDFE1D" w14:textId="77777777" w:rsidR="00C82F0D" w:rsidRPr="00491EA7" w:rsidRDefault="00C82F0D" w:rsidP="0078680F">
      <w:pPr>
        <w:jc w:val="both"/>
        <w:rPr>
          <w:rFonts w:ascii="Verdana" w:hAnsi="Verdana" w:cs="Arial"/>
          <w:iCs/>
          <w:sz w:val="17"/>
          <w:szCs w:val="17"/>
        </w:rPr>
      </w:pPr>
      <w:r w:rsidRPr="00491EA7">
        <w:rPr>
          <w:rFonts w:ascii="Verdana" w:hAnsi="Verdana" w:cs="Arial"/>
          <w:iCs/>
          <w:sz w:val="17"/>
          <w:szCs w:val="17"/>
          <w:u w:val="single"/>
        </w:rPr>
        <w:t>Outras contas a receber</w:t>
      </w:r>
      <w:r w:rsidRPr="00491EA7">
        <w:rPr>
          <w:rFonts w:ascii="Verdana" w:hAnsi="Verdana" w:cs="Arial"/>
          <w:iCs/>
          <w:sz w:val="17"/>
          <w:szCs w:val="17"/>
        </w:rPr>
        <w:t xml:space="preserve">: </w:t>
      </w:r>
    </w:p>
    <w:p w14:paraId="113A814B" w14:textId="77777777" w:rsidR="00C82F0D" w:rsidRPr="00491EA7" w:rsidRDefault="00C82F0D" w:rsidP="0078680F">
      <w:pPr>
        <w:jc w:val="both"/>
        <w:rPr>
          <w:rFonts w:ascii="Verdana" w:hAnsi="Verdana" w:cs="Arial"/>
          <w:iCs/>
          <w:sz w:val="17"/>
          <w:szCs w:val="17"/>
        </w:rPr>
      </w:pPr>
    </w:p>
    <w:p w14:paraId="0C7EDD29" w14:textId="77777777" w:rsidR="00C82F0D" w:rsidRPr="00491EA7" w:rsidRDefault="00C82F0D" w:rsidP="0078680F">
      <w:pPr>
        <w:jc w:val="both"/>
        <w:rPr>
          <w:rFonts w:ascii="Verdana" w:hAnsi="Verdana" w:cs="Arial"/>
          <w:iCs/>
          <w:sz w:val="17"/>
          <w:szCs w:val="17"/>
        </w:rPr>
      </w:pPr>
      <w:r w:rsidRPr="00491EA7">
        <w:rPr>
          <w:noProof/>
        </w:rPr>
        <w:drawing>
          <wp:inline distT="0" distB="0" distL="0" distR="0" wp14:anchorId="2E80E7A0" wp14:editId="2242AA83">
            <wp:extent cx="5311140" cy="770255"/>
            <wp:effectExtent l="0" t="0" r="3810" b="0"/>
            <wp:docPr id="103266652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311140" cy="770255"/>
                    </a:xfrm>
                    <a:prstGeom prst="rect">
                      <a:avLst/>
                    </a:prstGeom>
                    <a:noFill/>
                    <a:ln>
                      <a:noFill/>
                    </a:ln>
                  </pic:spPr>
                </pic:pic>
              </a:graphicData>
            </a:graphic>
          </wp:inline>
        </w:drawing>
      </w:r>
    </w:p>
    <w:p w14:paraId="79F7293C" w14:textId="77777777" w:rsidR="00C82F0D" w:rsidRPr="00491EA7" w:rsidRDefault="00C82F0D" w:rsidP="0078680F">
      <w:pPr>
        <w:jc w:val="both"/>
        <w:rPr>
          <w:rFonts w:ascii="Verdana" w:hAnsi="Verdana" w:cs="Arial"/>
          <w:iCs/>
          <w:sz w:val="17"/>
          <w:szCs w:val="17"/>
        </w:rPr>
      </w:pPr>
    </w:p>
    <w:p w14:paraId="19F5DD9B" w14:textId="77777777" w:rsidR="00C82F0D" w:rsidRPr="00491EA7" w:rsidRDefault="00C82F0D" w:rsidP="0078680F">
      <w:pPr>
        <w:jc w:val="both"/>
        <w:rPr>
          <w:rFonts w:ascii="Verdana" w:hAnsi="Verdana" w:cs="Arial"/>
          <w:iCs/>
          <w:sz w:val="17"/>
          <w:szCs w:val="17"/>
        </w:rPr>
      </w:pPr>
      <w:r w:rsidRPr="00491EA7">
        <w:rPr>
          <w:noProof/>
        </w:rPr>
        <w:drawing>
          <wp:inline distT="0" distB="0" distL="0" distR="0" wp14:anchorId="72941EB5" wp14:editId="376AEBA8">
            <wp:extent cx="5311140" cy="768350"/>
            <wp:effectExtent l="0" t="0" r="3810" b="0"/>
            <wp:docPr id="14373988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311140" cy="768350"/>
                    </a:xfrm>
                    <a:prstGeom prst="rect">
                      <a:avLst/>
                    </a:prstGeom>
                    <a:noFill/>
                    <a:ln>
                      <a:noFill/>
                    </a:ln>
                  </pic:spPr>
                </pic:pic>
              </a:graphicData>
            </a:graphic>
          </wp:inline>
        </w:drawing>
      </w:r>
    </w:p>
    <w:p w14:paraId="08435210" w14:textId="77777777" w:rsidR="00C82F0D" w:rsidRPr="00BC4C83" w:rsidRDefault="00C82F0D" w:rsidP="0078680F">
      <w:pPr>
        <w:jc w:val="both"/>
        <w:rPr>
          <w:rFonts w:ascii="Verdana" w:hAnsi="Verdana" w:cs="Arial"/>
          <w:iCs/>
          <w:sz w:val="17"/>
          <w:szCs w:val="17"/>
          <w:highlight w:val="yellow"/>
        </w:rPr>
      </w:pPr>
    </w:p>
    <w:p w14:paraId="19AFDF9F" w14:textId="77777777" w:rsidR="00C82F0D" w:rsidRPr="00BC4C83" w:rsidRDefault="00C82F0D" w:rsidP="0078680F">
      <w:pPr>
        <w:jc w:val="both"/>
        <w:rPr>
          <w:rFonts w:ascii="Verdana" w:hAnsi="Verdana" w:cs="Arial"/>
          <w:iCs/>
          <w:sz w:val="17"/>
          <w:szCs w:val="17"/>
          <w:highlight w:val="yellow"/>
        </w:rPr>
      </w:pPr>
    </w:p>
    <w:p w14:paraId="0B2285E5" w14:textId="77777777" w:rsidR="00C82F0D" w:rsidRPr="00BC4C83" w:rsidRDefault="00C82F0D" w:rsidP="0078680F">
      <w:pPr>
        <w:tabs>
          <w:tab w:val="left" w:pos="7938"/>
        </w:tabs>
        <w:jc w:val="both"/>
        <w:rPr>
          <w:rFonts w:ascii="Verdana" w:hAnsi="Verdana" w:cs="Arial"/>
          <w:iCs/>
          <w:sz w:val="17"/>
          <w:szCs w:val="17"/>
          <w:highlight w:val="yellow"/>
        </w:rPr>
      </w:pPr>
    </w:p>
    <w:p w14:paraId="46775F55" w14:textId="77777777" w:rsidR="00C82F0D" w:rsidRPr="009F7998" w:rsidRDefault="00C82F0D" w:rsidP="0078680F">
      <w:pPr>
        <w:jc w:val="both"/>
        <w:rPr>
          <w:rFonts w:ascii="Verdana" w:hAnsi="Verdana" w:cs="Arial"/>
          <w:sz w:val="17"/>
          <w:szCs w:val="17"/>
        </w:rPr>
      </w:pPr>
      <w:r w:rsidRPr="009F7998">
        <w:rPr>
          <w:rFonts w:ascii="Verdana" w:hAnsi="Verdana" w:cs="Arial"/>
          <w:sz w:val="17"/>
          <w:szCs w:val="17"/>
        </w:rPr>
        <w:t xml:space="preserve">A classificação dos ativos financeiros por </w:t>
      </w:r>
      <w:proofErr w:type="spellStart"/>
      <w:r w:rsidRPr="009F7998">
        <w:rPr>
          <w:rFonts w:ascii="Verdana" w:hAnsi="Verdana" w:cs="Arial"/>
          <w:sz w:val="17"/>
          <w:szCs w:val="17"/>
        </w:rPr>
        <w:t>stages</w:t>
      </w:r>
      <w:proofErr w:type="spellEnd"/>
      <w:r w:rsidRPr="009F7998">
        <w:rPr>
          <w:rFonts w:ascii="Verdana" w:hAnsi="Verdana" w:cs="Arial"/>
          <w:sz w:val="17"/>
          <w:szCs w:val="17"/>
        </w:rPr>
        <w:t xml:space="preserve"> tem por base a observação dos seguintes critérios:</w:t>
      </w:r>
    </w:p>
    <w:p w14:paraId="6C91221C" w14:textId="77777777" w:rsidR="00C82F0D" w:rsidRPr="009F7998" w:rsidRDefault="00C82F0D" w:rsidP="0078680F">
      <w:pPr>
        <w:jc w:val="both"/>
        <w:rPr>
          <w:rFonts w:ascii="Verdana" w:hAnsi="Verdana" w:cs="Arial"/>
          <w:iCs/>
          <w:sz w:val="17"/>
          <w:szCs w:val="17"/>
        </w:rPr>
      </w:pPr>
    </w:p>
    <w:p w14:paraId="16D66B09" w14:textId="77777777" w:rsidR="00C82F0D" w:rsidRPr="009F7998" w:rsidRDefault="00C82F0D" w:rsidP="0078680F">
      <w:pPr>
        <w:jc w:val="both"/>
        <w:rPr>
          <w:rFonts w:ascii="Verdana" w:hAnsi="Verdana" w:cs="Arial"/>
          <w:sz w:val="17"/>
          <w:szCs w:val="17"/>
        </w:rPr>
      </w:pPr>
      <w:proofErr w:type="spellStart"/>
      <w:r w:rsidRPr="009F7998">
        <w:rPr>
          <w:rFonts w:ascii="Verdana" w:hAnsi="Verdana" w:cs="Arial"/>
          <w:sz w:val="17"/>
          <w:szCs w:val="17"/>
        </w:rPr>
        <w:t>Stage</w:t>
      </w:r>
      <w:proofErr w:type="spellEnd"/>
      <w:r w:rsidRPr="009F7998">
        <w:rPr>
          <w:rFonts w:ascii="Verdana" w:hAnsi="Verdana" w:cs="Arial"/>
          <w:sz w:val="17"/>
          <w:szCs w:val="17"/>
        </w:rPr>
        <w:t xml:space="preserve"> 1: Clientes em situação regular ou com atraso no pagamento até 30 dias;</w:t>
      </w:r>
    </w:p>
    <w:p w14:paraId="3AD4EA3F" w14:textId="77777777" w:rsidR="00C82F0D" w:rsidRPr="009F7998" w:rsidRDefault="00C82F0D" w:rsidP="0078680F">
      <w:pPr>
        <w:jc w:val="both"/>
        <w:rPr>
          <w:rFonts w:ascii="Verdana" w:hAnsi="Verdana" w:cs="Arial"/>
          <w:sz w:val="17"/>
          <w:szCs w:val="17"/>
        </w:rPr>
      </w:pPr>
    </w:p>
    <w:p w14:paraId="152B52A6" w14:textId="77777777" w:rsidR="00C82F0D" w:rsidRPr="009F7998" w:rsidRDefault="00C82F0D" w:rsidP="0078680F">
      <w:pPr>
        <w:jc w:val="both"/>
        <w:rPr>
          <w:rFonts w:ascii="Verdana" w:hAnsi="Verdana" w:cs="Arial"/>
          <w:sz w:val="17"/>
          <w:szCs w:val="17"/>
        </w:rPr>
      </w:pPr>
      <w:proofErr w:type="spellStart"/>
      <w:r w:rsidRPr="009F7998">
        <w:rPr>
          <w:rFonts w:ascii="Verdana" w:hAnsi="Verdana" w:cs="Arial"/>
          <w:sz w:val="17"/>
          <w:szCs w:val="17"/>
        </w:rPr>
        <w:t>Stage</w:t>
      </w:r>
      <w:proofErr w:type="spellEnd"/>
      <w:r w:rsidRPr="009F7998">
        <w:rPr>
          <w:rFonts w:ascii="Verdana" w:hAnsi="Verdana" w:cs="Arial"/>
          <w:sz w:val="17"/>
          <w:szCs w:val="17"/>
        </w:rPr>
        <w:t xml:space="preserve"> 2: Clientes com atraso no pagamento entre 31 e 90 dias; e</w:t>
      </w:r>
    </w:p>
    <w:p w14:paraId="3A0E6307" w14:textId="77777777" w:rsidR="00C82F0D" w:rsidRPr="009F7998" w:rsidRDefault="00C82F0D" w:rsidP="0078680F">
      <w:pPr>
        <w:jc w:val="both"/>
        <w:rPr>
          <w:rFonts w:ascii="Verdana" w:hAnsi="Verdana" w:cs="Arial"/>
          <w:sz w:val="17"/>
          <w:szCs w:val="17"/>
        </w:rPr>
      </w:pPr>
    </w:p>
    <w:p w14:paraId="54F9CA46" w14:textId="77777777" w:rsidR="00C82F0D" w:rsidRPr="001D547D" w:rsidRDefault="00C82F0D" w:rsidP="0078680F">
      <w:pPr>
        <w:jc w:val="both"/>
        <w:rPr>
          <w:rFonts w:ascii="Verdana" w:hAnsi="Verdana" w:cs="Arial"/>
          <w:sz w:val="17"/>
          <w:szCs w:val="17"/>
        </w:rPr>
      </w:pPr>
      <w:proofErr w:type="spellStart"/>
      <w:r w:rsidRPr="001D547D">
        <w:rPr>
          <w:rFonts w:ascii="Verdana" w:hAnsi="Verdana" w:cs="Arial"/>
          <w:sz w:val="17"/>
          <w:szCs w:val="17"/>
        </w:rPr>
        <w:t>Stage</w:t>
      </w:r>
      <w:proofErr w:type="spellEnd"/>
      <w:r w:rsidRPr="001D547D">
        <w:rPr>
          <w:rFonts w:ascii="Verdana" w:hAnsi="Verdana" w:cs="Arial"/>
          <w:sz w:val="17"/>
          <w:szCs w:val="17"/>
        </w:rPr>
        <w:t xml:space="preserve"> 3: Clientes com atraso no pagamento superior a 90 dias ou que apresentem operações reestruturadas.</w:t>
      </w:r>
    </w:p>
    <w:p w14:paraId="0DD1CB41" w14:textId="77777777" w:rsidR="00C82F0D" w:rsidRPr="001D547D" w:rsidRDefault="00C82F0D" w:rsidP="0078680F">
      <w:pPr>
        <w:jc w:val="both"/>
        <w:rPr>
          <w:rFonts w:ascii="Verdana" w:hAnsi="Verdana" w:cs="Arial"/>
          <w:sz w:val="17"/>
          <w:szCs w:val="17"/>
        </w:rPr>
      </w:pPr>
    </w:p>
    <w:p w14:paraId="446F3EB3" w14:textId="77777777" w:rsidR="00C82F0D" w:rsidRPr="001D547D" w:rsidRDefault="00C82F0D" w:rsidP="0078680F">
      <w:pPr>
        <w:jc w:val="both"/>
        <w:rPr>
          <w:rFonts w:ascii="Verdana" w:hAnsi="Verdana" w:cs="Arial"/>
          <w:iCs/>
          <w:sz w:val="17"/>
          <w:szCs w:val="17"/>
        </w:rPr>
      </w:pPr>
      <w:r w:rsidRPr="001D547D">
        <w:rPr>
          <w:rFonts w:ascii="Verdana" w:hAnsi="Verdana" w:cs="Arial"/>
          <w:iCs/>
          <w:sz w:val="17"/>
          <w:szCs w:val="17"/>
          <w:u w:val="single"/>
        </w:rPr>
        <w:t>Adiantamentos a fornecedores – Cessão de créditos</w:t>
      </w:r>
      <w:r w:rsidRPr="001D547D">
        <w:rPr>
          <w:rFonts w:ascii="Verdana" w:hAnsi="Verdana" w:cs="Arial"/>
          <w:iCs/>
          <w:sz w:val="17"/>
          <w:szCs w:val="17"/>
        </w:rPr>
        <w:t xml:space="preserve">: </w:t>
      </w:r>
    </w:p>
    <w:p w14:paraId="7AC53ACE" w14:textId="77777777" w:rsidR="00C82F0D" w:rsidRDefault="00C82F0D" w:rsidP="0078680F">
      <w:pPr>
        <w:jc w:val="both"/>
        <w:rPr>
          <w:rFonts w:ascii="Verdana" w:hAnsi="Verdana" w:cs="Arial"/>
          <w:iCs/>
          <w:sz w:val="17"/>
          <w:szCs w:val="17"/>
          <w:highlight w:val="yellow"/>
        </w:rPr>
      </w:pPr>
    </w:p>
    <w:p w14:paraId="7B6DF29C" w14:textId="77777777" w:rsidR="00C82F0D" w:rsidRDefault="00C82F0D" w:rsidP="0078680F">
      <w:pPr>
        <w:jc w:val="both"/>
        <w:rPr>
          <w:rFonts w:ascii="Verdana" w:hAnsi="Verdana" w:cs="Arial"/>
          <w:iCs/>
          <w:sz w:val="17"/>
          <w:szCs w:val="17"/>
          <w:highlight w:val="yellow"/>
        </w:rPr>
      </w:pPr>
      <w:r w:rsidRPr="001D547D">
        <w:rPr>
          <w:noProof/>
        </w:rPr>
        <w:drawing>
          <wp:inline distT="0" distB="0" distL="0" distR="0" wp14:anchorId="1BDF6712" wp14:editId="6481EB9D">
            <wp:extent cx="5311140" cy="791210"/>
            <wp:effectExtent l="0" t="0" r="0" b="8890"/>
            <wp:docPr id="9370824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311140" cy="791210"/>
                    </a:xfrm>
                    <a:prstGeom prst="rect">
                      <a:avLst/>
                    </a:prstGeom>
                    <a:noFill/>
                    <a:ln>
                      <a:noFill/>
                    </a:ln>
                  </pic:spPr>
                </pic:pic>
              </a:graphicData>
            </a:graphic>
          </wp:inline>
        </w:drawing>
      </w:r>
    </w:p>
    <w:p w14:paraId="44013B97" w14:textId="77777777" w:rsidR="00C82F0D" w:rsidRPr="00BC4C83" w:rsidRDefault="00C82F0D" w:rsidP="0078680F">
      <w:pPr>
        <w:jc w:val="both"/>
        <w:rPr>
          <w:rFonts w:ascii="Verdana" w:hAnsi="Verdana" w:cs="Arial"/>
          <w:iCs/>
          <w:sz w:val="17"/>
          <w:szCs w:val="17"/>
          <w:highlight w:val="yellow"/>
        </w:rPr>
      </w:pPr>
    </w:p>
    <w:p w14:paraId="7E57DF80" w14:textId="77777777" w:rsidR="00C82F0D" w:rsidRPr="00BC4C83" w:rsidRDefault="00C82F0D" w:rsidP="0078680F">
      <w:pPr>
        <w:jc w:val="both"/>
        <w:rPr>
          <w:rFonts w:ascii="Verdana" w:hAnsi="Verdana" w:cs="Arial"/>
          <w:iCs/>
          <w:sz w:val="17"/>
          <w:szCs w:val="17"/>
          <w:highlight w:val="yellow"/>
        </w:rPr>
      </w:pPr>
      <w:r w:rsidRPr="001D547D">
        <w:rPr>
          <w:noProof/>
        </w:rPr>
        <w:drawing>
          <wp:inline distT="0" distB="0" distL="0" distR="0" wp14:anchorId="6738CA36" wp14:editId="08B27434">
            <wp:extent cx="5311140" cy="797560"/>
            <wp:effectExtent l="0" t="0" r="3810" b="2540"/>
            <wp:docPr id="3454210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311140" cy="797560"/>
                    </a:xfrm>
                    <a:prstGeom prst="rect">
                      <a:avLst/>
                    </a:prstGeom>
                    <a:noFill/>
                    <a:ln>
                      <a:noFill/>
                    </a:ln>
                  </pic:spPr>
                </pic:pic>
              </a:graphicData>
            </a:graphic>
          </wp:inline>
        </w:drawing>
      </w:r>
    </w:p>
    <w:p w14:paraId="0C2634ED" w14:textId="77777777" w:rsidR="00C82F0D" w:rsidRPr="00BC4C83" w:rsidRDefault="00C82F0D" w:rsidP="0078680F">
      <w:pPr>
        <w:jc w:val="both"/>
        <w:rPr>
          <w:rFonts w:ascii="Verdana" w:hAnsi="Verdana" w:cs="Arial"/>
          <w:iCs/>
          <w:sz w:val="17"/>
          <w:szCs w:val="17"/>
          <w:highlight w:val="yellow"/>
        </w:rPr>
      </w:pPr>
    </w:p>
    <w:p w14:paraId="30C932A7" w14:textId="77777777" w:rsidR="00C82F0D" w:rsidRPr="00BC4C83" w:rsidRDefault="00C82F0D" w:rsidP="0078680F">
      <w:pPr>
        <w:jc w:val="both"/>
        <w:rPr>
          <w:rFonts w:ascii="Verdana" w:hAnsi="Verdana" w:cs="Arial"/>
          <w:iCs/>
          <w:sz w:val="17"/>
          <w:szCs w:val="17"/>
          <w:highlight w:val="yellow"/>
        </w:rPr>
      </w:pPr>
    </w:p>
    <w:p w14:paraId="31A9003E" w14:textId="77777777" w:rsidR="00C82F0D" w:rsidRPr="001D547D" w:rsidRDefault="00C82F0D" w:rsidP="0078680F">
      <w:pPr>
        <w:jc w:val="both"/>
        <w:rPr>
          <w:rFonts w:ascii="Verdana" w:hAnsi="Verdana" w:cs="Arial"/>
          <w:sz w:val="17"/>
          <w:szCs w:val="17"/>
        </w:rPr>
      </w:pPr>
      <w:r w:rsidRPr="001D547D">
        <w:rPr>
          <w:rFonts w:ascii="Verdana" w:hAnsi="Verdana" w:cs="Arial"/>
          <w:sz w:val="17"/>
          <w:szCs w:val="17"/>
        </w:rPr>
        <w:t xml:space="preserve">No que respeita às operações incluídas na rubrica “Adiantamentos a fornecedores – Cessão de créditos” sujeitas a análise de imparidade coletiva, atendendo às limitações de informação sobre o cumprimento do seu plano de reembolso, foi efetuada uma estimativa de imparidade de acordo com a natureza das operações, assumindo-se que a maior parte corresponde a créditos à habitação de colaboradores da Sociedade ou do </w:t>
      </w:r>
      <w:r>
        <w:rPr>
          <w:rFonts w:ascii="Verdana" w:hAnsi="Verdana" w:cs="Arial"/>
          <w:sz w:val="17"/>
          <w:szCs w:val="17"/>
        </w:rPr>
        <w:t xml:space="preserve">Banco Abanca (antigo </w:t>
      </w:r>
      <w:r w:rsidRPr="001D547D">
        <w:rPr>
          <w:rFonts w:ascii="Verdana" w:hAnsi="Verdana" w:cs="Arial"/>
          <w:sz w:val="17"/>
          <w:szCs w:val="17"/>
        </w:rPr>
        <w:t>Banco BIC, S.A.</w:t>
      </w:r>
      <w:r>
        <w:rPr>
          <w:rFonts w:ascii="Verdana" w:hAnsi="Verdana" w:cs="Arial"/>
          <w:sz w:val="17"/>
          <w:szCs w:val="17"/>
        </w:rPr>
        <w:t>)</w:t>
      </w:r>
      <w:r w:rsidRPr="001D547D">
        <w:rPr>
          <w:rFonts w:ascii="Verdana" w:hAnsi="Verdana" w:cs="Arial"/>
          <w:sz w:val="17"/>
          <w:szCs w:val="17"/>
        </w:rPr>
        <w:t xml:space="preserve"> que se presume estarem em situação regular (</w:t>
      </w:r>
      <w:proofErr w:type="spellStart"/>
      <w:r w:rsidRPr="001D547D">
        <w:rPr>
          <w:rFonts w:ascii="Verdana" w:hAnsi="Verdana" w:cs="Arial"/>
          <w:sz w:val="17"/>
          <w:szCs w:val="17"/>
        </w:rPr>
        <w:t>stage</w:t>
      </w:r>
      <w:proofErr w:type="spellEnd"/>
      <w:r w:rsidRPr="001D547D">
        <w:rPr>
          <w:rFonts w:ascii="Verdana" w:hAnsi="Verdana" w:cs="Arial"/>
          <w:sz w:val="17"/>
          <w:szCs w:val="17"/>
        </w:rPr>
        <w:t xml:space="preserve"> 1).</w:t>
      </w:r>
    </w:p>
    <w:p w14:paraId="3B7B209E" w14:textId="77777777" w:rsidR="00C82F0D" w:rsidRPr="00BC4C83" w:rsidRDefault="00C82F0D" w:rsidP="0078680F">
      <w:pPr>
        <w:rPr>
          <w:rFonts w:ascii="Verdana" w:hAnsi="Verdana" w:cs="Arial"/>
          <w:b/>
          <w:i/>
          <w:sz w:val="17"/>
          <w:szCs w:val="17"/>
          <w:highlight w:val="yellow"/>
        </w:rPr>
      </w:pPr>
    </w:p>
    <w:p w14:paraId="7D9F1BEB" w14:textId="77777777" w:rsidR="00C82F0D" w:rsidRPr="001A4C61" w:rsidRDefault="00C82F0D" w:rsidP="0078680F">
      <w:pPr>
        <w:jc w:val="both"/>
        <w:rPr>
          <w:rFonts w:ascii="Verdana" w:hAnsi="Verdana" w:cs="Arial"/>
          <w:b/>
          <w:i/>
          <w:sz w:val="17"/>
          <w:szCs w:val="17"/>
        </w:rPr>
      </w:pPr>
      <w:r w:rsidRPr="001A4C61">
        <w:rPr>
          <w:rFonts w:ascii="Verdana" w:hAnsi="Verdana" w:cs="Arial"/>
          <w:b/>
          <w:i/>
          <w:sz w:val="17"/>
          <w:szCs w:val="17"/>
        </w:rPr>
        <w:t>Risco de Mercado</w:t>
      </w:r>
    </w:p>
    <w:p w14:paraId="5BFF145C" w14:textId="77777777" w:rsidR="00C82F0D" w:rsidRPr="001A4C61" w:rsidRDefault="00C82F0D" w:rsidP="0078680F">
      <w:pPr>
        <w:jc w:val="both"/>
        <w:rPr>
          <w:rFonts w:ascii="Verdana" w:hAnsi="Verdana" w:cs="Arial"/>
          <w:sz w:val="17"/>
          <w:szCs w:val="17"/>
        </w:rPr>
      </w:pPr>
    </w:p>
    <w:p w14:paraId="63BCEF5A" w14:textId="77777777" w:rsidR="00C82F0D" w:rsidRPr="001A4C61" w:rsidRDefault="00C82F0D" w:rsidP="0078680F">
      <w:pPr>
        <w:jc w:val="both"/>
        <w:rPr>
          <w:rFonts w:ascii="Verdana" w:hAnsi="Verdana" w:cs="Arial"/>
          <w:sz w:val="17"/>
          <w:szCs w:val="17"/>
        </w:rPr>
      </w:pPr>
      <w:r w:rsidRPr="001A4C61">
        <w:rPr>
          <w:rFonts w:ascii="Verdana" w:hAnsi="Verdana" w:cs="Arial"/>
          <w:sz w:val="17"/>
          <w:szCs w:val="17"/>
        </w:rPr>
        <w:t xml:space="preserve">O risco de mercado é o risco da existência de perdas decorrentes da variação adversa de valor de um instrumento financeiro como consequência da variação de fatores de risco, nomeadamente taxa de juro, taxa de câmbio, </w:t>
      </w:r>
      <w:r w:rsidRPr="001A4C61">
        <w:rPr>
          <w:rFonts w:ascii="Verdana" w:hAnsi="Verdana" w:cs="Arial"/>
          <w:i/>
          <w:sz w:val="17"/>
          <w:szCs w:val="17"/>
        </w:rPr>
        <w:t>spreads</w:t>
      </w:r>
      <w:r w:rsidRPr="001A4C61">
        <w:rPr>
          <w:rFonts w:ascii="Verdana" w:hAnsi="Verdana" w:cs="Arial"/>
          <w:sz w:val="17"/>
          <w:szCs w:val="17"/>
        </w:rPr>
        <w:t xml:space="preserve"> de crédito, preços de ações e preços de mercadorias.</w:t>
      </w:r>
    </w:p>
    <w:p w14:paraId="6237390B" w14:textId="77777777" w:rsidR="00C82F0D" w:rsidRPr="001A4C61" w:rsidRDefault="00C82F0D" w:rsidP="0078680F">
      <w:pPr>
        <w:jc w:val="both"/>
        <w:rPr>
          <w:rFonts w:ascii="Verdana" w:hAnsi="Verdana" w:cs="Arial"/>
          <w:sz w:val="17"/>
          <w:szCs w:val="17"/>
        </w:rPr>
      </w:pPr>
    </w:p>
    <w:p w14:paraId="7B9443AB" w14:textId="77777777" w:rsidR="00C82F0D" w:rsidRPr="001A4C61" w:rsidRDefault="00C82F0D" w:rsidP="0078680F">
      <w:pPr>
        <w:rPr>
          <w:rFonts w:ascii="Verdana" w:hAnsi="Verdana" w:cs="Arial"/>
          <w:i/>
          <w:sz w:val="17"/>
          <w:szCs w:val="17"/>
          <w:u w:val="single"/>
        </w:rPr>
      </w:pPr>
    </w:p>
    <w:p w14:paraId="48BBD8E1" w14:textId="77777777" w:rsidR="00351BC7" w:rsidRDefault="00351BC7">
      <w:pPr>
        <w:rPr>
          <w:rFonts w:ascii="Verdana" w:hAnsi="Verdana" w:cs="Arial"/>
          <w:i/>
          <w:sz w:val="17"/>
          <w:szCs w:val="17"/>
          <w:u w:val="single"/>
        </w:rPr>
      </w:pPr>
      <w:r>
        <w:rPr>
          <w:rFonts w:ascii="Verdana" w:hAnsi="Verdana" w:cs="Arial"/>
          <w:i/>
          <w:sz w:val="17"/>
          <w:szCs w:val="17"/>
          <w:u w:val="single"/>
        </w:rPr>
        <w:br w:type="page"/>
      </w:r>
    </w:p>
    <w:p w14:paraId="01F4EDD0" w14:textId="5ABE11C0" w:rsidR="00C82F0D" w:rsidRPr="001A4C61" w:rsidRDefault="00C82F0D" w:rsidP="0078680F">
      <w:pPr>
        <w:jc w:val="both"/>
        <w:rPr>
          <w:rFonts w:ascii="Verdana" w:hAnsi="Verdana" w:cs="Arial"/>
          <w:i/>
          <w:sz w:val="17"/>
          <w:szCs w:val="17"/>
          <w:u w:val="single"/>
        </w:rPr>
      </w:pPr>
      <w:r w:rsidRPr="001A4C61">
        <w:rPr>
          <w:rFonts w:ascii="Verdana" w:hAnsi="Verdana" w:cs="Arial"/>
          <w:i/>
          <w:sz w:val="17"/>
          <w:szCs w:val="17"/>
          <w:u w:val="single"/>
        </w:rPr>
        <w:lastRenderedPageBreak/>
        <w:t>Risco de Taxa de juro – Análise de sensibilidade</w:t>
      </w:r>
    </w:p>
    <w:p w14:paraId="2C53ED40" w14:textId="77777777" w:rsidR="00C82F0D" w:rsidRPr="001A4C61" w:rsidRDefault="00C82F0D" w:rsidP="0078680F">
      <w:pPr>
        <w:jc w:val="both"/>
        <w:rPr>
          <w:rFonts w:ascii="Verdana" w:hAnsi="Verdana" w:cs="Arial"/>
          <w:sz w:val="17"/>
          <w:szCs w:val="17"/>
        </w:rPr>
      </w:pPr>
    </w:p>
    <w:p w14:paraId="2AC17BEE" w14:textId="77777777" w:rsidR="00C82F0D" w:rsidRPr="001A4C61" w:rsidRDefault="00C82F0D" w:rsidP="0078680F">
      <w:pPr>
        <w:jc w:val="both"/>
        <w:rPr>
          <w:rFonts w:ascii="Verdana" w:hAnsi="Verdana" w:cs="Arial"/>
          <w:sz w:val="17"/>
          <w:szCs w:val="17"/>
        </w:rPr>
      </w:pPr>
      <w:r w:rsidRPr="001A4C61">
        <w:rPr>
          <w:rFonts w:ascii="Verdana" w:hAnsi="Verdana" w:cs="Arial"/>
          <w:sz w:val="17"/>
          <w:szCs w:val="17"/>
        </w:rPr>
        <w:t xml:space="preserve">Em 31 de dezembro de 2025 e 2024, o impacto no justo valor dos instrumentos financeiros sensíveis a risco de taxa de juro de deslocações paralelas na curva das taxas de juro de referência de 100 e 25 </w:t>
      </w:r>
      <w:proofErr w:type="spellStart"/>
      <w:r w:rsidRPr="001A4C61">
        <w:rPr>
          <w:rFonts w:ascii="Verdana" w:hAnsi="Verdana" w:cs="Arial"/>
          <w:sz w:val="17"/>
          <w:szCs w:val="17"/>
        </w:rPr>
        <w:t>basis</w:t>
      </w:r>
      <w:proofErr w:type="spellEnd"/>
      <w:r w:rsidRPr="001A4C61">
        <w:rPr>
          <w:rFonts w:ascii="Verdana" w:hAnsi="Verdana" w:cs="Arial"/>
          <w:sz w:val="17"/>
          <w:szCs w:val="17"/>
        </w:rPr>
        <w:t xml:space="preserve"> </w:t>
      </w:r>
      <w:proofErr w:type="spellStart"/>
      <w:r w:rsidRPr="001A4C61">
        <w:rPr>
          <w:rFonts w:ascii="Verdana" w:hAnsi="Verdana" w:cs="Arial"/>
          <w:sz w:val="17"/>
          <w:szCs w:val="17"/>
        </w:rPr>
        <w:t>points</w:t>
      </w:r>
      <w:proofErr w:type="spellEnd"/>
      <w:r w:rsidRPr="001A4C61">
        <w:rPr>
          <w:rFonts w:ascii="Verdana" w:hAnsi="Verdana" w:cs="Arial"/>
          <w:sz w:val="17"/>
          <w:szCs w:val="17"/>
        </w:rPr>
        <w:t xml:space="preserve"> (</w:t>
      </w:r>
      <w:proofErr w:type="spellStart"/>
      <w:r w:rsidRPr="001A4C61">
        <w:rPr>
          <w:rFonts w:ascii="Verdana" w:hAnsi="Verdana" w:cs="Arial"/>
          <w:sz w:val="17"/>
          <w:szCs w:val="17"/>
        </w:rPr>
        <w:t>bp</w:t>
      </w:r>
      <w:proofErr w:type="spellEnd"/>
      <w:r w:rsidRPr="001A4C61">
        <w:rPr>
          <w:rFonts w:ascii="Verdana" w:hAnsi="Verdana" w:cs="Arial"/>
          <w:sz w:val="17"/>
          <w:szCs w:val="17"/>
        </w:rPr>
        <w:t>), respetivamente, pode ser demonstrado pelos seguintes quadros:</w:t>
      </w:r>
    </w:p>
    <w:p w14:paraId="5BBC3579" w14:textId="77777777" w:rsidR="00C82F0D" w:rsidRPr="001A4C61" w:rsidRDefault="00C82F0D" w:rsidP="0078680F">
      <w:pPr>
        <w:jc w:val="both"/>
        <w:rPr>
          <w:rFonts w:ascii="Verdana" w:hAnsi="Verdana" w:cs="Arial"/>
          <w:sz w:val="17"/>
          <w:szCs w:val="17"/>
        </w:rPr>
      </w:pPr>
    </w:p>
    <w:p w14:paraId="5E5C3EE4" w14:textId="77777777" w:rsidR="00C82F0D" w:rsidRPr="001A4C61" w:rsidRDefault="00C82F0D" w:rsidP="0078680F">
      <w:pPr>
        <w:jc w:val="both"/>
        <w:rPr>
          <w:rFonts w:ascii="Verdana" w:hAnsi="Verdana" w:cs="Arial"/>
          <w:sz w:val="17"/>
          <w:szCs w:val="17"/>
        </w:rPr>
      </w:pPr>
      <w:r w:rsidRPr="001A4C61">
        <w:rPr>
          <w:noProof/>
        </w:rPr>
        <w:drawing>
          <wp:inline distT="0" distB="0" distL="0" distR="0" wp14:anchorId="4120A8A9" wp14:editId="1CF336F6">
            <wp:extent cx="5311140" cy="1226185"/>
            <wp:effectExtent l="0" t="0" r="3810" b="0"/>
            <wp:docPr id="4376480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311140" cy="1226185"/>
                    </a:xfrm>
                    <a:prstGeom prst="rect">
                      <a:avLst/>
                    </a:prstGeom>
                    <a:noFill/>
                    <a:ln>
                      <a:noFill/>
                    </a:ln>
                  </pic:spPr>
                </pic:pic>
              </a:graphicData>
            </a:graphic>
          </wp:inline>
        </w:drawing>
      </w:r>
    </w:p>
    <w:p w14:paraId="13E5AC2A" w14:textId="77777777" w:rsidR="00C82F0D" w:rsidRPr="001A4C61" w:rsidRDefault="00C82F0D" w:rsidP="0078680F">
      <w:pPr>
        <w:jc w:val="both"/>
        <w:rPr>
          <w:rFonts w:ascii="Verdana" w:hAnsi="Verdana" w:cs="Arial"/>
          <w:sz w:val="17"/>
          <w:szCs w:val="17"/>
        </w:rPr>
      </w:pPr>
    </w:p>
    <w:p w14:paraId="6D0A79FB" w14:textId="77777777" w:rsidR="00C82F0D" w:rsidRPr="001A4C61" w:rsidRDefault="00C82F0D" w:rsidP="0078680F">
      <w:pPr>
        <w:jc w:val="both"/>
        <w:rPr>
          <w:rFonts w:ascii="Verdana" w:hAnsi="Verdana" w:cs="Arial"/>
          <w:sz w:val="17"/>
          <w:szCs w:val="17"/>
        </w:rPr>
      </w:pPr>
      <w:r w:rsidRPr="001A4C61">
        <w:rPr>
          <w:noProof/>
        </w:rPr>
        <w:drawing>
          <wp:inline distT="0" distB="0" distL="0" distR="0" wp14:anchorId="39902D7F" wp14:editId="6B2E2877">
            <wp:extent cx="5311140" cy="1274445"/>
            <wp:effectExtent l="0" t="0" r="3810" b="1905"/>
            <wp:docPr id="20895087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311140" cy="1274445"/>
                    </a:xfrm>
                    <a:prstGeom prst="rect">
                      <a:avLst/>
                    </a:prstGeom>
                    <a:noFill/>
                    <a:ln>
                      <a:noFill/>
                    </a:ln>
                  </pic:spPr>
                </pic:pic>
              </a:graphicData>
            </a:graphic>
          </wp:inline>
        </w:drawing>
      </w:r>
    </w:p>
    <w:p w14:paraId="45F69143" w14:textId="77777777" w:rsidR="00C82F0D" w:rsidRPr="001A4C61" w:rsidRDefault="00C82F0D" w:rsidP="0078680F">
      <w:pPr>
        <w:jc w:val="both"/>
        <w:rPr>
          <w:rFonts w:ascii="Verdana" w:hAnsi="Verdana" w:cs="Arial"/>
          <w:sz w:val="17"/>
          <w:szCs w:val="17"/>
        </w:rPr>
      </w:pPr>
    </w:p>
    <w:p w14:paraId="1F2F9394" w14:textId="77777777" w:rsidR="00C82F0D" w:rsidRPr="001A4C61" w:rsidRDefault="00C82F0D" w:rsidP="0078680F">
      <w:pPr>
        <w:jc w:val="both"/>
        <w:rPr>
          <w:rFonts w:ascii="Verdana" w:hAnsi="Verdana" w:cs="Arial"/>
          <w:sz w:val="17"/>
          <w:szCs w:val="17"/>
        </w:rPr>
      </w:pPr>
    </w:p>
    <w:p w14:paraId="7F3D5F3E" w14:textId="77777777" w:rsidR="00C82F0D" w:rsidRPr="00BC4C83" w:rsidRDefault="00C82F0D" w:rsidP="0078680F">
      <w:pPr>
        <w:jc w:val="both"/>
        <w:rPr>
          <w:rFonts w:ascii="Verdana" w:hAnsi="Verdana" w:cs="Arial"/>
          <w:sz w:val="17"/>
          <w:szCs w:val="17"/>
          <w:highlight w:val="yellow"/>
        </w:rPr>
      </w:pPr>
    </w:p>
    <w:p w14:paraId="707BBC7D" w14:textId="77777777" w:rsidR="00C82F0D" w:rsidRDefault="00C82F0D" w:rsidP="0078680F">
      <w:pPr>
        <w:jc w:val="both"/>
        <w:rPr>
          <w:rFonts w:ascii="Verdana" w:hAnsi="Verdana" w:cs="Arial"/>
          <w:sz w:val="17"/>
          <w:szCs w:val="17"/>
        </w:rPr>
      </w:pPr>
      <w:r w:rsidRPr="001A4C61">
        <w:rPr>
          <w:rFonts w:ascii="Verdana" w:hAnsi="Verdana" w:cs="Arial"/>
          <w:sz w:val="17"/>
          <w:szCs w:val="17"/>
        </w:rPr>
        <w:t xml:space="preserve">No quadro seguinte é apresentado o efeito na margem financeira projetada para os exercícios de 2025 e 2024, de uma deslocação paralela das curvas de taxas de juro de 100 e 25 </w:t>
      </w:r>
      <w:proofErr w:type="spellStart"/>
      <w:r w:rsidRPr="001A4C61">
        <w:rPr>
          <w:rFonts w:ascii="Verdana" w:hAnsi="Verdana" w:cs="Arial"/>
          <w:sz w:val="17"/>
          <w:szCs w:val="17"/>
        </w:rPr>
        <w:t>bp</w:t>
      </w:r>
      <w:proofErr w:type="spellEnd"/>
      <w:r w:rsidRPr="001A4C61">
        <w:rPr>
          <w:rFonts w:ascii="Verdana" w:hAnsi="Verdana" w:cs="Arial"/>
          <w:sz w:val="17"/>
          <w:szCs w:val="17"/>
        </w:rPr>
        <w:t xml:space="preserve"> que indexam os instrumentos financeiros sensíveis a variações na taxa de juro:</w:t>
      </w:r>
    </w:p>
    <w:p w14:paraId="55FB0810" w14:textId="77777777" w:rsidR="00C82F0D" w:rsidRDefault="00C82F0D" w:rsidP="0078680F">
      <w:pPr>
        <w:jc w:val="both"/>
        <w:rPr>
          <w:rFonts w:ascii="Verdana" w:hAnsi="Verdana" w:cs="Arial"/>
          <w:sz w:val="17"/>
          <w:szCs w:val="17"/>
        </w:rPr>
      </w:pPr>
    </w:p>
    <w:p w14:paraId="1A712302" w14:textId="77777777" w:rsidR="00C82F0D" w:rsidRPr="001A4C61" w:rsidRDefault="00C82F0D" w:rsidP="0078680F">
      <w:pPr>
        <w:jc w:val="both"/>
        <w:rPr>
          <w:rFonts w:ascii="Verdana" w:hAnsi="Verdana" w:cs="Arial"/>
          <w:sz w:val="17"/>
          <w:szCs w:val="17"/>
        </w:rPr>
      </w:pPr>
    </w:p>
    <w:p w14:paraId="0158CB5D" w14:textId="77777777" w:rsidR="00C82F0D" w:rsidRPr="001A4C61" w:rsidRDefault="00C82F0D" w:rsidP="0078680F">
      <w:pPr>
        <w:jc w:val="both"/>
        <w:rPr>
          <w:rFonts w:ascii="Verdana" w:hAnsi="Verdana" w:cs="Arial"/>
          <w:sz w:val="17"/>
          <w:szCs w:val="17"/>
        </w:rPr>
      </w:pPr>
      <w:r w:rsidRPr="001D547D">
        <w:rPr>
          <w:noProof/>
        </w:rPr>
        <w:drawing>
          <wp:inline distT="0" distB="0" distL="0" distR="0" wp14:anchorId="64D35A6F" wp14:editId="1B41423F">
            <wp:extent cx="5311140" cy="1649095"/>
            <wp:effectExtent l="0" t="0" r="3810" b="0"/>
            <wp:docPr id="119003739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311140" cy="1649095"/>
                    </a:xfrm>
                    <a:prstGeom prst="rect">
                      <a:avLst/>
                    </a:prstGeom>
                    <a:noFill/>
                    <a:ln>
                      <a:noFill/>
                    </a:ln>
                  </pic:spPr>
                </pic:pic>
              </a:graphicData>
            </a:graphic>
          </wp:inline>
        </w:drawing>
      </w:r>
    </w:p>
    <w:p w14:paraId="467E54C6" w14:textId="77777777" w:rsidR="00C82F0D" w:rsidRPr="001A4C61" w:rsidRDefault="00C82F0D" w:rsidP="0078680F">
      <w:pPr>
        <w:jc w:val="both"/>
        <w:rPr>
          <w:rFonts w:ascii="Verdana" w:hAnsi="Verdana" w:cs="Arial"/>
          <w:sz w:val="17"/>
          <w:szCs w:val="17"/>
        </w:rPr>
      </w:pPr>
    </w:p>
    <w:p w14:paraId="77870D4A" w14:textId="77777777" w:rsidR="00C82F0D" w:rsidRPr="001A4C61" w:rsidRDefault="00C82F0D" w:rsidP="0078680F">
      <w:pPr>
        <w:rPr>
          <w:rFonts w:ascii="Verdana" w:hAnsi="Verdana" w:cs="Arial"/>
          <w:sz w:val="17"/>
          <w:szCs w:val="17"/>
        </w:rPr>
      </w:pPr>
    </w:p>
    <w:p w14:paraId="1315C1A1" w14:textId="77777777" w:rsidR="00C82F0D" w:rsidRPr="001A4C61" w:rsidRDefault="00C82F0D" w:rsidP="0078680F">
      <w:pPr>
        <w:jc w:val="both"/>
        <w:rPr>
          <w:rFonts w:ascii="Verdana" w:hAnsi="Verdana" w:cs="Arial"/>
          <w:bCs/>
          <w:i/>
          <w:sz w:val="17"/>
          <w:szCs w:val="17"/>
          <w:u w:val="single"/>
        </w:rPr>
      </w:pPr>
      <w:r w:rsidRPr="001A4C61">
        <w:rPr>
          <w:rFonts w:ascii="Verdana" w:hAnsi="Verdana" w:cs="Arial"/>
          <w:bCs/>
          <w:i/>
          <w:sz w:val="17"/>
          <w:szCs w:val="17"/>
          <w:u w:val="single"/>
        </w:rPr>
        <w:t>Risco Cambial</w:t>
      </w:r>
    </w:p>
    <w:p w14:paraId="44B1E6C6" w14:textId="77777777" w:rsidR="00C82F0D" w:rsidRPr="001A4C61" w:rsidRDefault="00C82F0D" w:rsidP="0078680F">
      <w:pPr>
        <w:jc w:val="both"/>
        <w:rPr>
          <w:rFonts w:ascii="Verdana" w:hAnsi="Verdana" w:cs="Arial"/>
          <w:sz w:val="17"/>
          <w:szCs w:val="17"/>
        </w:rPr>
      </w:pPr>
    </w:p>
    <w:p w14:paraId="77EF16FD" w14:textId="77777777" w:rsidR="00C82F0D" w:rsidRPr="001A4C61" w:rsidRDefault="00C82F0D" w:rsidP="0078680F">
      <w:pPr>
        <w:jc w:val="both"/>
        <w:rPr>
          <w:rFonts w:ascii="Verdana" w:hAnsi="Verdana" w:cs="Arial"/>
          <w:sz w:val="17"/>
          <w:szCs w:val="17"/>
        </w:rPr>
      </w:pPr>
      <w:r w:rsidRPr="001A4C61">
        <w:rPr>
          <w:rFonts w:ascii="Verdana" w:hAnsi="Verdana" w:cs="Arial"/>
          <w:sz w:val="17"/>
          <w:szCs w:val="17"/>
        </w:rPr>
        <w:t>O risco cambial representa o risco de perdas devido a variações adversas nas taxas de câmbio. Nos exercícios de 2025 e 2024, os instrumentos financeiros apresentam o seguinte detalhe por moeda:</w:t>
      </w:r>
    </w:p>
    <w:p w14:paraId="2A51D8AE" w14:textId="77777777" w:rsidR="00C82F0D" w:rsidRPr="001A4C61" w:rsidRDefault="00C82F0D" w:rsidP="0078680F">
      <w:pPr>
        <w:jc w:val="both"/>
        <w:rPr>
          <w:rFonts w:ascii="Verdana" w:hAnsi="Verdana" w:cs="Arial"/>
          <w:sz w:val="17"/>
          <w:szCs w:val="17"/>
        </w:rPr>
      </w:pPr>
    </w:p>
    <w:p w14:paraId="20F24CED" w14:textId="3EB538DD" w:rsidR="00C82F0D" w:rsidRPr="001A4C61" w:rsidRDefault="00B031D7" w:rsidP="0078680F">
      <w:pPr>
        <w:jc w:val="both"/>
        <w:rPr>
          <w:rFonts w:ascii="Verdana" w:hAnsi="Verdana" w:cs="Arial"/>
          <w:sz w:val="17"/>
          <w:szCs w:val="17"/>
        </w:rPr>
      </w:pPr>
      <w:r w:rsidRPr="00E57839">
        <w:rPr>
          <w:noProof/>
        </w:rPr>
        <w:lastRenderedPageBreak/>
        <w:drawing>
          <wp:inline distT="0" distB="0" distL="0" distR="0" wp14:anchorId="7CBB0381" wp14:editId="761A465B">
            <wp:extent cx="5311140" cy="1769110"/>
            <wp:effectExtent l="0" t="0" r="3810" b="2540"/>
            <wp:docPr id="1611984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311140" cy="1769110"/>
                    </a:xfrm>
                    <a:prstGeom prst="rect">
                      <a:avLst/>
                    </a:prstGeom>
                    <a:noFill/>
                    <a:ln>
                      <a:noFill/>
                    </a:ln>
                  </pic:spPr>
                </pic:pic>
              </a:graphicData>
            </a:graphic>
          </wp:inline>
        </w:drawing>
      </w:r>
    </w:p>
    <w:p w14:paraId="0A7DDF0B" w14:textId="77777777" w:rsidR="00C82F0D" w:rsidRPr="001A4C61" w:rsidRDefault="00C82F0D" w:rsidP="0078680F">
      <w:pPr>
        <w:jc w:val="both"/>
        <w:rPr>
          <w:rFonts w:ascii="Verdana" w:hAnsi="Verdana" w:cs="Arial"/>
          <w:sz w:val="17"/>
          <w:szCs w:val="17"/>
        </w:rPr>
      </w:pPr>
    </w:p>
    <w:p w14:paraId="19E24C4A" w14:textId="77777777" w:rsidR="00C82F0D" w:rsidRPr="001A4C61" w:rsidRDefault="00C82F0D" w:rsidP="0078680F">
      <w:pPr>
        <w:jc w:val="both"/>
        <w:rPr>
          <w:rFonts w:ascii="Verdana" w:hAnsi="Verdana" w:cs="Arial"/>
          <w:sz w:val="17"/>
          <w:szCs w:val="17"/>
        </w:rPr>
      </w:pPr>
      <w:r w:rsidRPr="001A4C61">
        <w:rPr>
          <w:noProof/>
        </w:rPr>
        <w:drawing>
          <wp:inline distT="0" distB="0" distL="0" distR="0" wp14:anchorId="4305E8C3" wp14:editId="54BF5BE0">
            <wp:extent cx="5311140" cy="1869440"/>
            <wp:effectExtent l="0" t="0" r="3810" b="0"/>
            <wp:docPr id="51318045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311140" cy="1869440"/>
                    </a:xfrm>
                    <a:prstGeom prst="rect">
                      <a:avLst/>
                    </a:prstGeom>
                    <a:noFill/>
                    <a:ln>
                      <a:noFill/>
                    </a:ln>
                  </pic:spPr>
                </pic:pic>
              </a:graphicData>
            </a:graphic>
          </wp:inline>
        </w:drawing>
      </w:r>
    </w:p>
    <w:p w14:paraId="19957B91" w14:textId="77777777" w:rsidR="00C82F0D" w:rsidRPr="001A4C61" w:rsidRDefault="00C82F0D" w:rsidP="0078680F">
      <w:pPr>
        <w:jc w:val="both"/>
        <w:rPr>
          <w:rFonts w:ascii="Verdana" w:hAnsi="Verdana" w:cs="Arial"/>
          <w:sz w:val="17"/>
          <w:szCs w:val="17"/>
        </w:rPr>
      </w:pPr>
    </w:p>
    <w:p w14:paraId="16B2247F" w14:textId="77777777" w:rsidR="00C82F0D" w:rsidRDefault="00C82F0D" w:rsidP="0078680F">
      <w:pPr>
        <w:jc w:val="both"/>
        <w:rPr>
          <w:rFonts w:ascii="Verdana" w:hAnsi="Verdana" w:cs="Arial"/>
          <w:sz w:val="17"/>
          <w:szCs w:val="17"/>
        </w:rPr>
      </w:pPr>
    </w:p>
    <w:p w14:paraId="4B2EE62A" w14:textId="77777777" w:rsidR="00C82F0D" w:rsidRPr="001A4C61" w:rsidRDefault="00C82F0D" w:rsidP="0078680F">
      <w:pPr>
        <w:jc w:val="both"/>
        <w:rPr>
          <w:rFonts w:ascii="Verdana" w:hAnsi="Verdana" w:cs="Arial"/>
          <w:sz w:val="17"/>
          <w:szCs w:val="17"/>
        </w:rPr>
      </w:pPr>
    </w:p>
    <w:p w14:paraId="6140C4C7" w14:textId="77777777" w:rsidR="00C82F0D" w:rsidRPr="001A4C61" w:rsidRDefault="00C82F0D" w:rsidP="0078680F">
      <w:pPr>
        <w:jc w:val="both"/>
        <w:rPr>
          <w:rFonts w:ascii="Verdana" w:hAnsi="Verdana" w:cs="Arial"/>
          <w:bCs/>
          <w:i/>
          <w:sz w:val="17"/>
          <w:szCs w:val="17"/>
          <w:u w:val="single"/>
        </w:rPr>
      </w:pPr>
      <w:r w:rsidRPr="001A4C61">
        <w:rPr>
          <w:rFonts w:ascii="Verdana" w:hAnsi="Verdana" w:cs="Arial"/>
          <w:bCs/>
          <w:i/>
          <w:sz w:val="17"/>
          <w:szCs w:val="17"/>
          <w:u w:val="single"/>
        </w:rPr>
        <w:t>Justo valor</w:t>
      </w:r>
    </w:p>
    <w:p w14:paraId="0CC9F93D" w14:textId="77777777" w:rsidR="00C82F0D" w:rsidRPr="001A4C61" w:rsidRDefault="00C82F0D" w:rsidP="0078680F">
      <w:pPr>
        <w:jc w:val="both"/>
        <w:rPr>
          <w:rFonts w:ascii="Verdana" w:hAnsi="Verdana" w:cs="Arial"/>
          <w:sz w:val="17"/>
          <w:szCs w:val="17"/>
        </w:rPr>
      </w:pPr>
    </w:p>
    <w:p w14:paraId="3B6B3EB3" w14:textId="77777777" w:rsidR="00C82F0D" w:rsidRPr="001A4C61" w:rsidRDefault="00C82F0D" w:rsidP="0078680F">
      <w:pPr>
        <w:jc w:val="both"/>
        <w:rPr>
          <w:rFonts w:ascii="Verdana" w:hAnsi="Verdana" w:cs="Arial"/>
          <w:sz w:val="17"/>
          <w:szCs w:val="17"/>
        </w:rPr>
      </w:pPr>
      <w:r w:rsidRPr="001A4C61">
        <w:rPr>
          <w:rFonts w:ascii="Verdana" w:hAnsi="Verdana" w:cs="Arial"/>
          <w:sz w:val="17"/>
          <w:szCs w:val="17"/>
        </w:rPr>
        <w:t>Sempre que possível, a Sociedade estimou o justo valor recorrendo a cotações em mercados ativos ou técnicas de valorização baseadas em dados de mercado para instrumentos com características idênticas ou similares aos instrumentos financeiros por si detidos. Um mercado é considerado ativo, e, portanto, líquido, quando é acedido por contrapartes igualmente conhecedoras e onde se efetuam transações de forma regular.</w:t>
      </w:r>
    </w:p>
    <w:p w14:paraId="1C5132F2" w14:textId="77777777" w:rsidR="00C82F0D" w:rsidRPr="001A4C61" w:rsidRDefault="00C82F0D" w:rsidP="0078680F">
      <w:pPr>
        <w:jc w:val="both"/>
        <w:rPr>
          <w:rFonts w:ascii="Verdana" w:hAnsi="Verdana" w:cs="Arial"/>
          <w:sz w:val="17"/>
          <w:szCs w:val="17"/>
        </w:rPr>
      </w:pPr>
    </w:p>
    <w:p w14:paraId="721C2030" w14:textId="77777777" w:rsidR="00C82F0D" w:rsidRPr="001A4C61" w:rsidRDefault="00C82F0D" w:rsidP="0078680F">
      <w:pPr>
        <w:jc w:val="both"/>
        <w:rPr>
          <w:rFonts w:ascii="Verdana" w:hAnsi="Verdana" w:cs="Arial"/>
          <w:sz w:val="17"/>
          <w:szCs w:val="17"/>
        </w:rPr>
      </w:pPr>
      <w:r w:rsidRPr="001A4C61">
        <w:rPr>
          <w:rFonts w:ascii="Verdana" w:hAnsi="Verdana" w:cs="Arial"/>
          <w:sz w:val="17"/>
          <w:szCs w:val="17"/>
        </w:rPr>
        <w:t>Para os instrumentos financeiros registados no balanço ao custo amortizado, a Sociedade apura o respetivo justo valor com recurso a técnicas de valorização. Para estes instrumentos financeiros, o justo valor é apurado com base em técnicas de valorização utilizando “inputs” não baseados em dados observáveis de mercado (Nível 3, de acordo com a classificação da norma IFRS 13).</w:t>
      </w:r>
    </w:p>
    <w:p w14:paraId="3C0BCD12" w14:textId="77777777" w:rsidR="00C82F0D" w:rsidRPr="001A4C61" w:rsidRDefault="00C82F0D" w:rsidP="0078680F">
      <w:pPr>
        <w:rPr>
          <w:rFonts w:ascii="Verdana" w:hAnsi="Verdana" w:cs="Arial"/>
          <w:sz w:val="17"/>
          <w:szCs w:val="17"/>
        </w:rPr>
      </w:pPr>
    </w:p>
    <w:p w14:paraId="2BC6FA4A" w14:textId="77777777" w:rsidR="00C82F0D" w:rsidRPr="001A4C61" w:rsidRDefault="00C82F0D" w:rsidP="0078680F">
      <w:pPr>
        <w:jc w:val="both"/>
        <w:rPr>
          <w:rFonts w:ascii="Verdana" w:hAnsi="Verdana" w:cs="Arial"/>
          <w:sz w:val="17"/>
          <w:szCs w:val="17"/>
        </w:rPr>
      </w:pPr>
      <w:r w:rsidRPr="001A4C61">
        <w:rPr>
          <w:rFonts w:ascii="Verdana" w:hAnsi="Verdana" w:cs="Arial"/>
          <w:sz w:val="17"/>
          <w:szCs w:val="17"/>
        </w:rPr>
        <w:t>Em 31 de dezembro de 2025 e 2024, o justo valor dos ativos e passivos financeiros valorizados ao custo amortizado, é o seguinte:</w:t>
      </w:r>
    </w:p>
    <w:p w14:paraId="0B7CBF0E" w14:textId="77777777" w:rsidR="00C82F0D" w:rsidRPr="001A4C61" w:rsidRDefault="00C82F0D" w:rsidP="0078680F">
      <w:pPr>
        <w:jc w:val="both"/>
        <w:rPr>
          <w:rFonts w:ascii="Verdana" w:hAnsi="Verdana" w:cs="Arial"/>
          <w:sz w:val="17"/>
          <w:szCs w:val="17"/>
        </w:rPr>
      </w:pPr>
    </w:p>
    <w:p w14:paraId="4BBA2B37" w14:textId="7B3E30A6" w:rsidR="00C82F0D" w:rsidRDefault="00B031D7" w:rsidP="0078680F">
      <w:pPr>
        <w:jc w:val="both"/>
        <w:rPr>
          <w:rFonts w:ascii="Verdana" w:hAnsi="Verdana" w:cs="Arial"/>
          <w:sz w:val="17"/>
          <w:szCs w:val="17"/>
        </w:rPr>
      </w:pPr>
      <w:r w:rsidRPr="00E57839">
        <w:rPr>
          <w:noProof/>
        </w:rPr>
        <w:drawing>
          <wp:inline distT="0" distB="0" distL="0" distR="0" wp14:anchorId="1C4A13DF" wp14:editId="5C279CE7">
            <wp:extent cx="5311140" cy="2047875"/>
            <wp:effectExtent l="0" t="0" r="3810" b="0"/>
            <wp:docPr id="180711376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311140" cy="2047875"/>
                    </a:xfrm>
                    <a:prstGeom prst="rect">
                      <a:avLst/>
                    </a:prstGeom>
                    <a:noFill/>
                    <a:ln>
                      <a:noFill/>
                    </a:ln>
                  </pic:spPr>
                </pic:pic>
              </a:graphicData>
            </a:graphic>
          </wp:inline>
        </w:drawing>
      </w:r>
    </w:p>
    <w:p w14:paraId="4018C07C" w14:textId="77777777" w:rsidR="00C82F0D" w:rsidRPr="001A4C61" w:rsidRDefault="00C82F0D" w:rsidP="0078680F">
      <w:pPr>
        <w:jc w:val="both"/>
        <w:rPr>
          <w:rFonts w:ascii="Verdana" w:hAnsi="Verdana" w:cs="Arial"/>
          <w:sz w:val="17"/>
          <w:szCs w:val="17"/>
        </w:rPr>
      </w:pPr>
    </w:p>
    <w:p w14:paraId="109D3748" w14:textId="77777777" w:rsidR="00C82F0D" w:rsidRPr="001A4C61" w:rsidRDefault="00C82F0D" w:rsidP="0078680F">
      <w:pPr>
        <w:jc w:val="both"/>
        <w:rPr>
          <w:rFonts w:ascii="Verdana" w:hAnsi="Verdana" w:cs="Arial"/>
          <w:sz w:val="17"/>
          <w:szCs w:val="17"/>
        </w:rPr>
      </w:pPr>
    </w:p>
    <w:p w14:paraId="7A5E7DA6" w14:textId="77777777" w:rsidR="00C82F0D" w:rsidRPr="001A4C61" w:rsidRDefault="00C82F0D" w:rsidP="0078680F">
      <w:pPr>
        <w:jc w:val="both"/>
        <w:rPr>
          <w:rFonts w:ascii="Verdana" w:hAnsi="Verdana" w:cs="Arial"/>
          <w:sz w:val="17"/>
          <w:szCs w:val="17"/>
        </w:rPr>
      </w:pPr>
      <w:r w:rsidRPr="001A4C61">
        <w:rPr>
          <w:noProof/>
        </w:rPr>
        <w:lastRenderedPageBreak/>
        <w:drawing>
          <wp:inline distT="0" distB="0" distL="0" distR="0" wp14:anchorId="16F0F43F" wp14:editId="34D6CEA8">
            <wp:extent cx="5311140" cy="2045970"/>
            <wp:effectExtent l="0" t="0" r="3810" b="0"/>
            <wp:docPr id="197028914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311140" cy="2045970"/>
                    </a:xfrm>
                    <a:prstGeom prst="rect">
                      <a:avLst/>
                    </a:prstGeom>
                    <a:noFill/>
                    <a:ln>
                      <a:noFill/>
                    </a:ln>
                  </pic:spPr>
                </pic:pic>
              </a:graphicData>
            </a:graphic>
          </wp:inline>
        </w:drawing>
      </w:r>
    </w:p>
    <w:p w14:paraId="160747DD" w14:textId="77777777" w:rsidR="00C82F0D" w:rsidRPr="001A4C61" w:rsidRDefault="00C82F0D" w:rsidP="0078680F">
      <w:pPr>
        <w:jc w:val="both"/>
        <w:rPr>
          <w:rFonts w:ascii="Verdana" w:hAnsi="Verdana" w:cs="Arial"/>
          <w:sz w:val="17"/>
          <w:szCs w:val="17"/>
        </w:rPr>
      </w:pPr>
    </w:p>
    <w:p w14:paraId="305C94D2" w14:textId="77777777" w:rsidR="00C82F0D" w:rsidRPr="001A4C61" w:rsidRDefault="00C82F0D" w:rsidP="0078680F">
      <w:pPr>
        <w:jc w:val="both"/>
        <w:rPr>
          <w:rFonts w:ascii="Verdana" w:hAnsi="Verdana" w:cs="Arial"/>
          <w:sz w:val="17"/>
          <w:szCs w:val="17"/>
        </w:rPr>
      </w:pPr>
    </w:p>
    <w:p w14:paraId="6AC60438" w14:textId="77777777" w:rsidR="00C82F0D" w:rsidRPr="001A4C61" w:rsidRDefault="00C82F0D" w:rsidP="0078680F">
      <w:pPr>
        <w:jc w:val="both"/>
        <w:rPr>
          <w:rFonts w:ascii="Verdana" w:hAnsi="Verdana" w:cs="Arial"/>
          <w:sz w:val="17"/>
          <w:szCs w:val="17"/>
        </w:rPr>
      </w:pPr>
      <w:r w:rsidRPr="001A4C61">
        <w:rPr>
          <w:rFonts w:ascii="Verdana" w:hAnsi="Verdana" w:cs="Arial"/>
          <w:sz w:val="17"/>
          <w:szCs w:val="17"/>
        </w:rPr>
        <w:t>No âmbito do preenchimento dos quadros acima, foram utilizados os seguintes pressupostos:</w:t>
      </w:r>
    </w:p>
    <w:p w14:paraId="499CC092" w14:textId="77777777" w:rsidR="00C82F0D" w:rsidRPr="001A4C61" w:rsidRDefault="00C82F0D" w:rsidP="0078680F">
      <w:pPr>
        <w:jc w:val="both"/>
        <w:rPr>
          <w:rFonts w:ascii="Verdana" w:hAnsi="Verdana" w:cs="Arial"/>
          <w:sz w:val="17"/>
          <w:szCs w:val="17"/>
        </w:rPr>
      </w:pPr>
    </w:p>
    <w:p w14:paraId="1D946DFE" w14:textId="77777777" w:rsidR="00C82F0D" w:rsidRPr="001A4C61" w:rsidRDefault="00C82F0D" w:rsidP="00E066DA">
      <w:pPr>
        <w:pStyle w:val="PargrafodaLista"/>
        <w:numPr>
          <w:ilvl w:val="0"/>
          <w:numId w:val="17"/>
        </w:numPr>
        <w:ind w:left="284" w:hanging="284"/>
        <w:jc w:val="both"/>
        <w:rPr>
          <w:rFonts w:ascii="Verdana" w:hAnsi="Verdana" w:cs="Arial"/>
          <w:sz w:val="17"/>
          <w:szCs w:val="17"/>
        </w:rPr>
      </w:pPr>
      <w:r w:rsidRPr="001A4C61">
        <w:rPr>
          <w:rFonts w:ascii="Verdana" w:hAnsi="Verdana" w:cs="Arial"/>
          <w:sz w:val="17"/>
          <w:szCs w:val="17"/>
        </w:rPr>
        <w:t>“Outras contas a receber”: para as operações que se encontram em situação regular, o justo valor foi apurado atendendo aos fluxos de caixa contratuais previstos atualizados de acordo com a taxa de juro da operação acrescida de um spread de risco e para as restantes operações foi considerado o seu valor líquido de imparidade que corresponde à melhor estimativa do valor recuperável por via de execução dos colaterais associados a estas operações;</w:t>
      </w:r>
    </w:p>
    <w:p w14:paraId="624C71A7" w14:textId="77777777" w:rsidR="00C82F0D" w:rsidRPr="001A4C61" w:rsidRDefault="00C82F0D" w:rsidP="00E066DA">
      <w:pPr>
        <w:pStyle w:val="PargrafodaLista"/>
        <w:ind w:left="284" w:hanging="284"/>
        <w:jc w:val="both"/>
        <w:rPr>
          <w:rFonts w:ascii="Verdana" w:hAnsi="Verdana" w:cs="Arial"/>
          <w:sz w:val="17"/>
          <w:szCs w:val="17"/>
        </w:rPr>
      </w:pPr>
    </w:p>
    <w:p w14:paraId="29B0FF57" w14:textId="77777777" w:rsidR="00C82F0D" w:rsidRPr="001A4C61" w:rsidRDefault="00C82F0D" w:rsidP="00E066DA">
      <w:pPr>
        <w:pStyle w:val="PargrafodaLista"/>
        <w:numPr>
          <w:ilvl w:val="0"/>
          <w:numId w:val="17"/>
        </w:numPr>
        <w:ind w:left="284" w:hanging="284"/>
        <w:jc w:val="both"/>
        <w:rPr>
          <w:rFonts w:ascii="Verdana" w:hAnsi="Verdana" w:cs="Arial"/>
          <w:sz w:val="17"/>
          <w:szCs w:val="17"/>
        </w:rPr>
      </w:pPr>
      <w:r w:rsidRPr="001A4C61">
        <w:rPr>
          <w:rFonts w:ascii="Verdana" w:hAnsi="Verdana" w:cs="Arial"/>
          <w:sz w:val="17"/>
          <w:szCs w:val="17"/>
        </w:rPr>
        <w:t xml:space="preserve">“Adiantamento a fornecedores”: face à informação disponível sobre os créditos geridos pelo </w:t>
      </w:r>
      <w:r>
        <w:rPr>
          <w:rFonts w:ascii="Verdana" w:hAnsi="Verdana" w:cs="Arial"/>
          <w:sz w:val="17"/>
          <w:szCs w:val="17"/>
        </w:rPr>
        <w:t xml:space="preserve">Banco Abanca (antigo </w:t>
      </w:r>
      <w:r w:rsidRPr="001A4C61">
        <w:rPr>
          <w:rFonts w:ascii="Verdana" w:hAnsi="Verdana" w:cs="Arial"/>
          <w:sz w:val="17"/>
          <w:szCs w:val="17"/>
        </w:rPr>
        <w:t>Banco BIC Português, S.A.</w:t>
      </w:r>
      <w:r>
        <w:rPr>
          <w:rFonts w:ascii="Verdana" w:hAnsi="Verdana" w:cs="Arial"/>
          <w:sz w:val="17"/>
          <w:szCs w:val="17"/>
        </w:rPr>
        <w:t>)</w:t>
      </w:r>
      <w:r w:rsidRPr="001A4C61">
        <w:rPr>
          <w:rFonts w:ascii="Verdana" w:hAnsi="Verdana" w:cs="Arial"/>
          <w:sz w:val="17"/>
          <w:szCs w:val="17"/>
        </w:rPr>
        <w:t>, a Sociedade considerou o valor contabilístico como o seu justo valor;</w:t>
      </w:r>
    </w:p>
    <w:p w14:paraId="0640871F" w14:textId="77777777" w:rsidR="00C82F0D" w:rsidRPr="001A4C61" w:rsidRDefault="00C82F0D" w:rsidP="00E066DA">
      <w:pPr>
        <w:pStyle w:val="PargrafodaLista"/>
        <w:ind w:left="284" w:hanging="284"/>
        <w:rPr>
          <w:rFonts w:ascii="Verdana" w:hAnsi="Verdana" w:cs="Arial"/>
          <w:sz w:val="17"/>
          <w:szCs w:val="17"/>
        </w:rPr>
      </w:pPr>
    </w:p>
    <w:p w14:paraId="748C73EB" w14:textId="77777777" w:rsidR="00C82F0D" w:rsidRPr="001A4C61" w:rsidRDefault="00C82F0D" w:rsidP="00E066DA">
      <w:pPr>
        <w:pStyle w:val="PargrafodaLista"/>
        <w:numPr>
          <w:ilvl w:val="0"/>
          <w:numId w:val="17"/>
        </w:numPr>
        <w:ind w:left="284" w:hanging="284"/>
        <w:jc w:val="both"/>
        <w:rPr>
          <w:rFonts w:ascii="Verdana" w:hAnsi="Verdana" w:cs="Arial"/>
          <w:sz w:val="17"/>
          <w:szCs w:val="17"/>
        </w:rPr>
      </w:pPr>
      <w:r w:rsidRPr="001A4C61">
        <w:rPr>
          <w:rFonts w:ascii="Verdana" w:hAnsi="Verdana" w:cs="Arial"/>
          <w:sz w:val="17"/>
          <w:szCs w:val="17"/>
        </w:rPr>
        <w:t>“Caixa e equivalentes de caixa”: dado tratar-se de aplicações à vista, a Sociedade considera que o valor contabilístico é uma aproximação razoável do seu justo valor;</w:t>
      </w:r>
    </w:p>
    <w:p w14:paraId="4B47FF66" w14:textId="77777777" w:rsidR="00C82F0D" w:rsidRPr="001A4C61" w:rsidRDefault="00C82F0D" w:rsidP="00E066DA">
      <w:pPr>
        <w:pStyle w:val="PargrafodaLista"/>
        <w:ind w:left="284" w:hanging="284"/>
        <w:rPr>
          <w:rFonts w:ascii="Verdana" w:hAnsi="Verdana" w:cs="Arial"/>
          <w:sz w:val="17"/>
          <w:szCs w:val="17"/>
        </w:rPr>
      </w:pPr>
    </w:p>
    <w:p w14:paraId="241DBDCE" w14:textId="77777777" w:rsidR="00C82F0D" w:rsidRPr="001A4C61" w:rsidRDefault="00C82F0D" w:rsidP="00E066DA">
      <w:pPr>
        <w:pStyle w:val="PargrafodaLista"/>
        <w:numPr>
          <w:ilvl w:val="0"/>
          <w:numId w:val="17"/>
        </w:numPr>
        <w:ind w:left="284" w:hanging="284"/>
        <w:jc w:val="both"/>
        <w:rPr>
          <w:rFonts w:ascii="Verdana" w:hAnsi="Verdana" w:cs="Arial"/>
          <w:sz w:val="17"/>
          <w:szCs w:val="17"/>
        </w:rPr>
      </w:pPr>
      <w:r w:rsidRPr="001A4C61">
        <w:rPr>
          <w:rFonts w:ascii="Verdana" w:hAnsi="Verdana" w:cs="Arial"/>
          <w:sz w:val="17"/>
          <w:szCs w:val="17"/>
        </w:rPr>
        <w:t>“Outros financiamentos”: considerando as condições que se aplicam presentemente às operações de financiamento concedidas pela ETF, o cálculo do justo valor destes empréstimos em 2025</w:t>
      </w:r>
      <w:r>
        <w:rPr>
          <w:rFonts w:ascii="Verdana" w:hAnsi="Verdana" w:cs="Arial"/>
          <w:sz w:val="17"/>
          <w:szCs w:val="17"/>
        </w:rPr>
        <w:t xml:space="preserve"> </w:t>
      </w:r>
      <w:r w:rsidRPr="001A4C61">
        <w:rPr>
          <w:rFonts w:ascii="Verdana" w:hAnsi="Verdana" w:cs="Arial"/>
          <w:sz w:val="17"/>
          <w:szCs w:val="17"/>
        </w:rPr>
        <w:t>e 2024 foi efetuado considerando a taxa que teria sido aplicada à Parvalorem, caso tivessem sido concedidos novos empréstimos, no final de 2025 e 2024, respetivamente.</w:t>
      </w:r>
    </w:p>
    <w:p w14:paraId="240741D5" w14:textId="77777777" w:rsidR="00C82F0D" w:rsidRPr="001A4C61" w:rsidRDefault="00C82F0D" w:rsidP="0078680F">
      <w:pPr>
        <w:jc w:val="both"/>
        <w:rPr>
          <w:rFonts w:ascii="Verdana" w:hAnsi="Verdana" w:cs="Arial"/>
          <w:sz w:val="17"/>
          <w:szCs w:val="17"/>
        </w:rPr>
      </w:pPr>
    </w:p>
    <w:p w14:paraId="4575527C" w14:textId="77777777" w:rsidR="00C82F0D" w:rsidRPr="001A4C61" w:rsidRDefault="00C82F0D" w:rsidP="0078680F">
      <w:pPr>
        <w:jc w:val="both"/>
        <w:rPr>
          <w:rFonts w:ascii="Verdana" w:hAnsi="Verdana" w:cs="Arial"/>
          <w:sz w:val="17"/>
          <w:szCs w:val="17"/>
        </w:rPr>
      </w:pPr>
      <w:r w:rsidRPr="001A4C61">
        <w:rPr>
          <w:rFonts w:ascii="Verdana" w:hAnsi="Verdana" w:cs="Arial"/>
          <w:sz w:val="17"/>
          <w:szCs w:val="17"/>
        </w:rPr>
        <w:t xml:space="preserve">Em 31 de dezembro de 2025 e 2024, a forma de apuramento do justo valor dos instrumentos financeiros, valorizados ao justo valor, pode ser resumida como se segue: </w:t>
      </w:r>
    </w:p>
    <w:p w14:paraId="40EA2B2D" w14:textId="77777777" w:rsidR="00C82F0D" w:rsidRPr="001A4C61" w:rsidRDefault="00C82F0D" w:rsidP="0078680F">
      <w:pPr>
        <w:jc w:val="both"/>
        <w:rPr>
          <w:rFonts w:ascii="Verdana" w:hAnsi="Verdana" w:cs="Arial"/>
          <w:sz w:val="17"/>
          <w:szCs w:val="17"/>
        </w:rPr>
      </w:pPr>
    </w:p>
    <w:p w14:paraId="728725CD" w14:textId="77777777" w:rsidR="00C82F0D" w:rsidRPr="001A4C61" w:rsidRDefault="00C82F0D" w:rsidP="0078680F">
      <w:pPr>
        <w:jc w:val="both"/>
        <w:rPr>
          <w:rFonts w:ascii="Verdana" w:hAnsi="Verdana" w:cs="Arial"/>
          <w:sz w:val="17"/>
          <w:szCs w:val="17"/>
        </w:rPr>
      </w:pPr>
      <w:r w:rsidRPr="00372F2C">
        <w:rPr>
          <w:noProof/>
        </w:rPr>
        <w:drawing>
          <wp:inline distT="0" distB="0" distL="0" distR="0" wp14:anchorId="2FC2DE98" wp14:editId="61E245B5">
            <wp:extent cx="5311140" cy="2700020"/>
            <wp:effectExtent l="0" t="0" r="3810" b="5080"/>
            <wp:docPr id="266835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11140" cy="2700020"/>
                    </a:xfrm>
                    <a:prstGeom prst="rect">
                      <a:avLst/>
                    </a:prstGeom>
                    <a:noFill/>
                    <a:ln>
                      <a:noFill/>
                    </a:ln>
                  </pic:spPr>
                </pic:pic>
              </a:graphicData>
            </a:graphic>
          </wp:inline>
        </w:drawing>
      </w:r>
    </w:p>
    <w:p w14:paraId="45C21C1D" w14:textId="77777777" w:rsidR="00C82F0D" w:rsidRPr="00BC4C83" w:rsidRDefault="00C82F0D" w:rsidP="0078680F">
      <w:pPr>
        <w:jc w:val="both"/>
        <w:rPr>
          <w:rFonts w:ascii="Verdana" w:hAnsi="Verdana" w:cs="Arial"/>
          <w:sz w:val="17"/>
          <w:szCs w:val="17"/>
          <w:highlight w:val="yellow"/>
        </w:rPr>
      </w:pPr>
    </w:p>
    <w:p w14:paraId="42BD5B14" w14:textId="77777777" w:rsidR="00C82F0D" w:rsidRPr="00BC4C83" w:rsidRDefault="00C82F0D" w:rsidP="0078680F">
      <w:pPr>
        <w:jc w:val="both"/>
        <w:rPr>
          <w:rFonts w:ascii="Verdana" w:hAnsi="Verdana" w:cs="Arial"/>
          <w:sz w:val="17"/>
          <w:szCs w:val="17"/>
          <w:highlight w:val="yellow"/>
        </w:rPr>
      </w:pPr>
    </w:p>
    <w:p w14:paraId="755BE03C" w14:textId="77777777" w:rsidR="00C82F0D" w:rsidRPr="001A4C61" w:rsidRDefault="00C82F0D" w:rsidP="0078680F">
      <w:pPr>
        <w:jc w:val="both"/>
        <w:rPr>
          <w:rFonts w:ascii="Verdana" w:hAnsi="Verdana" w:cs="Arial"/>
          <w:sz w:val="17"/>
          <w:szCs w:val="17"/>
        </w:rPr>
      </w:pPr>
      <w:r w:rsidRPr="001A4C61">
        <w:rPr>
          <w:rFonts w:ascii="Verdana" w:hAnsi="Verdana" w:cs="Arial"/>
          <w:sz w:val="17"/>
          <w:szCs w:val="17"/>
        </w:rPr>
        <w:t>Para efeitos de apresentação nesta Nota, os instrumentos financeiros são classificados de acordo com a seguinte hierarquia, conforme previsto na norma IFRS 13:</w:t>
      </w:r>
    </w:p>
    <w:p w14:paraId="60B6530F" w14:textId="77777777" w:rsidR="00C82F0D" w:rsidRPr="001A4C61" w:rsidRDefault="00C82F0D" w:rsidP="0078680F">
      <w:pPr>
        <w:jc w:val="both"/>
        <w:rPr>
          <w:rFonts w:ascii="Verdana" w:hAnsi="Verdana" w:cs="Arial"/>
          <w:sz w:val="17"/>
          <w:szCs w:val="17"/>
        </w:rPr>
      </w:pPr>
    </w:p>
    <w:p w14:paraId="4D9D4AA1" w14:textId="77777777" w:rsidR="00C82F0D" w:rsidRPr="001A4C61" w:rsidRDefault="00C82F0D" w:rsidP="00E066DA">
      <w:pPr>
        <w:pStyle w:val="PargrafodaLista"/>
        <w:numPr>
          <w:ilvl w:val="0"/>
          <w:numId w:val="18"/>
        </w:numPr>
        <w:ind w:left="426"/>
        <w:jc w:val="both"/>
        <w:rPr>
          <w:rFonts w:ascii="Verdana" w:hAnsi="Verdana" w:cs="Arial"/>
          <w:sz w:val="17"/>
          <w:szCs w:val="17"/>
        </w:rPr>
      </w:pPr>
      <w:r w:rsidRPr="001A4C61">
        <w:rPr>
          <w:rFonts w:ascii="Verdana" w:hAnsi="Verdana" w:cs="Arial"/>
          <w:sz w:val="17"/>
          <w:szCs w:val="17"/>
        </w:rPr>
        <w:t>Nível 1 – Cotações em mercado ativo</w:t>
      </w:r>
    </w:p>
    <w:p w14:paraId="2644D6B6" w14:textId="77777777" w:rsidR="00C82F0D" w:rsidRPr="001A4C61" w:rsidRDefault="00C82F0D" w:rsidP="00E066DA">
      <w:pPr>
        <w:pStyle w:val="PargrafodaLista"/>
        <w:ind w:left="426"/>
        <w:jc w:val="both"/>
        <w:rPr>
          <w:rFonts w:ascii="Verdana" w:hAnsi="Verdana" w:cs="Arial"/>
          <w:sz w:val="17"/>
          <w:szCs w:val="17"/>
        </w:rPr>
      </w:pPr>
    </w:p>
    <w:p w14:paraId="39EDBDE3" w14:textId="77777777" w:rsidR="00C82F0D" w:rsidRPr="001A4C61" w:rsidRDefault="00C82F0D" w:rsidP="00E066DA">
      <w:pPr>
        <w:pStyle w:val="PargrafodaLista"/>
        <w:ind w:left="426"/>
        <w:jc w:val="both"/>
        <w:rPr>
          <w:rFonts w:ascii="Verdana" w:hAnsi="Verdana" w:cs="Arial"/>
          <w:sz w:val="17"/>
          <w:szCs w:val="17"/>
        </w:rPr>
      </w:pPr>
      <w:r w:rsidRPr="001A4C61">
        <w:rPr>
          <w:rFonts w:ascii="Verdana" w:hAnsi="Verdana" w:cs="Arial"/>
          <w:sz w:val="17"/>
          <w:szCs w:val="17"/>
        </w:rPr>
        <w:t xml:space="preserve">Esta categoria inclui instrumentos financeiros cotados em Bolsas de Valores.  </w:t>
      </w:r>
    </w:p>
    <w:p w14:paraId="709A8906" w14:textId="77777777" w:rsidR="00C82F0D" w:rsidRPr="001A4C61" w:rsidRDefault="00C82F0D" w:rsidP="00E066DA">
      <w:pPr>
        <w:pStyle w:val="PargrafodaLista"/>
        <w:ind w:left="426"/>
        <w:jc w:val="both"/>
        <w:rPr>
          <w:rFonts w:ascii="Verdana" w:hAnsi="Verdana" w:cs="Arial"/>
          <w:sz w:val="17"/>
          <w:szCs w:val="17"/>
        </w:rPr>
      </w:pPr>
    </w:p>
    <w:p w14:paraId="7387AA08" w14:textId="77777777" w:rsidR="00C82F0D" w:rsidRPr="001A4C61" w:rsidRDefault="00C82F0D" w:rsidP="00E066DA">
      <w:pPr>
        <w:pStyle w:val="PargrafodaLista"/>
        <w:numPr>
          <w:ilvl w:val="0"/>
          <w:numId w:val="18"/>
        </w:numPr>
        <w:ind w:left="426"/>
        <w:jc w:val="both"/>
        <w:rPr>
          <w:rFonts w:ascii="Verdana" w:hAnsi="Verdana" w:cs="Arial"/>
          <w:sz w:val="17"/>
          <w:szCs w:val="17"/>
        </w:rPr>
      </w:pPr>
      <w:r w:rsidRPr="001A4C61">
        <w:rPr>
          <w:rFonts w:ascii="Verdana" w:hAnsi="Verdana" w:cs="Arial"/>
          <w:sz w:val="17"/>
          <w:szCs w:val="17"/>
        </w:rPr>
        <w:t>Nível 2 – Técnicas de valorização baseadas em dados de mercado</w:t>
      </w:r>
    </w:p>
    <w:p w14:paraId="3692E2AD" w14:textId="77777777" w:rsidR="00C82F0D" w:rsidRPr="001A4C61" w:rsidRDefault="00C82F0D" w:rsidP="00E066DA">
      <w:pPr>
        <w:pStyle w:val="PargrafodaLista"/>
        <w:ind w:left="426"/>
        <w:jc w:val="both"/>
        <w:rPr>
          <w:rFonts w:ascii="Verdana" w:hAnsi="Verdana" w:cs="Arial"/>
          <w:sz w:val="17"/>
          <w:szCs w:val="17"/>
        </w:rPr>
      </w:pPr>
    </w:p>
    <w:p w14:paraId="3C0EE4BC" w14:textId="77777777" w:rsidR="00C82F0D" w:rsidRPr="001A4C61" w:rsidRDefault="00C82F0D" w:rsidP="00E066DA">
      <w:pPr>
        <w:pStyle w:val="PargrafodaLista"/>
        <w:ind w:left="426"/>
        <w:jc w:val="both"/>
        <w:rPr>
          <w:rFonts w:ascii="Verdana" w:hAnsi="Verdana" w:cs="Arial"/>
          <w:sz w:val="17"/>
          <w:szCs w:val="17"/>
        </w:rPr>
      </w:pPr>
      <w:r w:rsidRPr="001A4C61">
        <w:rPr>
          <w:rFonts w:ascii="Verdana" w:hAnsi="Verdana" w:cs="Arial"/>
          <w:sz w:val="17"/>
          <w:szCs w:val="17"/>
        </w:rPr>
        <w:t>Neste nível são considerados os instrumentos financeiros valorizados por recurso a técnicas de valorização baseadas em dados de mercado para instrumentos com características idênticas ou similares aos instrumentos financeiros detidos pela Sociedade ou em modelos internos que utilizam maioritariamente dados observáveis no mercado (como por exemplo curvas de taxas de juro ou taxas de câmbio). Este nível inclui ainda os instrumentos financeiros valorizados por recurso a preços de compra de terceiros (</w:t>
      </w:r>
      <w:proofErr w:type="spellStart"/>
      <w:r w:rsidRPr="001A4C61">
        <w:rPr>
          <w:rFonts w:ascii="Verdana" w:hAnsi="Verdana" w:cs="Arial"/>
          <w:i/>
          <w:sz w:val="17"/>
          <w:szCs w:val="17"/>
        </w:rPr>
        <w:t>bids</w:t>
      </w:r>
      <w:proofErr w:type="spellEnd"/>
      <w:r w:rsidRPr="001A4C61">
        <w:rPr>
          <w:rFonts w:ascii="Verdana" w:hAnsi="Verdana" w:cs="Arial"/>
          <w:sz w:val="17"/>
          <w:szCs w:val="17"/>
        </w:rPr>
        <w:t xml:space="preserve"> indicativos), baseados em dados observáveis no mercado.</w:t>
      </w:r>
    </w:p>
    <w:p w14:paraId="2269CAA1" w14:textId="77777777" w:rsidR="00C82F0D" w:rsidRPr="001A4C61" w:rsidRDefault="00C82F0D" w:rsidP="00E066DA">
      <w:pPr>
        <w:pStyle w:val="PargrafodaLista"/>
        <w:ind w:left="426"/>
        <w:jc w:val="both"/>
        <w:rPr>
          <w:rFonts w:ascii="Verdana" w:hAnsi="Verdana" w:cs="Arial"/>
          <w:sz w:val="17"/>
          <w:szCs w:val="17"/>
        </w:rPr>
      </w:pPr>
    </w:p>
    <w:p w14:paraId="4F8F3D28" w14:textId="77777777" w:rsidR="00C82F0D" w:rsidRPr="001A4C61" w:rsidRDefault="00C82F0D" w:rsidP="00E066DA">
      <w:pPr>
        <w:pStyle w:val="PargrafodaLista"/>
        <w:numPr>
          <w:ilvl w:val="0"/>
          <w:numId w:val="18"/>
        </w:numPr>
        <w:ind w:left="426"/>
        <w:jc w:val="both"/>
        <w:rPr>
          <w:rFonts w:ascii="Verdana" w:hAnsi="Verdana" w:cs="Arial"/>
          <w:sz w:val="17"/>
          <w:szCs w:val="17"/>
        </w:rPr>
      </w:pPr>
      <w:r w:rsidRPr="001A4C61">
        <w:rPr>
          <w:rFonts w:ascii="Verdana" w:hAnsi="Verdana" w:cs="Arial"/>
          <w:sz w:val="17"/>
          <w:szCs w:val="17"/>
        </w:rPr>
        <w:t xml:space="preserve">Nível 3 – Técnicas de valorização utilizando principalmente </w:t>
      </w:r>
      <w:r w:rsidRPr="001A4C61">
        <w:rPr>
          <w:rFonts w:ascii="Verdana" w:hAnsi="Verdana" w:cs="Arial"/>
          <w:i/>
          <w:sz w:val="17"/>
          <w:szCs w:val="17"/>
        </w:rPr>
        <w:t>inputs</w:t>
      </w:r>
      <w:r w:rsidRPr="001A4C61">
        <w:rPr>
          <w:rFonts w:ascii="Verdana" w:hAnsi="Verdana" w:cs="Arial"/>
          <w:sz w:val="17"/>
          <w:szCs w:val="17"/>
        </w:rPr>
        <w:t xml:space="preserve"> não baseados em dados observáveis em mercado. </w:t>
      </w:r>
    </w:p>
    <w:p w14:paraId="452A09FD" w14:textId="77777777" w:rsidR="00C82F0D" w:rsidRPr="001A4C61" w:rsidRDefault="00C82F0D" w:rsidP="0078680F">
      <w:pPr>
        <w:pStyle w:val="PargrafodaLista"/>
        <w:ind w:left="0"/>
        <w:jc w:val="both"/>
        <w:rPr>
          <w:rFonts w:ascii="Verdana" w:hAnsi="Verdana" w:cs="Arial"/>
          <w:sz w:val="17"/>
          <w:szCs w:val="17"/>
        </w:rPr>
      </w:pPr>
    </w:p>
    <w:p w14:paraId="78CDFC4F" w14:textId="77777777" w:rsidR="00C82F0D" w:rsidRPr="001A4C61" w:rsidRDefault="00C82F0D" w:rsidP="0078680F">
      <w:pPr>
        <w:pStyle w:val="PargrafodaLista"/>
        <w:ind w:left="0"/>
        <w:jc w:val="both"/>
        <w:rPr>
          <w:rFonts w:ascii="Verdana" w:hAnsi="Verdana" w:cs="Arial"/>
          <w:sz w:val="17"/>
          <w:szCs w:val="17"/>
        </w:rPr>
      </w:pPr>
      <w:r w:rsidRPr="001A4C61">
        <w:rPr>
          <w:rFonts w:ascii="Verdana" w:hAnsi="Verdana" w:cs="Arial"/>
          <w:sz w:val="17"/>
          <w:szCs w:val="17"/>
        </w:rPr>
        <w:t xml:space="preserve">Os ativos e passivos financeiros são classificados no nível 3 caso se entenda que uma proporção significativa do seu valor de balanço resulta de </w:t>
      </w:r>
      <w:r w:rsidRPr="001A4C61">
        <w:rPr>
          <w:rFonts w:ascii="Verdana" w:hAnsi="Verdana" w:cs="Arial"/>
          <w:i/>
          <w:sz w:val="17"/>
          <w:szCs w:val="17"/>
        </w:rPr>
        <w:t>inputs</w:t>
      </w:r>
      <w:r w:rsidRPr="001A4C61">
        <w:rPr>
          <w:rFonts w:ascii="Verdana" w:hAnsi="Verdana" w:cs="Arial"/>
          <w:sz w:val="17"/>
          <w:szCs w:val="17"/>
        </w:rPr>
        <w:t xml:space="preserve"> não observáveis em mercado, nomeadamente: (i) obrigações e instrumentos financeiros derivados que são valorizados com recurso a modelos internos, não existindo no mercado um consenso geralmente aceite sobre os parâmetros a utilizar; (</w:t>
      </w:r>
      <w:proofErr w:type="spellStart"/>
      <w:r w:rsidRPr="001A4C61">
        <w:rPr>
          <w:rFonts w:ascii="Verdana" w:hAnsi="Verdana" w:cs="Arial"/>
          <w:sz w:val="17"/>
          <w:szCs w:val="17"/>
        </w:rPr>
        <w:t>ii</w:t>
      </w:r>
      <w:proofErr w:type="spellEnd"/>
      <w:r w:rsidRPr="001A4C61">
        <w:rPr>
          <w:rFonts w:ascii="Verdana" w:hAnsi="Verdana" w:cs="Arial"/>
          <w:sz w:val="17"/>
          <w:szCs w:val="17"/>
        </w:rPr>
        <w:t xml:space="preserve">) obrigações valorizadas através de </w:t>
      </w:r>
      <w:proofErr w:type="spellStart"/>
      <w:r w:rsidRPr="001A4C61">
        <w:rPr>
          <w:rFonts w:ascii="Verdana" w:hAnsi="Verdana" w:cs="Arial"/>
          <w:i/>
          <w:sz w:val="17"/>
          <w:szCs w:val="17"/>
        </w:rPr>
        <w:t>bids</w:t>
      </w:r>
      <w:proofErr w:type="spellEnd"/>
      <w:r w:rsidRPr="001A4C61">
        <w:rPr>
          <w:rFonts w:ascii="Verdana" w:hAnsi="Verdana" w:cs="Arial"/>
          <w:sz w:val="17"/>
          <w:szCs w:val="17"/>
        </w:rPr>
        <w:t xml:space="preserve"> indicativos divulgados por terceiros, baseados em modelos teóricos; e (</w:t>
      </w:r>
      <w:proofErr w:type="spellStart"/>
      <w:r w:rsidRPr="001A4C61">
        <w:rPr>
          <w:rFonts w:ascii="Verdana" w:hAnsi="Verdana" w:cs="Arial"/>
          <w:sz w:val="17"/>
          <w:szCs w:val="17"/>
        </w:rPr>
        <w:t>iii</w:t>
      </w:r>
      <w:proofErr w:type="spellEnd"/>
      <w:r w:rsidRPr="001A4C61">
        <w:rPr>
          <w:rFonts w:ascii="Verdana" w:hAnsi="Verdana" w:cs="Arial"/>
          <w:sz w:val="17"/>
          <w:szCs w:val="17"/>
        </w:rPr>
        <w:t>) fundos de investimento imobiliário fechados e/ou com reduzida liquidez.</w:t>
      </w:r>
    </w:p>
    <w:p w14:paraId="115554E5" w14:textId="77777777" w:rsidR="00C82F0D" w:rsidRPr="001A4C61" w:rsidRDefault="00C82F0D" w:rsidP="0078680F">
      <w:pPr>
        <w:jc w:val="both"/>
        <w:rPr>
          <w:rFonts w:ascii="Verdana" w:hAnsi="Verdana" w:cs="Arial"/>
          <w:sz w:val="17"/>
          <w:szCs w:val="17"/>
        </w:rPr>
      </w:pPr>
    </w:p>
    <w:p w14:paraId="11A681C7" w14:textId="77777777" w:rsidR="00C82F0D" w:rsidRPr="001A4C61" w:rsidRDefault="00C82F0D" w:rsidP="0078680F">
      <w:pPr>
        <w:jc w:val="both"/>
        <w:rPr>
          <w:rFonts w:ascii="Verdana" w:hAnsi="Verdana" w:cs="Arial"/>
          <w:sz w:val="17"/>
          <w:szCs w:val="17"/>
        </w:rPr>
      </w:pPr>
      <w:r w:rsidRPr="001A4C61">
        <w:rPr>
          <w:rFonts w:ascii="Verdana" w:hAnsi="Verdana" w:cs="Arial"/>
          <w:sz w:val="17"/>
          <w:szCs w:val="17"/>
        </w:rPr>
        <w:t xml:space="preserve">Para os instrumentos financeiros registados no balanço ao justo valor, o movimento ocorrido entre 31 de dezembro de 2025 e 31 de dezembro de 2024 nos ativos financeiros classificados no Nível 3 apresenta o seguinte detalhe: </w:t>
      </w:r>
    </w:p>
    <w:p w14:paraId="3BCD65B1" w14:textId="77777777" w:rsidR="00C82F0D" w:rsidRDefault="00C82F0D" w:rsidP="0078680F">
      <w:pPr>
        <w:jc w:val="both"/>
        <w:rPr>
          <w:rFonts w:ascii="Verdana" w:hAnsi="Verdana" w:cs="Arial"/>
          <w:sz w:val="17"/>
          <w:szCs w:val="17"/>
        </w:rPr>
      </w:pPr>
    </w:p>
    <w:p w14:paraId="51C30C32" w14:textId="77777777" w:rsidR="00C82F0D" w:rsidRPr="001A4C61" w:rsidRDefault="00C82F0D" w:rsidP="0078680F">
      <w:pPr>
        <w:jc w:val="both"/>
        <w:rPr>
          <w:rFonts w:ascii="Verdana" w:hAnsi="Verdana" w:cs="Arial"/>
          <w:sz w:val="17"/>
          <w:szCs w:val="17"/>
        </w:rPr>
      </w:pPr>
    </w:p>
    <w:p w14:paraId="42B7AC49" w14:textId="77777777" w:rsidR="00C82F0D" w:rsidRPr="001A4C61" w:rsidRDefault="00C82F0D" w:rsidP="0078680F">
      <w:pPr>
        <w:jc w:val="both"/>
        <w:rPr>
          <w:rFonts w:ascii="Verdana" w:hAnsi="Verdana" w:cs="Arial"/>
          <w:sz w:val="17"/>
          <w:szCs w:val="17"/>
        </w:rPr>
      </w:pPr>
      <w:r w:rsidRPr="005D54E9">
        <w:rPr>
          <w:noProof/>
        </w:rPr>
        <w:drawing>
          <wp:inline distT="0" distB="0" distL="0" distR="0" wp14:anchorId="40991E73" wp14:editId="4D31F89E">
            <wp:extent cx="5311140" cy="1506220"/>
            <wp:effectExtent l="0" t="0" r="3810" b="0"/>
            <wp:docPr id="17206329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311140" cy="1506220"/>
                    </a:xfrm>
                    <a:prstGeom prst="rect">
                      <a:avLst/>
                    </a:prstGeom>
                    <a:noFill/>
                    <a:ln>
                      <a:noFill/>
                    </a:ln>
                  </pic:spPr>
                </pic:pic>
              </a:graphicData>
            </a:graphic>
          </wp:inline>
        </w:drawing>
      </w:r>
    </w:p>
    <w:p w14:paraId="1B59495C" w14:textId="77777777" w:rsidR="00C82F0D" w:rsidRPr="001A4C61" w:rsidRDefault="00C82F0D" w:rsidP="0078680F">
      <w:pPr>
        <w:jc w:val="both"/>
        <w:rPr>
          <w:rFonts w:ascii="Verdana" w:hAnsi="Verdana" w:cs="Arial"/>
          <w:sz w:val="17"/>
          <w:szCs w:val="17"/>
        </w:rPr>
      </w:pPr>
    </w:p>
    <w:p w14:paraId="4B6003EC" w14:textId="77777777" w:rsidR="00C82F0D" w:rsidRPr="001A4C61" w:rsidRDefault="00C82F0D" w:rsidP="0078680F">
      <w:pPr>
        <w:jc w:val="both"/>
        <w:rPr>
          <w:rFonts w:ascii="Verdana" w:hAnsi="Verdana" w:cs="Arial"/>
          <w:sz w:val="17"/>
          <w:szCs w:val="17"/>
        </w:rPr>
      </w:pPr>
      <w:r w:rsidRPr="001A4C61">
        <w:rPr>
          <w:noProof/>
        </w:rPr>
        <w:drawing>
          <wp:inline distT="0" distB="0" distL="0" distR="0" wp14:anchorId="111BB33F" wp14:editId="6EB8364D">
            <wp:extent cx="5311140" cy="1506855"/>
            <wp:effectExtent l="0" t="0" r="3810" b="0"/>
            <wp:docPr id="11486003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311140" cy="1506855"/>
                    </a:xfrm>
                    <a:prstGeom prst="rect">
                      <a:avLst/>
                    </a:prstGeom>
                    <a:noFill/>
                    <a:ln>
                      <a:noFill/>
                    </a:ln>
                  </pic:spPr>
                </pic:pic>
              </a:graphicData>
            </a:graphic>
          </wp:inline>
        </w:drawing>
      </w:r>
    </w:p>
    <w:p w14:paraId="3D8342BC" w14:textId="77777777" w:rsidR="00C82F0D" w:rsidRPr="001A4C61" w:rsidRDefault="00C82F0D" w:rsidP="0078680F">
      <w:pPr>
        <w:jc w:val="both"/>
        <w:rPr>
          <w:rFonts w:ascii="Verdana" w:hAnsi="Verdana" w:cs="Arial"/>
          <w:sz w:val="17"/>
          <w:szCs w:val="17"/>
        </w:rPr>
      </w:pPr>
    </w:p>
    <w:p w14:paraId="6FA40381" w14:textId="77777777" w:rsidR="00C82F0D" w:rsidRPr="00107B4D" w:rsidRDefault="00C82F0D" w:rsidP="0078680F">
      <w:pPr>
        <w:jc w:val="both"/>
        <w:rPr>
          <w:rFonts w:ascii="Verdana" w:hAnsi="Verdana" w:cs="Arial"/>
          <w:sz w:val="17"/>
          <w:szCs w:val="17"/>
        </w:rPr>
      </w:pPr>
    </w:p>
    <w:p w14:paraId="02276A92" w14:textId="77777777" w:rsidR="00C82F0D" w:rsidRPr="00107B4D" w:rsidRDefault="00C82F0D" w:rsidP="0078680F">
      <w:pPr>
        <w:rPr>
          <w:rFonts w:ascii="Verdana" w:hAnsi="Verdana" w:cs="Arial"/>
          <w:sz w:val="17"/>
          <w:szCs w:val="17"/>
        </w:rPr>
      </w:pPr>
    </w:p>
    <w:p w14:paraId="3D301C82" w14:textId="77777777" w:rsidR="00C82F0D" w:rsidRPr="00107B4D" w:rsidRDefault="00C82F0D" w:rsidP="0078680F">
      <w:pPr>
        <w:pStyle w:val="Ttulo1"/>
        <w:keepNext w:val="0"/>
        <w:keepLines w:val="0"/>
        <w:numPr>
          <w:ilvl w:val="0"/>
          <w:numId w:val="3"/>
        </w:numPr>
        <w:tabs>
          <w:tab w:val="left" w:pos="426"/>
        </w:tabs>
        <w:spacing w:before="0"/>
        <w:ind w:left="0" w:right="-22"/>
        <w:jc w:val="both"/>
        <w:rPr>
          <w:rFonts w:ascii="Verdana" w:eastAsia="Times New Roman" w:hAnsi="Verdana" w:cs="Arial"/>
          <w:b w:val="0"/>
          <w:bCs w:val="0"/>
          <w:color w:val="auto"/>
          <w:sz w:val="17"/>
          <w:szCs w:val="17"/>
          <w:u w:val="single"/>
          <w:lang w:eastAsia="en-US"/>
        </w:rPr>
      </w:pPr>
      <w:r w:rsidRPr="00107B4D">
        <w:rPr>
          <w:rFonts w:ascii="Verdana" w:eastAsia="Times New Roman" w:hAnsi="Verdana" w:cs="Arial"/>
          <w:b w:val="0"/>
          <w:bCs w:val="0"/>
          <w:color w:val="auto"/>
          <w:sz w:val="17"/>
          <w:szCs w:val="17"/>
          <w:u w:val="single"/>
          <w:lang w:eastAsia="en-US"/>
        </w:rPr>
        <w:t>OUTRAS INFORMAÇÕES</w:t>
      </w:r>
    </w:p>
    <w:p w14:paraId="79C28D47" w14:textId="77777777" w:rsidR="00C82F0D" w:rsidRPr="00107B4D" w:rsidRDefault="00C82F0D" w:rsidP="0078680F">
      <w:pPr>
        <w:jc w:val="both"/>
        <w:rPr>
          <w:lang w:eastAsia="en-US"/>
        </w:rPr>
      </w:pPr>
    </w:p>
    <w:p w14:paraId="37B2DCC5" w14:textId="77777777" w:rsidR="00C82F0D" w:rsidRPr="00107B4D" w:rsidRDefault="00C82F0D" w:rsidP="0078680F">
      <w:pPr>
        <w:jc w:val="both"/>
        <w:rPr>
          <w:rFonts w:ascii="Verdana" w:hAnsi="Verdana" w:cs="Arial"/>
          <w:sz w:val="17"/>
          <w:szCs w:val="17"/>
        </w:rPr>
      </w:pPr>
      <w:r w:rsidRPr="00107B4D">
        <w:rPr>
          <w:rFonts w:ascii="Verdana" w:hAnsi="Verdana" w:cs="Arial"/>
          <w:sz w:val="17"/>
          <w:szCs w:val="17"/>
        </w:rPr>
        <w:t>Para efeito do disposto no artigo 21.º do Decreto-Lei 411/91 de 17 de outubro e do Decreto-Lei n.º 543/80, de 7 de novembro, informamos que não existem quaisquer dívidas vencidas a favor da Segurança Social e do Sector Público Estatal, respetivamente.</w:t>
      </w:r>
    </w:p>
    <w:p w14:paraId="63CC54B2" w14:textId="77777777" w:rsidR="00C82F0D" w:rsidRPr="00107B4D" w:rsidRDefault="00C82F0D" w:rsidP="0078680F">
      <w:pPr>
        <w:jc w:val="both"/>
        <w:rPr>
          <w:rFonts w:ascii="Verdana" w:hAnsi="Verdana" w:cs="Arial"/>
          <w:sz w:val="17"/>
          <w:szCs w:val="17"/>
        </w:rPr>
      </w:pPr>
    </w:p>
    <w:p w14:paraId="30DA166B" w14:textId="5D0D5777" w:rsidR="008A0314" w:rsidRDefault="008A0314">
      <w:pPr>
        <w:rPr>
          <w:lang w:eastAsia="en-US"/>
        </w:rPr>
      </w:pPr>
      <w:r>
        <w:rPr>
          <w:lang w:eastAsia="en-US"/>
        </w:rPr>
        <w:br w:type="page"/>
      </w:r>
    </w:p>
    <w:p w14:paraId="63E15BFA" w14:textId="77777777" w:rsidR="00C82F0D" w:rsidRPr="00107B4D" w:rsidRDefault="00C82F0D" w:rsidP="0078680F">
      <w:pPr>
        <w:rPr>
          <w:lang w:eastAsia="en-US"/>
        </w:rPr>
      </w:pPr>
    </w:p>
    <w:p w14:paraId="399AD3F9" w14:textId="77777777" w:rsidR="00C82F0D" w:rsidRPr="008679DF" w:rsidRDefault="00C82F0D" w:rsidP="0078680F">
      <w:pPr>
        <w:pStyle w:val="Ttulo1"/>
        <w:keepNext w:val="0"/>
        <w:keepLines w:val="0"/>
        <w:numPr>
          <w:ilvl w:val="0"/>
          <w:numId w:val="3"/>
        </w:numPr>
        <w:tabs>
          <w:tab w:val="left" w:pos="426"/>
        </w:tabs>
        <w:spacing w:before="0"/>
        <w:ind w:left="0" w:right="-22"/>
        <w:jc w:val="both"/>
        <w:rPr>
          <w:rFonts w:ascii="Verdana" w:eastAsia="Times New Roman" w:hAnsi="Verdana" w:cs="Arial"/>
          <w:b w:val="0"/>
          <w:bCs w:val="0"/>
          <w:color w:val="auto"/>
          <w:sz w:val="17"/>
          <w:szCs w:val="17"/>
          <w:u w:val="single"/>
          <w:lang w:eastAsia="en-US"/>
        </w:rPr>
      </w:pPr>
      <w:r w:rsidRPr="008679DF">
        <w:rPr>
          <w:rFonts w:ascii="Verdana" w:eastAsia="Times New Roman" w:hAnsi="Verdana" w:cs="Arial"/>
          <w:b w:val="0"/>
          <w:bCs w:val="0"/>
          <w:color w:val="auto"/>
          <w:sz w:val="17"/>
          <w:szCs w:val="17"/>
          <w:u w:val="single"/>
          <w:lang w:eastAsia="en-US"/>
        </w:rPr>
        <w:t>EVENTOS SIGNIFICATIVOS</w:t>
      </w:r>
    </w:p>
    <w:p w14:paraId="03C2CDC7" w14:textId="77777777" w:rsidR="00C82F0D" w:rsidRPr="008679DF" w:rsidRDefault="00C82F0D" w:rsidP="0078680F">
      <w:pPr>
        <w:rPr>
          <w:lang w:eastAsia="en-US"/>
        </w:rPr>
      </w:pPr>
    </w:p>
    <w:p w14:paraId="635D085C" w14:textId="77777777" w:rsidR="00C82F0D" w:rsidRPr="008679DF" w:rsidRDefault="00C82F0D" w:rsidP="0078680F">
      <w:pPr>
        <w:jc w:val="both"/>
        <w:rPr>
          <w:rFonts w:ascii="Verdana" w:hAnsi="Verdana" w:cs="Arial"/>
          <w:sz w:val="17"/>
          <w:szCs w:val="17"/>
        </w:rPr>
      </w:pPr>
      <w:r w:rsidRPr="008679DF">
        <w:rPr>
          <w:rFonts w:ascii="Verdana" w:hAnsi="Verdana" w:cs="Arial"/>
          <w:sz w:val="17"/>
          <w:szCs w:val="17"/>
        </w:rPr>
        <w:t>Derivado das atuais circunstâncias, o Conselho de Administração encontra-se a acompanhar, de forma atenta o desenrolar da atual situação de conflito na Ucrânia e em Israel e as suas possíveis repercussões na economia a nível nacional e mundial. Atualmente, não tem a Sociedade qualquer exposição direta a nenhum dos países, assim como não detém qualquer relação económica com entidades alvo de sanções.</w:t>
      </w:r>
    </w:p>
    <w:p w14:paraId="03168CB0" w14:textId="77777777" w:rsidR="00C82F0D" w:rsidRPr="00BC4C83" w:rsidRDefault="00C82F0D" w:rsidP="0078680F">
      <w:pPr>
        <w:rPr>
          <w:rFonts w:ascii="Verdana" w:hAnsi="Verdana" w:cs="Arial"/>
          <w:sz w:val="17"/>
          <w:szCs w:val="17"/>
          <w:highlight w:val="yellow"/>
        </w:rPr>
      </w:pPr>
    </w:p>
    <w:p w14:paraId="131FF88F" w14:textId="77777777" w:rsidR="00C82F0D" w:rsidRPr="00107B4D" w:rsidRDefault="00C82F0D" w:rsidP="0078680F">
      <w:pPr>
        <w:rPr>
          <w:lang w:eastAsia="en-US"/>
        </w:rPr>
      </w:pPr>
    </w:p>
    <w:p w14:paraId="4C8F3767" w14:textId="77777777" w:rsidR="00C82F0D" w:rsidRPr="008679DF" w:rsidRDefault="00C82F0D" w:rsidP="0078680F">
      <w:pPr>
        <w:pStyle w:val="Ttulo1"/>
        <w:keepNext w:val="0"/>
        <w:keepLines w:val="0"/>
        <w:numPr>
          <w:ilvl w:val="0"/>
          <w:numId w:val="3"/>
        </w:numPr>
        <w:tabs>
          <w:tab w:val="left" w:pos="426"/>
        </w:tabs>
        <w:spacing w:before="0"/>
        <w:ind w:left="0" w:right="-22"/>
        <w:jc w:val="both"/>
        <w:rPr>
          <w:rFonts w:ascii="Verdana" w:eastAsia="Times New Roman" w:hAnsi="Verdana" w:cs="Arial"/>
          <w:b w:val="0"/>
          <w:bCs w:val="0"/>
          <w:color w:val="auto"/>
          <w:sz w:val="17"/>
          <w:szCs w:val="17"/>
          <w:u w:val="single"/>
          <w:lang w:eastAsia="en-US"/>
        </w:rPr>
      </w:pPr>
      <w:r w:rsidRPr="008679DF">
        <w:rPr>
          <w:rFonts w:ascii="Verdana" w:eastAsia="Times New Roman" w:hAnsi="Verdana" w:cs="Arial"/>
          <w:b w:val="0"/>
          <w:bCs w:val="0"/>
          <w:color w:val="auto"/>
          <w:sz w:val="17"/>
          <w:szCs w:val="17"/>
          <w:u w:val="single"/>
          <w:lang w:eastAsia="en-US"/>
        </w:rPr>
        <w:t>EVENTOS SUBSEQUENTES</w:t>
      </w:r>
    </w:p>
    <w:p w14:paraId="2D4D56C4" w14:textId="77777777" w:rsidR="00C82F0D" w:rsidRPr="008679DF" w:rsidRDefault="00C82F0D" w:rsidP="0078680F">
      <w:pPr>
        <w:jc w:val="both"/>
        <w:rPr>
          <w:rFonts w:ascii="Verdana" w:hAnsi="Verdana" w:cs="Arial"/>
          <w:sz w:val="17"/>
          <w:szCs w:val="17"/>
        </w:rPr>
      </w:pPr>
    </w:p>
    <w:p w14:paraId="0B0669B5" w14:textId="77777777" w:rsidR="00C82F0D" w:rsidRPr="008679DF" w:rsidRDefault="00C82F0D" w:rsidP="0078680F">
      <w:pPr>
        <w:jc w:val="both"/>
        <w:rPr>
          <w:rFonts w:ascii="Verdana" w:hAnsi="Verdana" w:cs="Arial"/>
          <w:sz w:val="17"/>
          <w:szCs w:val="17"/>
        </w:rPr>
      </w:pPr>
    </w:p>
    <w:p w14:paraId="101209B1" w14:textId="77777777" w:rsidR="00C82F0D" w:rsidRPr="008679DF" w:rsidRDefault="00C82F0D" w:rsidP="0078680F">
      <w:pPr>
        <w:jc w:val="both"/>
        <w:rPr>
          <w:rFonts w:ascii="Verdana" w:hAnsi="Verdana" w:cs="Arial"/>
          <w:sz w:val="17"/>
          <w:szCs w:val="17"/>
        </w:rPr>
      </w:pPr>
      <w:r w:rsidRPr="008679DF">
        <w:rPr>
          <w:rFonts w:ascii="Verdana" w:hAnsi="Verdana" w:cs="Arial"/>
          <w:sz w:val="17"/>
          <w:szCs w:val="17"/>
        </w:rPr>
        <w:t>No período subsequente ao encerramento do exercício, destaca-se a realização das eleições presidenciais de 2026 em Portugal, cujo resultado determinou o início de um novo mandato presidencial. A consolidação do novo ciclo político poderá influenciar o enquadramento institucional e a dinâmica das relações entre os órgãos de soberania, com eventuais reflexos na estabilidade política, na confiança dos agentes económicos e na previsibilidade das políticas públicas.</w:t>
      </w:r>
    </w:p>
    <w:p w14:paraId="1F0A82FA" w14:textId="77777777" w:rsidR="00C82F0D" w:rsidRPr="008679DF" w:rsidRDefault="00C82F0D" w:rsidP="0078680F">
      <w:pPr>
        <w:jc w:val="both"/>
        <w:rPr>
          <w:rFonts w:ascii="Verdana" w:hAnsi="Verdana" w:cs="Arial"/>
          <w:sz w:val="17"/>
          <w:szCs w:val="17"/>
        </w:rPr>
      </w:pPr>
      <w:r w:rsidRPr="008679DF">
        <w:rPr>
          <w:rFonts w:ascii="Verdana" w:hAnsi="Verdana" w:cs="Arial"/>
          <w:sz w:val="17"/>
          <w:szCs w:val="17"/>
        </w:rPr>
        <w:t> </w:t>
      </w:r>
    </w:p>
    <w:p w14:paraId="714F62B8" w14:textId="77777777" w:rsidR="00C82F0D" w:rsidRPr="008679DF" w:rsidRDefault="00C82F0D" w:rsidP="0078680F">
      <w:pPr>
        <w:jc w:val="both"/>
        <w:rPr>
          <w:rFonts w:ascii="Verdana" w:hAnsi="Verdana" w:cs="Arial"/>
          <w:sz w:val="17"/>
          <w:szCs w:val="17"/>
        </w:rPr>
      </w:pPr>
      <w:r w:rsidRPr="008679DF">
        <w:rPr>
          <w:rFonts w:ascii="Verdana" w:hAnsi="Verdana" w:cs="Arial"/>
          <w:sz w:val="17"/>
          <w:szCs w:val="17"/>
        </w:rPr>
        <w:t>No plano internacional, registou-se igualmente o agravamento do conflito entre o Irão e os Estados Unidos, intensificando a instabilidade geopolítica global. Este contexto tem provocado maior volatilidade nos mercados financeiros e energéticos, designadamente ao nível dos preços do petróleo e de outras matérias-primas, podendo originar pressões inflacionistas e impactos indiretos na atividade económica.</w:t>
      </w:r>
    </w:p>
    <w:p w14:paraId="0D8B2C00" w14:textId="77777777" w:rsidR="00C82F0D" w:rsidRPr="008679DF" w:rsidRDefault="00C82F0D" w:rsidP="0078680F">
      <w:pPr>
        <w:jc w:val="both"/>
        <w:rPr>
          <w:rFonts w:ascii="Verdana" w:hAnsi="Verdana" w:cs="Arial"/>
          <w:sz w:val="17"/>
          <w:szCs w:val="17"/>
        </w:rPr>
      </w:pPr>
      <w:r w:rsidRPr="008679DF">
        <w:rPr>
          <w:rFonts w:ascii="Verdana" w:hAnsi="Verdana" w:cs="Arial"/>
          <w:sz w:val="17"/>
          <w:szCs w:val="17"/>
        </w:rPr>
        <w:t> </w:t>
      </w:r>
    </w:p>
    <w:p w14:paraId="2F23B8EB" w14:textId="77777777" w:rsidR="00C82F0D" w:rsidRPr="008679DF" w:rsidRDefault="00C82F0D" w:rsidP="0078680F">
      <w:pPr>
        <w:jc w:val="both"/>
        <w:rPr>
          <w:rFonts w:ascii="Verdana" w:hAnsi="Verdana" w:cs="Arial"/>
          <w:sz w:val="17"/>
          <w:szCs w:val="17"/>
        </w:rPr>
      </w:pPr>
      <w:r w:rsidRPr="008679DF">
        <w:rPr>
          <w:rFonts w:ascii="Verdana" w:hAnsi="Verdana" w:cs="Arial"/>
          <w:sz w:val="17"/>
          <w:szCs w:val="17"/>
        </w:rPr>
        <w:t>De acordo com o referencial contabilístico em vigor, estes eventos foram considerados eventos subsequentes não ajustáveis.</w:t>
      </w:r>
    </w:p>
    <w:p w14:paraId="0879DCB3" w14:textId="77777777" w:rsidR="00C82F0D" w:rsidRPr="00BC4C83" w:rsidRDefault="00C82F0D" w:rsidP="0078680F">
      <w:pPr>
        <w:jc w:val="both"/>
        <w:rPr>
          <w:rFonts w:ascii="Verdana" w:hAnsi="Verdana" w:cs="Arial"/>
          <w:sz w:val="17"/>
          <w:szCs w:val="17"/>
          <w:highlight w:val="yellow"/>
        </w:rPr>
      </w:pPr>
    </w:p>
    <w:p w14:paraId="461483E3" w14:textId="77777777" w:rsidR="00C82F0D" w:rsidRPr="004F1F42" w:rsidRDefault="00C82F0D" w:rsidP="0078680F">
      <w:pPr>
        <w:jc w:val="both"/>
        <w:rPr>
          <w:rFonts w:asciiTheme="minorHAnsi" w:hAnsiTheme="minorHAnsi" w:cstheme="minorHAnsi"/>
          <w:color w:val="365F91"/>
          <w:sz w:val="28"/>
          <w:szCs w:val="22"/>
        </w:rPr>
      </w:pPr>
      <w:r w:rsidRPr="004F1F42">
        <w:rPr>
          <w:rFonts w:ascii="Verdana" w:hAnsi="Verdana" w:cs="Arial"/>
          <w:sz w:val="17"/>
          <w:szCs w:val="17"/>
        </w:rPr>
        <w:t>Os eventos acima mencionados não afetam as demonstrações financeiras, não sendo do conhecimento do Conselho de Administração da Sociedade quaisquer outros eventos subsequentes à data de relato das demonstrações financeiras que afetem ou condicionem de alguma forma situação patrimonial e o equilíbrio financeiro da Sociedade, tal como se expressa nas presentes demonstrações financeiras, e que, consequentemente, devam ser objeto de referência, ou que pela sua relevância devam ser objeto de divulgação.</w:t>
      </w:r>
    </w:p>
    <w:p w14:paraId="1C147289" w14:textId="77777777" w:rsidR="00C82F0D" w:rsidRPr="004F1F42" w:rsidRDefault="00C82F0D" w:rsidP="0078680F">
      <w:pPr>
        <w:tabs>
          <w:tab w:val="left" w:pos="284"/>
        </w:tabs>
        <w:jc w:val="both"/>
        <w:rPr>
          <w:rFonts w:ascii="Verdana" w:hAnsi="Verdana" w:cs="Arial"/>
          <w:sz w:val="17"/>
          <w:szCs w:val="17"/>
          <w:u w:val="single"/>
        </w:rPr>
      </w:pPr>
    </w:p>
    <w:p w14:paraId="577AA7CB" w14:textId="77777777" w:rsidR="00C82F0D" w:rsidRPr="00375E8E" w:rsidRDefault="00C82F0D" w:rsidP="000C494A">
      <w:pPr>
        <w:rPr>
          <w:highlight w:val="yellow"/>
          <w:lang w:eastAsia="en-US"/>
        </w:rPr>
      </w:pPr>
    </w:p>
    <w:p w14:paraId="37CB6DA2" w14:textId="5CD54D39" w:rsidR="00C82F0D" w:rsidRDefault="00C82F0D">
      <w:pPr>
        <w:rPr>
          <w:rFonts w:asciiTheme="minorHAnsi" w:hAnsiTheme="minorHAnsi" w:cstheme="minorHAnsi"/>
          <w:color w:val="0070C0"/>
          <w:sz w:val="22"/>
          <w:szCs w:val="22"/>
        </w:rPr>
      </w:pPr>
      <w:r>
        <w:rPr>
          <w:rFonts w:asciiTheme="minorHAnsi" w:hAnsiTheme="minorHAnsi" w:cstheme="minorHAnsi"/>
          <w:color w:val="0070C0"/>
          <w:sz w:val="22"/>
          <w:szCs w:val="22"/>
        </w:rPr>
        <w:br w:type="page"/>
      </w:r>
    </w:p>
    <w:p w14:paraId="7E006EC7" w14:textId="77777777" w:rsidR="00FC28AD" w:rsidRDefault="00FC28AD">
      <w:pPr>
        <w:rPr>
          <w:rFonts w:asciiTheme="minorHAnsi" w:hAnsiTheme="minorHAnsi" w:cstheme="minorHAnsi"/>
          <w:color w:val="0070C0"/>
          <w:sz w:val="22"/>
          <w:szCs w:val="22"/>
        </w:rPr>
      </w:pPr>
    </w:p>
    <w:p w14:paraId="174FF3C2" w14:textId="714719D6" w:rsidR="00FC28AD" w:rsidRDefault="00FC28AD" w:rsidP="00FC28AD">
      <w:pPr>
        <w:pStyle w:val="Ttulo"/>
        <w:jc w:val="center"/>
        <w:rPr>
          <w:rFonts w:asciiTheme="minorHAnsi" w:hAnsiTheme="minorHAnsi" w:cstheme="minorHAnsi"/>
          <w:color w:val="365F91"/>
          <w:sz w:val="28"/>
          <w:szCs w:val="22"/>
          <w:lang w:val="pt-PT"/>
        </w:rPr>
      </w:pPr>
      <w:bookmarkStart w:id="56" w:name="_Toc71944129"/>
      <w:bookmarkStart w:id="57" w:name="_Toc73018968"/>
    </w:p>
    <w:p w14:paraId="408901CC" w14:textId="77777777" w:rsidR="00FC28AD" w:rsidRDefault="00FC28AD" w:rsidP="00FC28AD">
      <w:pPr>
        <w:pStyle w:val="Ttulo"/>
        <w:jc w:val="center"/>
        <w:rPr>
          <w:rFonts w:asciiTheme="minorHAnsi" w:hAnsiTheme="minorHAnsi" w:cstheme="minorHAnsi"/>
          <w:color w:val="365F91"/>
          <w:sz w:val="28"/>
          <w:szCs w:val="22"/>
          <w:lang w:val="pt-PT"/>
        </w:rPr>
      </w:pPr>
    </w:p>
    <w:p w14:paraId="7AA99525" w14:textId="77777777" w:rsidR="00FC28AD" w:rsidRDefault="00FC28AD" w:rsidP="00FC28AD">
      <w:pPr>
        <w:pStyle w:val="Ttulo"/>
        <w:jc w:val="center"/>
        <w:rPr>
          <w:rFonts w:asciiTheme="minorHAnsi" w:hAnsiTheme="minorHAnsi" w:cstheme="minorHAnsi"/>
          <w:color w:val="365F91"/>
          <w:sz w:val="28"/>
          <w:szCs w:val="22"/>
          <w:lang w:val="pt-PT"/>
        </w:rPr>
      </w:pPr>
    </w:p>
    <w:p w14:paraId="60405560" w14:textId="77777777" w:rsidR="00FC28AD" w:rsidRDefault="00FC28AD" w:rsidP="00FC28AD">
      <w:pPr>
        <w:pStyle w:val="Ttulo"/>
        <w:jc w:val="center"/>
        <w:rPr>
          <w:rFonts w:asciiTheme="minorHAnsi" w:hAnsiTheme="minorHAnsi" w:cstheme="minorHAnsi"/>
          <w:color w:val="365F91"/>
          <w:sz w:val="28"/>
          <w:szCs w:val="22"/>
          <w:lang w:val="pt-PT"/>
        </w:rPr>
      </w:pPr>
    </w:p>
    <w:p w14:paraId="000FAF6B" w14:textId="77777777" w:rsidR="00FC28AD" w:rsidRDefault="00FC28AD" w:rsidP="00FC28AD">
      <w:pPr>
        <w:pStyle w:val="Ttulo"/>
        <w:jc w:val="center"/>
        <w:rPr>
          <w:rFonts w:asciiTheme="minorHAnsi" w:hAnsiTheme="minorHAnsi" w:cstheme="minorHAnsi"/>
          <w:color w:val="365F91"/>
          <w:sz w:val="28"/>
          <w:szCs w:val="22"/>
          <w:lang w:val="pt-PT"/>
        </w:rPr>
      </w:pPr>
    </w:p>
    <w:p w14:paraId="682CCF91" w14:textId="77777777" w:rsidR="00FC28AD" w:rsidRDefault="00FC28AD" w:rsidP="00FC28AD">
      <w:pPr>
        <w:pStyle w:val="Ttulo"/>
        <w:jc w:val="center"/>
        <w:rPr>
          <w:rFonts w:asciiTheme="minorHAnsi" w:hAnsiTheme="minorHAnsi" w:cstheme="minorHAnsi"/>
          <w:color w:val="365F91"/>
          <w:sz w:val="28"/>
          <w:szCs w:val="22"/>
          <w:lang w:val="pt-PT"/>
        </w:rPr>
      </w:pPr>
    </w:p>
    <w:p w14:paraId="6C1C886E" w14:textId="77777777" w:rsidR="00FC28AD" w:rsidRDefault="00FC28AD" w:rsidP="00FC28AD">
      <w:pPr>
        <w:pStyle w:val="Ttulo"/>
        <w:jc w:val="center"/>
        <w:rPr>
          <w:rFonts w:asciiTheme="minorHAnsi" w:hAnsiTheme="minorHAnsi" w:cstheme="minorHAnsi"/>
          <w:color w:val="365F91"/>
          <w:sz w:val="28"/>
          <w:szCs w:val="22"/>
          <w:lang w:val="pt-PT"/>
        </w:rPr>
      </w:pPr>
    </w:p>
    <w:p w14:paraId="0C13FDB5" w14:textId="77777777" w:rsidR="00FC28AD" w:rsidRDefault="00FC28AD" w:rsidP="00FC28AD">
      <w:pPr>
        <w:pStyle w:val="Ttulo"/>
        <w:jc w:val="center"/>
        <w:rPr>
          <w:rFonts w:asciiTheme="minorHAnsi" w:hAnsiTheme="minorHAnsi" w:cstheme="minorHAnsi"/>
          <w:color w:val="365F91"/>
          <w:sz w:val="28"/>
          <w:szCs w:val="22"/>
          <w:lang w:val="pt-PT"/>
        </w:rPr>
      </w:pPr>
    </w:p>
    <w:p w14:paraId="13A4692E" w14:textId="299DB34B" w:rsidR="00EC1300" w:rsidRPr="00BE6B31" w:rsidRDefault="00D13215" w:rsidP="00742E4A">
      <w:pPr>
        <w:pStyle w:val="Ttulo"/>
        <w:jc w:val="center"/>
        <w:rPr>
          <w:rFonts w:asciiTheme="minorHAnsi" w:hAnsiTheme="minorHAnsi" w:cstheme="minorHAnsi"/>
          <w:color w:val="0070C0"/>
          <w:sz w:val="28"/>
          <w:szCs w:val="28"/>
          <w:lang w:val="pt-PT"/>
        </w:rPr>
      </w:pPr>
      <w:bookmarkStart w:id="58" w:name="_Toc482900445"/>
      <w:bookmarkStart w:id="59" w:name="_Toc221618470"/>
      <w:bookmarkEnd w:id="56"/>
      <w:bookmarkEnd w:id="57"/>
      <w:r>
        <w:rPr>
          <w:rFonts w:asciiTheme="minorHAnsi" w:hAnsiTheme="minorHAnsi" w:cstheme="minorHAnsi"/>
          <w:color w:val="365F91"/>
          <w:sz w:val="28"/>
          <w:szCs w:val="22"/>
          <w:lang w:val="pt-PT"/>
        </w:rPr>
        <w:t>4</w:t>
      </w:r>
      <w:r w:rsidR="00742E4A" w:rsidRPr="00BB1986">
        <w:rPr>
          <w:rFonts w:asciiTheme="minorHAnsi" w:hAnsiTheme="minorHAnsi" w:cstheme="minorHAnsi"/>
          <w:color w:val="365F91"/>
          <w:sz w:val="28"/>
          <w:szCs w:val="22"/>
          <w:lang w:val="pt-PT"/>
        </w:rPr>
        <w:t>. CUMPRIMENTO DAS ORIENTAÇÕES LEGAIS</w:t>
      </w:r>
      <w:bookmarkEnd w:id="58"/>
      <w:bookmarkEnd w:id="59"/>
      <w:r w:rsidR="00742E4A" w:rsidRPr="00BE6B31" w:rsidDel="00742E4A">
        <w:rPr>
          <w:rFonts w:asciiTheme="minorHAnsi" w:hAnsiTheme="minorHAnsi" w:cstheme="minorHAnsi"/>
          <w:color w:val="0070C0"/>
          <w:sz w:val="28"/>
          <w:szCs w:val="28"/>
          <w:lang w:val="pt-PT"/>
        </w:rPr>
        <w:t xml:space="preserve"> </w:t>
      </w:r>
    </w:p>
    <w:p w14:paraId="2563B58C" w14:textId="77777777" w:rsidR="00D146CE" w:rsidRPr="00BE6B31" w:rsidRDefault="00D146CE" w:rsidP="000C494A">
      <w:pPr>
        <w:rPr>
          <w:rFonts w:asciiTheme="minorHAnsi" w:hAnsiTheme="minorHAnsi" w:cstheme="minorHAnsi"/>
          <w:sz w:val="28"/>
          <w:szCs w:val="28"/>
          <w:lang w:eastAsia="en-US"/>
        </w:rPr>
      </w:pPr>
    </w:p>
    <w:p w14:paraId="7D38794C" w14:textId="77777777" w:rsidR="00D146CE" w:rsidRPr="00B162F1" w:rsidRDefault="00D146CE" w:rsidP="000C494A">
      <w:pPr>
        <w:rPr>
          <w:rFonts w:asciiTheme="minorHAnsi" w:hAnsiTheme="minorHAnsi" w:cstheme="minorHAnsi"/>
          <w:lang w:eastAsia="en-US"/>
        </w:rPr>
      </w:pPr>
    </w:p>
    <w:p w14:paraId="7A9256B6" w14:textId="77777777" w:rsidR="00C01D4D" w:rsidRPr="00B162F1" w:rsidRDefault="00C01D4D" w:rsidP="000C494A">
      <w:pPr>
        <w:rPr>
          <w:rFonts w:asciiTheme="minorHAnsi" w:hAnsiTheme="minorHAnsi" w:cstheme="minorHAnsi"/>
          <w:lang w:eastAsia="en-US"/>
        </w:rPr>
      </w:pPr>
    </w:p>
    <w:p w14:paraId="5B1578EE" w14:textId="77777777" w:rsidR="00C01D4D" w:rsidRPr="00B162F1" w:rsidRDefault="00C01D4D" w:rsidP="000C494A">
      <w:pPr>
        <w:rPr>
          <w:rFonts w:asciiTheme="minorHAnsi" w:hAnsiTheme="minorHAnsi" w:cstheme="minorHAnsi"/>
          <w:lang w:eastAsia="en-US"/>
        </w:rPr>
      </w:pPr>
    </w:p>
    <w:p w14:paraId="61CD2331" w14:textId="77777777" w:rsidR="00C01D4D" w:rsidRPr="00B162F1" w:rsidRDefault="00C01D4D" w:rsidP="000C494A">
      <w:pPr>
        <w:rPr>
          <w:rFonts w:asciiTheme="minorHAnsi" w:hAnsiTheme="minorHAnsi" w:cstheme="minorHAnsi"/>
          <w:lang w:eastAsia="en-US"/>
        </w:rPr>
      </w:pPr>
    </w:p>
    <w:p w14:paraId="15CBFBC0" w14:textId="77777777" w:rsidR="00C01D4D" w:rsidRPr="00B162F1" w:rsidRDefault="00C01D4D" w:rsidP="000C494A">
      <w:pPr>
        <w:rPr>
          <w:rFonts w:asciiTheme="minorHAnsi" w:hAnsiTheme="minorHAnsi" w:cstheme="minorHAnsi"/>
          <w:lang w:eastAsia="en-US"/>
        </w:rPr>
      </w:pPr>
    </w:p>
    <w:p w14:paraId="4D85AC45" w14:textId="77777777" w:rsidR="00C01D4D" w:rsidRPr="00B162F1" w:rsidRDefault="00C01D4D" w:rsidP="000C494A">
      <w:pPr>
        <w:rPr>
          <w:rFonts w:asciiTheme="minorHAnsi" w:hAnsiTheme="minorHAnsi" w:cstheme="minorHAnsi"/>
          <w:lang w:eastAsia="en-US"/>
        </w:rPr>
      </w:pPr>
    </w:p>
    <w:p w14:paraId="1C2EC3C3" w14:textId="77777777" w:rsidR="00C01D4D" w:rsidRPr="00B162F1" w:rsidRDefault="00C01D4D" w:rsidP="000C494A">
      <w:pPr>
        <w:rPr>
          <w:rFonts w:asciiTheme="minorHAnsi" w:hAnsiTheme="minorHAnsi" w:cstheme="minorHAnsi"/>
          <w:lang w:eastAsia="en-US"/>
        </w:rPr>
      </w:pPr>
    </w:p>
    <w:p w14:paraId="4918CA82" w14:textId="77777777" w:rsidR="00EC1300" w:rsidRPr="00B162F1" w:rsidRDefault="00EC1300" w:rsidP="000C494A">
      <w:pPr>
        <w:rPr>
          <w:rFonts w:asciiTheme="minorHAnsi" w:hAnsiTheme="minorHAnsi" w:cstheme="minorHAnsi"/>
          <w:lang w:eastAsia="en-US"/>
        </w:rPr>
      </w:pPr>
    </w:p>
    <w:p w14:paraId="571DBFAE" w14:textId="77777777" w:rsidR="00EC1300" w:rsidRPr="00B162F1" w:rsidRDefault="00EC1300" w:rsidP="000C494A">
      <w:pPr>
        <w:rPr>
          <w:rFonts w:asciiTheme="minorHAnsi" w:hAnsiTheme="minorHAnsi" w:cstheme="minorHAnsi"/>
          <w:lang w:eastAsia="en-US"/>
        </w:rPr>
      </w:pPr>
    </w:p>
    <w:p w14:paraId="2B4F69FA" w14:textId="77777777" w:rsidR="00EC1300" w:rsidRPr="00B162F1" w:rsidRDefault="00EC1300" w:rsidP="000C494A">
      <w:pPr>
        <w:rPr>
          <w:rFonts w:asciiTheme="minorHAnsi" w:hAnsiTheme="minorHAnsi" w:cstheme="minorHAnsi"/>
          <w:lang w:eastAsia="en-US"/>
        </w:rPr>
      </w:pPr>
    </w:p>
    <w:p w14:paraId="20A167A6" w14:textId="77777777" w:rsidR="00EC1300" w:rsidRPr="00B162F1" w:rsidRDefault="00EC1300" w:rsidP="000C494A">
      <w:pPr>
        <w:rPr>
          <w:rFonts w:asciiTheme="minorHAnsi" w:hAnsiTheme="minorHAnsi" w:cstheme="minorHAnsi"/>
          <w:lang w:eastAsia="en-US"/>
        </w:rPr>
      </w:pPr>
    </w:p>
    <w:p w14:paraId="6B121E3F" w14:textId="77777777" w:rsidR="00EC1300" w:rsidRPr="00B162F1" w:rsidRDefault="00EC1300" w:rsidP="000C494A">
      <w:pPr>
        <w:rPr>
          <w:rFonts w:asciiTheme="minorHAnsi" w:hAnsiTheme="minorHAnsi" w:cstheme="minorHAnsi"/>
          <w:lang w:eastAsia="en-US"/>
        </w:rPr>
      </w:pPr>
    </w:p>
    <w:p w14:paraId="311F5A03" w14:textId="77777777" w:rsidR="00EC1300" w:rsidRPr="00B162F1" w:rsidRDefault="00EC1300" w:rsidP="000C494A">
      <w:pPr>
        <w:rPr>
          <w:rFonts w:asciiTheme="minorHAnsi" w:hAnsiTheme="minorHAnsi" w:cstheme="minorHAnsi"/>
          <w:lang w:eastAsia="en-US"/>
        </w:rPr>
      </w:pPr>
    </w:p>
    <w:p w14:paraId="1ACCFA23" w14:textId="77777777" w:rsidR="00EC1300" w:rsidRPr="00B162F1" w:rsidRDefault="00EC1300" w:rsidP="000C494A">
      <w:pPr>
        <w:rPr>
          <w:rFonts w:asciiTheme="minorHAnsi" w:hAnsiTheme="minorHAnsi" w:cstheme="minorHAnsi"/>
          <w:lang w:eastAsia="en-US"/>
        </w:rPr>
      </w:pPr>
    </w:p>
    <w:p w14:paraId="44A4CA69" w14:textId="77777777" w:rsidR="00EC1300" w:rsidRPr="00B162F1" w:rsidRDefault="00EC1300" w:rsidP="000C494A">
      <w:pPr>
        <w:rPr>
          <w:rFonts w:asciiTheme="minorHAnsi" w:hAnsiTheme="minorHAnsi" w:cstheme="minorHAnsi"/>
          <w:lang w:eastAsia="en-US"/>
        </w:rPr>
      </w:pPr>
    </w:p>
    <w:p w14:paraId="00F5F2BE" w14:textId="77777777" w:rsidR="00EC1300" w:rsidRPr="00B162F1" w:rsidRDefault="00EC1300" w:rsidP="000C494A">
      <w:pPr>
        <w:rPr>
          <w:rFonts w:asciiTheme="minorHAnsi" w:hAnsiTheme="minorHAnsi" w:cstheme="minorHAnsi"/>
          <w:lang w:eastAsia="en-US"/>
        </w:rPr>
      </w:pPr>
    </w:p>
    <w:p w14:paraId="766E1945" w14:textId="77777777" w:rsidR="00EC1300" w:rsidRPr="00B162F1" w:rsidRDefault="00EC1300" w:rsidP="000C494A">
      <w:pPr>
        <w:rPr>
          <w:rFonts w:asciiTheme="minorHAnsi" w:hAnsiTheme="minorHAnsi" w:cstheme="minorHAnsi"/>
          <w:lang w:eastAsia="en-US"/>
        </w:rPr>
      </w:pPr>
    </w:p>
    <w:p w14:paraId="78CC5963" w14:textId="77777777" w:rsidR="00EC1300" w:rsidRPr="00B162F1" w:rsidRDefault="00EC1300" w:rsidP="000C494A">
      <w:pPr>
        <w:rPr>
          <w:rFonts w:asciiTheme="minorHAnsi" w:hAnsiTheme="minorHAnsi" w:cstheme="minorHAnsi"/>
          <w:lang w:eastAsia="en-US"/>
        </w:rPr>
      </w:pPr>
    </w:p>
    <w:p w14:paraId="528E10F1" w14:textId="77777777" w:rsidR="00F148FB" w:rsidRDefault="00F148FB">
      <w:pPr>
        <w:rPr>
          <w:rFonts w:asciiTheme="minorHAnsi" w:hAnsiTheme="minorHAnsi" w:cstheme="minorHAnsi"/>
          <w:lang w:eastAsia="en-US"/>
        </w:rPr>
      </w:pPr>
      <w:r>
        <w:rPr>
          <w:rFonts w:asciiTheme="minorHAnsi" w:hAnsiTheme="minorHAnsi" w:cstheme="minorHAnsi"/>
          <w:lang w:eastAsia="en-US"/>
        </w:rPr>
        <w:br w:type="page"/>
      </w:r>
    </w:p>
    <w:p w14:paraId="6ED06F54" w14:textId="6CD829F1" w:rsidR="00066508" w:rsidRDefault="006D7C47" w:rsidP="006D7C47">
      <w:pPr>
        <w:pStyle w:val="CorpotextoMP"/>
        <w:rPr>
          <w:rFonts w:asciiTheme="minorHAnsi" w:hAnsiTheme="minorHAnsi" w:cstheme="minorHAnsi"/>
          <w:b/>
          <w:sz w:val="22"/>
          <w:szCs w:val="22"/>
          <w:lang w:eastAsia="en-US"/>
        </w:rPr>
      </w:pPr>
      <w:r w:rsidRPr="00294402">
        <w:rPr>
          <w:rFonts w:asciiTheme="minorHAnsi" w:hAnsiTheme="minorHAnsi" w:cstheme="minorHAnsi"/>
          <w:b/>
          <w:sz w:val="22"/>
          <w:szCs w:val="22"/>
          <w:lang w:eastAsia="en-US"/>
        </w:rPr>
        <w:lastRenderedPageBreak/>
        <w:t xml:space="preserve">1. </w:t>
      </w:r>
      <w:r w:rsidR="00066508">
        <w:rPr>
          <w:rFonts w:asciiTheme="minorHAnsi" w:hAnsiTheme="minorHAnsi" w:cstheme="minorHAnsi"/>
          <w:b/>
          <w:sz w:val="22"/>
          <w:szCs w:val="22"/>
          <w:lang w:eastAsia="en-US"/>
        </w:rPr>
        <w:t>Execução do Plano de Atividades e Orçamento</w:t>
      </w:r>
    </w:p>
    <w:p w14:paraId="48814083" w14:textId="77777777" w:rsidR="00066508" w:rsidRDefault="00066508" w:rsidP="006D7C47">
      <w:pPr>
        <w:pStyle w:val="CorpotextoMP"/>
        <w:rPr>
          <w:rFonts w:asciiTheme="minorHAnsi" w:hAnsiTheme="minorHAnsi" w:cstheme="minorHAnsi"/>
          <w:b/>
          <w:sz w:val="22"/>
          <w:szCs w:val="22"/>
          <w:lang w:eastAsia="en-US"/>
        </w:rPr>
      </w:pPr>
    </w:p>
    <w:p w14:paraId="12E67507" w14:textId="77777777" w:rsidR="006D7C47" w:rsidRPr="000C5E44" w:rsidRDefault="006D7C47" w:rsidP="006D7C47">
      <w:pPr>
        <w:ind w:right="142"/>
        <w:jc w:val="right"/>
        <w:rPr>
          <w:rFonts w:asciiTheme="minorHAnsi" w:hAnsiTheme="minorHAnsi" w:cstheme="minorHAnsi"/>
          <w:bCs/>
          <w:sz w:val="14"/>
          <w:szCs w:val="14"/>
          <w:lang w:eastAsia="en-US"/>
        </w:rPr>
      </w:pPr>
      <w:r w:rsidRPr="000C5E44">
        <w:rPr>
          <w:rFonts w:asciiTheme="minorHAnsi" w:hAnsiTheme="minorHAnsi" w:cstheme="minorHAnsi"/>
          <w:bCs/>
          <w:sz w:val="14"/>
          <w:szCs w:val="14"/>
          <w:lang w:eastAsia="en-US"/>
        </w:rPr>
        <w:t>Milhares de Euros</w:t>
      </w:r>
    </w:p>
    <w:tbl>
      <w:tblPr>
        <w:tblW w:w="8222" w:type="dxa"/>
        <w:tblInd w:w="-10" w:type="dxa"/>
        <w:tblCellMar>
          <w:left w:w="70" w:type="dxa"/>
          <w:right w:w="70" w:type="dxa"/>
        </w:tblCellMar>
        <w:tblLook w:val="04A0" w:firstRow="1" w:lastRow="0" w:firstColumn="1" w:lastColumn="0" w:noHBand="0" w:noVBand="1"/>
      </w:tblPr>
      <w:tblGrid>
        <w:gridCol w:w="3261"/>
        <w:gridCol w:w="1134"/>
        <w:gridCol w:w="1275"/>
        <w:gridCol w:w="1276"/>
        <w:gridCol w:w="1276"/>
      </w:tblGrid>
      <w:tr w:rsidR="006D7C47" w:rsidRPr="00B2021A" w14:paraId="4226B43C" w14:textId="77777777" w:rsidTr="005379F8">
        <w:trPr>
          <w:trHeight w:val="480"/>
          <w:tblHeader/>
        </w:trPr>
        <w:tc>
          <w:tcPr>
            <w:tcW w:w="8222" w:type="dxa"/>
            <w:gridSpan w:val="5"/>
            <w:tcBorders>
              <w:top w:val="nil"/>
              <w:left w:val="single" w:sz="8" w:space="0" w:color="FFFFFF"/>
              <w:bottom w:val="single" w:sz="8" w:space="0" w:color="FFFFFF"/>
              <w:right w:val="single" w:sz="8" w:space="0" w:color="FFFFFF"/>
            </w:tcBorders>
            <w:shd w:val="clear" w:color="auto" w:fill="8EAADB" w:themeFill="accent5" w:themeFillTint="99"/>
            <w:noWrap/>
            <w:vAlign w:val="center"/>
          </w:tcPr>
          <w:p w14:paraId="2E24503B" w14:textId="5C9D59CD" w:rsidR="006D7C47" w:rsidRPr="00B2021A" w:rsidRDefault="006D7C47" w:rsidP="005379F8">
            <w:pPr>
              <w:jc w:val="center"/>
              <w:rPr>
                <w:rFonts w:asciiTheme="minorHAnsi" w:hAnsiTheme="minorHAnsi" w:cstheme="minorHAnsi"/>
                <w:b/>
                <w:sz w:val="20"/>
                <w:szCs w:val="20"/>
                <w:lang w:eastAsia="en-US"/>
              </w:rPr>
            </w:pPr>
            <w:r w:rsidRPr="00B2021A">
              <w:rPr>
                <w:rFonts w:asciiTheme="minorHAnsi" w:hAnsiTheme="minorHAnsi" w:cstheme="minorHAnsi"/>
                <w:b/>
                <w:sz w:val="20"/>
                <w:szCs w:val="20"/>
                <w:lang w:eastAsia="en-US"/>
              </w:rPr>
              <w:t>Execução do Plano de atividades e orçamento para 202</w:t>
            </w:r>
            <w:r w:rsidR="00B15347">
              <w:rPr>
                <w:rFonts w:asciiTheme="minorHAnsi" w:hAnsiTheme="minorHAnsi" w:cstheme="minorHAnsi"/>
                <w:b/>
                <w:sz w:val="20"/>
                <w:szCs w:val="20"/>
                <w:lang w:eastAsia="en-US"/>
              </w:rPr>
              <w:t>5</w:t>
            </w:r>
          </w:p>
        </w:tc>
      </w:tr>
      <w:tr w:rsidR="006D7C47" w:rsidRPr="00B2021A" w14:paraId="2A101461" w14:textId="77777777" w:rsidTr="005379F8">
        <w:trPr>
          <w:trHeight w:val="480"/>
          <w:tblHeader/>
        </w:trPr>
        <w:tc>
          <w:tcPr>
            <w:tcW w:w="3261" w:type="dxa"/>
            <w:tcBorders>
              <w:top w:val="nil"/>
              <w:left w:val="single" w:sz="8" w:space="0" w:color="FFFFFF"/>
              <w:bottom w:val="single" w:sz="8" w:space="0" w:color="FFFFFF"/>
              <w:right w:val="single" w:sz="8" w:space="0" w:color="FFFFFF"/>
            </w:tcBorders>
            <w:shd w:val="clear" w:color="auto" w:fill="8EAADB" w:themeFill="accent5" w:themeFillTint="99"/>
            <w:noWrap/>
            <w:vAlign w:val="center"/>
            <w:hideMark/>
          </w:tcPr>
          <w:p w14:paraId="61DD429A" w14:textId="77777777" w:rsidR="006D7C47" w:rsidRPr="00B2021A" w:rsidRDefault="006D7C47" w:rsidP="005379F8">
            <w:pPr>
              <w:jc w:val="center"/>
              <w:rPr>
                <w:rFonts w:asciiTheme="minorHAnsi" w:hAnsiTheme="minorHAnsi" w:cstheme="minorHAnsi"/>
                <w:b/>
                <w:bCs/>
                <w:color w:val="000000"/>
                <w:sz w:val="20"/>
                <w:szCs w:val="20"/>
              </w:rPr>
            </w:pPr>
            <w:r w:rsidRPr="00B2021A">
              <w:rPr>
                <w:rFonts w:ascii="Calibri" w:hAnsi="Calibri" w:cs="Calibri"/>
                <w:b/>
                <w:bCs/>
                <w:color w:val="000000"/>
                <w:sz w:val="20"/>
                <w:szCs w:val="20"/>
              </w:rPr>
              <w:t>Indicadores</w:t>
            </w:r>
            <w:r w:rsidRPr="00B2021A">
              <w:rPr>
                <w:rFonts w:asciiTheme="minorHAnsi" w:hAnsiTheme="minorHAnsi" w:cstheme="minorHAnsi"/>
                <w:b/>
                <w:bCs/>
                <w:color w:val="000000"/>
                <w:sz w:val="20"/>
                <w:szCs w:val="20"/>
              </w:rPr>
              <w:t> </w:t>
            </w:r>
          </w:p>
        </w:tc>
        <w:tc>
          <w:tcPr>
            <w:tcW w:w="1134" w:type="dxa"/>
            <w:tcBorders>
              <w:top w:val="nil"/>
              <w:left w:val="nil"/>
              <w:bottom w:val="single" w:sz="8" w:space="0" w:color="FFFFFF"/>
              <w:right w:val="single" w:sz="8" w:space="0" w:color="FFFFFF"/>
            </w:tcBorders>
            <w:shd w:val="clear" w:color="auto" w:fill="8EAADB" w:themeFill="accent5" w:themeFillTint="99"/>
            <w:noWrap/>
            <w:vAlign w:val="center"/>
            <w:hideMark/>
          </w:tcPr>
          <w:p w14:paraId="005101DD" w14:textId="3CC163C0" w:rsidR="006D7C47" w:rsidRPr="00B2021A" w:rsidRDefault="006D7C47" w:rsidP="005379F8">
            <w:pPr>
              <w:jc w:val="center"/>
              <w:rPr>
                <w:rFonts w:asciiTheme="minorHAnsi" w:hAnsiTheme="minorHAnsi" w:cstheme="minorHAnsi"/>
                <w:b/>
                <w:bCs/>
                <w:color w:val="000000"/>
                <w:sz w:val="20"/>
                <w:szCs w:val="20"/>
              </w:rPr>
            </w:pPr>
            <w:r w:rsidRPr="0001561C">
              <w:rPr>
                <w:rFonts w:ascii="Calibri" w:hAnsi="Calibri" w:cs="Calibri"/>
                <w:b/>
                <w:bCs/>
                <w:color w:val="000000"/>
                <w:sz w:val="20"/>
                <w:szCs w:val="20"/>
              </w:rPr>
              <w:t>PAO 202</w:t>
            </w:r>
            <w:r w:rsidR="00B15347">
              <w:rPr>
                <w:rFonts w:ascii="Calibri" w:hAnsi="Calibri" w:cs="Calibri"/>
                <w:b/>
                <w:bCs/>
                <w:color w:val="000000"/>
                <w:sz w:val="20"/>
                <w:szCs w:val="20"/>
              </w:rPr>
              <w:t>5</w:t>
            </w:r>
          </w:p>
        </w:tc>
        <w:tc>
          <w:tcPr>
            <w:tcW w:w="1275" w:type="dxa"/>
            <w:tcBorders>
              <w:top w:val="nil"/>
              <w:left w:val="nil"/>
              <w:bottom w:val="single" w:sz="8" w:space="0" w:color="FFFFFF"/>
              <w:right w:val="single" w:sz="8" w:space="0" w:color="FFFFFF"/>
            </w:tcBorders>
            <w:shd w:val="clear" w:color="auto" w:fill="8EAADB" w:themeFill="accent5" w:themeFillTint="99"/>
            <w:noWrap/>
            <w:vAlign w:val="center"/>
            <w:hideMark/>
          </w:tcPr>
          <w:p w14:paraId="3EC12EB0" w14:textId="7C3782A1" w:rsidR="006D7C47" w:rsidRPr="00361CE4" w:rsidRDefault="006D7C47" w:rsidP="005379F8">
            <w:pPr>
              <w:jc w:val="center"/>
              <w:rPr>
                <w:rFonts w:asciiTheme="minorHAnsi" w:hAnsiTheme="minorHAnsi" w:cstheme="minorHAnsi"/>
                <w:b/>
                <w:bCs/>
                <w:color w:val="000000"/>
                <w:sz w:val="20"/>
                <w:szCs w:val="20"/>
              </w:rPr>
            </w:pPr>
            <w:r w:rsidRPr="00361CE4">
              <w:rPr>
                <w:rFonts w:ascii="Calibri" w:hAnsi="Calibri" w:cs="Calibri"/>
                <w:b/>
                <w:bCs/>
                <w:color w:val="000000"/>
                <w:sz w:val="20"/>
                <w:szCs w:val="20"/>
              </w:rPr>
              <w:t>Executado 202</w:t>
            </w:r>
            <w:r w:rsidR="00B15347">
              <w:rPr>
                <w:rFonts w:ascii="Calibri" w:hAnsi="Calibri" w:cs="Calibri"/>
                <w:b/>
                <w:bCs/>
                <w:color w:val="000000"/>
                <w:sz w:val="20"/>
                <w:szCs w:val="20"/>
              </w:rPr>
              <w:t>5</w:t>
            </w:r>
          </w:p>
        </w:tc>
        <w:tc>
          <w:tcPr>
            <w:tcW w:w="1276" w:type="dxa"/>
            <w:tcBorders>
              <w:top w:val="nil"/>
              <w:left w:val="nil"/>
              <w:bottom w:val="single" w:sz="8" w:space="0" w:color="FFFFFF"/>
              <w:right w:val="single" w:sz="8" w:space="0" w:color="FFFFFF"/>
            </w:tcBorders>
            <w:shd w:val="clear" w:color="auto" w:fill="8EAADB" w:themeFill="accent5" w:themeFillTint="99"/>
            <w:noWrap/>
            <w:vAlign w:val="center"/>
            <w:hideMark/>
          </w:tcPr>
          <w:p w14:paraId="1428E0A5" w14:textId="77777777" w:rsidR="006D7C47" w:rsidRPr="00B2021A" w:rsidRDefault="006D7C47" w:rsidP="005379F8">
            <w:pPr>
              <w:jc w:val="center"/>
              <w:rPr>
                <w:rFonts w:asciiTheme="minorHAnsi" w:hAnsiTheme="minorHAnsi" w:cstheme="minorHAnsi"/>
                <w:b/>
                <w:bCs/>
                <w:color w:val="000000"/>
                <w:sz w:val="20"/>
                <w:szCs w:val="20"/>
              </w:rPr>
            </w:pPr>
            <w:r w:rsidRPr="00B2021A">
              <w:rPr>
                <w:rFonts w:ascii="Calibri" w:hAnsi="Calibri" w:cs="Calibri"/>
                <w:b/>
                <w:bCs/>
                <w:color w:val="000000"/>
                <w:sz w:val="20"/>
                <w:szCs w:val="20"/>
              </w:rPr>
              <w:t>Desvio (+/-)</w:t>
            </w:r>
          </w:p>
        </w:tc>
        <w:tc>
          <w:tcPr>
            <w:tcW w:w="1276" w:type="dxa"/>
            <w:tcBorders>
              <w:top w:val="nil"/>
              <w:left w:val="nil"/>
              <w:bottom w:val="single" w:sz="8" w:space="0" w:color="FFFFFF"/>
              <w:right w:val="single" w:sz="8" w:space="0" w:color="FFFFFF"/>
            </w:tcBorders>
            <w:shd w:val="clear" w:color="auto" w:fill="8EAADB" w:themeFill="accent5" w:themeFillTint="99"/>
            <w:vAlign w:val="center"/>
            <w:hideMark/>
          </w:tcPr>
          <w:p w14:paraId="7F3EDF79" w14:textId="77777777" w:rsidR="006D7C47" w:rsidRPr="00022528" w:rsidRDefault="006D7C47" w:rsidP="005379F8">
            <w:pPr>
              <w:jc w:val="center"/>
              <w:rPr>
                <w:rFonts w:asciiTheme="minorHAnsi" w:hAnsiTheme="minorHAnsi" w:cstheme="minorHAnsi"/>
                <w:b/>
                <w:bCs/>
                <w:color w:val="000000"/>
                <w:sz w:val="20"/>
                <w:szCs w:val="20"/>
              </w:rPr>
            </w:pPr>
            <w:r w:rsidRPr="00022528">
              <w:rPr>
                <w:rFonts w:ascii="Calibri" w:hAnsi="Calibri" w:cs="Calibri"/>
                <w:b/>
                <w:bCs/>
                <w:color w:val="000000"/>
                <w:sz w:val="20"/>
                <w:szCs w:val="20"/>
              </w:rPr>
              <w:t>Observações / Medidas</w:t>
            </w:r>
          </w:p>
        </w:tc>
      </w:tr>
      <w:tr w:rsidR="00222A07" w:rsidRPr="008659D8" w14:paraId="7623198E" w14:textId="77777777" w:rsidTr="005379F8">
        <w:trPr>
          <w:trHeight w:hRule="exact" w:val="284"/>
        </w:trPr>
        <w:tc>
          <w:tcPr>
            <w:tcW w:w="3261" w:type="dxa"/>
            <w:tcBorders>
              <w:top w:val="nil"/>
              <w:left w:val="single" w:sz="8" w:space="0" w:color="FFFFFF"/>
              <w:bottom w:val="single" w:sz="8" w:space="0" w:color="FFFFFF"/>
              <w:right w:val="single" w:sz="8" w:space="0" w:color="FFFFFF"/>
            </w:tcBorders>
            <w:shd w:val="clear" w:color="auto" w:fill="D9E2F3" w:themeFill="accent5" w:themeFillTint="33"/>
            <w:noWrap/>
            <w:vAlign w:val="center"/>
            <w:hideMark/>
          </w:tcPr>
          <w:p w14:paraId="45EA849C" w14:textId="77777777" w:rsidR="00222A07" w:rsidRPr="00C87E98" w:rsidRDefault="00222A07" w:rsidP="00222A07">
            <w:pPr>
              <w:rPr>
                <w:rFonts w:ascii="Calibri" w:hAnsi="Calibri" w:cs="Calibri"/>
                <w:sz w:val="18"/>
                <w:szCs w:val="18"/>
              </w:rPr>
            </w:pPr>
            <w:r w:rsidRPr="00C87E98">
              <w:rPr>
                <w:rFonts w:ascii="Calibri" w:hAnsi="Calibri" w:cs="Calibri"/>
                <w:color w:val="000000"/>
                <w:sz w:val="18"/>
                <w:szCs w:val="18"/>
              </w:rPr>
              <w:t>Resultado Líquido</w:t>
            </w:r>
          </w:p>
        </w:tc>
        <w:tc>
          <w:tcPr>
            <w:tcW w:w="1134" w:type="dxa"/>
            <w:tcBorders>
              <w:top w:val="nil"/>
              <w:left w:val="nil"/>
              <w:bottom w:val="single" w:sz="8" w:space="0" w:color="FFFFFF"/>
              <w:right w:val="single" w:sz="8" w:space="0" w:color="FFFFFF"/>
            </w:tcBorders>
            <w:shd w:val="clear" w:color="auto" w:fill="D9E2F3" w:themeFill="accent5" w:themeFillTint="33"/>
            <w:noWrap/>
            <w:vAlign w:val="center"/>
          </w:tcPr>
          <w:p w14:paraId="50EE376D" w14:textId="720130FC" w:rsidR="00222A07" w:rsidRPr="00C87E98" w:rsidRDefault="00222A07" w:rsidP="00222A07">
            <w:pPr>
              <w:jc w:val="right"/>
              <w:rPr>
                <w:rFonts w:ascii="Calibri" w:hAnsi="Calibri" w:cs="Calibri"/>
                <w:sz w:val="18"/>
                <w:szCs w:val="18"/>
                <w:highlight w:val="yellow"/>
              </w:rPr>
            </w:pPr>
            <w:r>
              <w:rPr>
                <w:rFonts w:ascii="Calibri" w:hAnsi="Calibri" w:cs="Calibri"/>
                <w:sz w:val="18"/>
                <w:szCs w:val="18"/>
              </w:rPr>
              <w:t xml:space="preserve">(45 513) </w:t>
            </w:r>
          </w:p>
        </w:tc>
        <w:tc>
          <w:tcPr>
            <w:tcW w:w="1275" w:type="dxa"/>
            <w:tcBorders>
              <w:top w:val="nil"/>
              <w:left w:val="nil"/>
              <w:bottom w:val="single" w:sz="8" w:space="0" w:color="FFFFFF"/>
              <w:right w:val="single" w:sz="8" w:space="0" w:color="FFFFFF"/>
            </w:tcBorders>
            <w:shd w:val="clear" w:color="auto" w:fill="D9E2F3" w:themeFill="accent5" w:themeFillTint="33"/>
            <w:noWrap/>
            <w:vAlign w:val="center"/>
          </w:tcPr>
          <w:p w14:paraId="5DD139DF" w14:textId="387823AC" w:rsidR="00222A07" w:rsidRPr="00C87E98" w:rsidRDefault="00222A07" w:rsidP="00222A07">
            <w:pPr>
              <w:jc w:val="right"/>
              <w:rPr>
                <w:rFonts w:ascii="Calibri" w:hAnsi="Calibri" w:cs="Calibri"/>
                <w:sz w:val="18"/>
                <w:szCs w:val="18"/>
              </w:rPr>
            </w:pPr>
            <w:r>
              <w:rPr>
                <w:rFonts w:ascii="Calibri" w:hAnsi="Calibri" w:cs="Calibri"/>
                <w:sz w:val="18"/>
                <w:szCs w:val="18"/>
              </w:rPr>
              <w:t xml:space="preserve">(58 677) </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3EA601B8" w14:textId="55FB2021" w:rsidR="00222A07" w:rsidRPr="00351BC7" w:rsidRDefault="00222A07" w:rsidP="00222A07">
            <w:pPr>
              <w:jc w:val="right"/>
              <w:rPr>
                <w:rFonts w:ascii="Calibri" w:hAnsi="Calibri" w:cs="Calibri"/>
                <w:sz w:val="18"/>
                <w:szCs w:val="18"/>
              </w:rPr>
            </w:pPr>
            <w:r>
              <w:rPr>
                <w:rFonts w:ascii="Calibri" w:hAnsi="Calibri" w:cs="Calibri"/>
                <w:sz w:val="18"/>
                <w:szCs w:val="18"/>
              </w:rPr>
              <w:t xml:space="preserve">(13 164) </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019CC44B" w14:textId="77777777" w:rsidR="00222A07" w:rsidRPr="00351BC7" w:rsidRDefault="00222A07" w:rsidP="00222A07">
            <w:pPr>
              <w:jc w:val="center"/>
              <w:rPr>
                <w:rFonts w:ascii="Calibri" w:hAnsi="Calibri" w:cs="Calibri"/>
                <w:sz w:val="18"/>
                <w:szCs w:val="18"/>
              </w:rPr>
            </w:pPr>
            <w:r w:rsidRPr="00C87E98">
              <w:rPr>
                <w:rFonts w:ascii="Calibri" w:hAnsi="Calibri" w:cs="Calibri"/>
                <w:color w:val="000000"/>
                <w:sz w:val="18"/>
                <w:szCs w:val="18"/>
              </w:rPr>
              <w:t> </w:t>
            </w:r>
          </w:p>
        </w:tc>
      </w:tr>
      <w:tr w:rsidR="00222A07" w:rsidRPr="008659D8" w14:paraId="23837D7F" w14:textId="77777777" w:rsidTr="005379F8">
        <w:trPr>
          <w:trHeight w:hRule="exact" w:val="284"/>
        </w:trPr>
        <w:tc>
          <w:tcPr>
            <w:tcW w:w="3261" w:type="dxa"/>
            <w:tcBorders>
              <w:top w:val="nil"/>
              <w:left w:val="single" w:sz="8" w:space="0" w:color="FFFFFF"/>
              <w:bottom w:val="single" w:sz="8" w:space="0" w:color="FFFFFF"/>
              <w:right w:val="single" w:sz="8" w:space="0" w:color="FFFFFF"/>
            </w:tcBorders>
            <w:shd w:val="clear" w:color="auto" w:fill="D9E2F3" w:themeFill="accent5" w:themeFillTint="33"/>
            <w:noWrap/>
            <w:vAlign w:val="center"/>
            <w:hideMark/>
          </w:tcPr>
          <w:p w14:paraId="3B985226" w14:textId="77777777" w:rsidR="00222A07" w:rsidRPr="00C87E98" w:rsidRDefault="00222A07" w:rsidP="00222A07">
            <w:pPr>
              <w:rPr>
                <w:rFonts w:ascii="Calibri" w:hAnsi="Calibri" w:cs="Calibri"/>
                <w:sz w:val="18"/>
                <w:szCs w:val="18"/>
              </w:rPr>
            </w:pPr>
            <w:r w:rsidRPr="00C87E98">
              <w:rPr>
                <w:rFonts w:ascii="Calibri" w:hAnsi="Calibri" w:cs="Calibri"/>
                <w:color w:val="000000"/>
                <w:sz w:val="18"/>
                <w:szCs w:val="18"/>
              </w:rPr>
              <w:t>EBITDA</w:t>
            </w:r>
          </w:p>
        </w:tc>
        <w:tc>
          <w:tcPr>
            <w:tcW w:w="1134" w:type="dxa"/>
            <w:tcBorders>
              <w:top w:val="nil"/>
              <w:left w:val="nil"/>
              <w:bottom w:val="single" w:sz="8" w:space="0" w:color="FFFFFF"/>
              <w:right w:val="single" w:sz="8" w:space="0" w:color="FFFFFF"/>
            </w:tcBorders>
            <w:shd w:val="clear" w:color="auto" w:fill="D9E2F3" w:themeFill="accent5" w:themeFillTint="33"/>
            <w:noWrap/>
            <w:vAlign w:val="center"/>
          </w:tcPr>
          <w:p w14:paraId="5D946108" w14:textId="5F6320BC" w:rsidR="00222A07" w:rsidRPr="00C87E98" w:rsidRDefault="00222A07" w:rsidP="00222A07">
            <w:pPr>
              <w:jc w:val="right"/>
              <w:rPr>
                <w:rFonts w:ascii="Calibri" w:hAnsi="Calibri" w:cs="Calibri"/>
                <w:sz w:val="18"/>
                <w:szCs w:val="18"/>
                <w:highlight w:val="yellow"/>
              </w:rPr>
            </w:pPr>
            <w:r>
              <w:rPr>
                <w:rFonts w:ascii="Calibri" w:hAnsi="Calibri" w:cs="Calibri"/>
                <w:sz w:val="18"/>
                <w:szCs w:val="18"/>
              </w:rPr>
              <w:t xml:space="preserve">19 834 </w:t>
            </w:r>
          </w:p>
        </w:tc>
        <w:tc>
          <w:tcPr>
            <w:tcW w:w="1275" w:type="dxa"/>
            <w:tcBorders>
              <w:top w:val="nil"/>
              <w:left w:val="nil"/>
              <w:bottom w:val="single" w:sz="8" w:space="0" w:color="FFFFFF"/>
              <w:right w:val="single" w:sz="8" w:space="0" w:color="FFFFFF"/>
            </w:tcBorders>
            <w:shd w:val="clear" w:color="auto" w:fill="D9E2F3" w:themeFill="accent5" w:themeFillTint="33"/>
            <w:noWrap/>
            <w:vAlign w:val="center"/>
          </w:tcPr>
          <w:p w14:paraId="205B58F5" w14:textId="06AFB798" w:rsidR="00222A07" w:rsidRPr="00C87E98" w:rsidRDefault="00222A07" w:rsidP="00222A07">
            <w:pPr>
              <w:jc w:val="right"/>
              <w:rPr>
                <w:rFonts w:ascii="Calibri" w:hAnsi="Calibri" w:cs="Calibri"/>
                <w:sz w:val="18"/>
                <w:szCs w:val="18"/>
                <w:highlight w:val="yellow"/>
              </w:rPr>
            </w:pPr>
            <w:r>
              <w:rPr>
                <w:rFonts w:ascii="Calibri" w:hAnsi="Calibri" w:cs="Calibri"/>
                <w:sz w:val="18"/>
                <w:szCs w:val="18"/>
              </w:rPr>
              <w:t xml:space="preserve">6 340 </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6B707BCE" w14:textId="3CDF8EDB" w:rsidR="00222A07" w:rsidRPr="00351BC7" w:rsidRDefault="00222A07" w:rsidP="00222A07">
            <w:pPr>
              <w:jc w:val="right"/>
              <w:rPr>
                <w:rFonts w:ascii="Calibri" w:hAnsi="Calibri" w:cs="Calibri"/>
                <w:sz w:val="18"/>
                <w:szCs w:val="18"/>
                <w:highlight w:val="yellow"/>
              </w:rPr>
            </w:pPr>
            <w:r>
              <w:rPr>
                <w:rFonts w:ascii="Calibri" w:hAnsi="Calibri" w:cs="Calibri"/>
                <w:sz w:val="18"/>
                <w:szCs w:val="18"/>
              </w:rPr>
              <w:t xml:space="preserve">(13 494) </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554A6EA4" w14:textId="77777777" w:rsidR="00222A07" w:rsidRPr="00351BC7" w:rsidRDefault="00222A07" w:rsidP="00222A07">
            <w:pPr>
              <w:jc w:val="center"/>
              <w:rPr>
                <w:rFonts w:ascii="Calibri" w:hAnsi="Calibri" w:cs="Calibri"/>
                <w:sz w:val="18"/>
                <w:szCs w:val="18"/>
              </w:rPr>
            </w:pPr>
            <w:r w:rsidRPr="00C87E98">
              <w:rPr>
                <w:rFonts w:ascii="Calibri" w:hAnsi="Calibri" w:cs="Calibri"/>
                <w:color w:val="000000"/>
                <w:sz w:val="18"/>
                <w:szCs w:val="18"/>
              </w:rPr>
              <w:t> </w:t>
            </w:r>
          </w:p>
        </w:tc>
      </w:tr>
      <w:tr w:rsidR="00222A07" w:rsidRPr="008659D8" w14:paraId="1F3AE373" w14:textId="77777777" w:rsidTr="005379F8">
        <w:trPr>
          <w:trHeight w:hRule="exact" w:val="284"/>
        </w:trPr>
        <w:tc>
          <w:tcPr>
            <w:tcW w:w="3261" w:type="dxa"/>
            <w:tcBorders>
              <w:top w:val="nil"/>
              <w:left w:val="single" w:sz="8" w:space="0" w:color="FFFFFF"/>
              <w:bottom w:val="single" w:sz="8" w:space="0" w:color="FFFFFF"/>
              <w:right w:val="single" w:sz="8" w:space="0" w:color="FFFFFF"/>
            </w:tcBorders>
            <w:shd w:val="clear" w:color="auto" w:fill="D9E2F3" w:themeFill="accent5" w:themeFillTint="33"/>
            <w:noWrap/>
            <w:vAlign w:val="center"/>
          </w:tcPr>
          <w:p w14:paraId="0672248B" w14:textId="77777777" w:rsidR="00222A07" w:rsidRPr="00C87E98" w:rsidRDefault="00222A07" w:rsidP="00222A07">
            <w:pPr>
              <w:rPr>
                <w:rFonts w:ascii="Calibri" w:hAnsi="Calibri" w:cs="Calibri"/>
                <w:sz w:val="18"/>
                <w:szCs w:val="18"/>
              </w:rPr>
            </w:pPr>
            <w:r w:rsidRPr="00C87E98">
              <w:rPr>
                <w:rFonts w:ascii="Calibri" w:hAnsi="Calibri" w:cs="Calibri"/>
                <w:color w:val="000000"/>
                <w:sz w:val="18"/>
                <w:szCs w:val="18"/>
              </w:rPr>
              <w:t xml:space="preserve">Resultado Operacional </w:t>
            </w:r>
            <w:r w:rsidRPr="00C87E98">
              <w:rPr>
                <w:rFonts w:ascii="Calibri" w:hAnsi="Calibri" w:cs="Calibri"/>
                <w:color w:val="000000"/>
                <w:sz w:val="18"/>
                <w:szCs w:val="18"/>
                <w:vertAlign w:val="superscript"/>
              </w:rPr>
              <w:t>1)</w:t>
            </w:r>
            <w:r w:rsidRPr="00C87E98">
              <w:rPr>
                <w:rFonts w:ascii="Calibri" w:hAnsi="Calibri" w:cs="Calibri"/>
                <w:color w:val="000000"/>
                <w:sz w:val="18"/>
                <w:szCs w:val="18"/>
              </w:rPr>
              <w:t xml:space="preserve"> (EBIT)</w:t>
            </w:r>
          </w:p>
        </w:tc>
        <w:tc>
          <w:tcPr>
            <w:tcW w:w="1134" w:type="dxa"/>
            <w:tcBorders>
              <w:top w:val="nil"/>
              <w:left w:val="nil"/>
              <w:bottom w:val="single" w:sz="8" w:space="0" w:color="FFFFFF"/>
              <w:right w:val="single" w:sz="8" w:space="0" w:color="FFFFFF"/>
            </w:tcBorders>
            <w:shd w:val="clear" w:color="auto" w:fill="D9E2F3" w:themeFill="accent5" w:themeFillTint="33"/>
            <w:noWrap/>
            <w:vAlign w:val="center"/>
          </w:tcPr>
          <w:p w14:paraId="63F08CD6" w14:textId="0ABF7FC0" w:rsidR="00222A07" w:rsidRPr="00C87E98" w:rsidRDefault="00222A07" w:rsidP="00222A07">
            <w:pPr>
              <w:jc w:val="right"/>
              <w:rPr>
                <w:rFonts w:ascii="Calibri" w:hAnsi="Calibri" w:cs="Calibri"/>
                <w:sz w:val="18"/>
                <w:szCs w:val="18"/>
                <w:highlight w:val="yellow"/>
              </w:rPr>
            </w:pPr>
            <w:r>
              <w:rPr>
                <w:rFonts w:ascii="Calibri" w:hAnsi="Calibri" w:cs="Calibri"/>
                <w:sz w:val="18"/>
                <w:szCs w:val="18"/>
              </w:rPr>
              <w:t xml:space="preserve">(23 286) </w:t>
            </w:r>
          </w:p>
        </w:tc>
        <w:tc>
          <w:tcPr>
            <w:tcW w:w="1275" w:type="dxa"/>
            <w:tcBorders>
              <w:top w:val="nil"/>
              <w:left w:val="nil"/>
              <w:bottom w:val="single" w:sz="8" w:space="0" w:color="FFFFFF"/>
              <w:right w:val="single" w:sz="8" w:space="0" w:color="FFFFFF"/>
            </w:tcBorders>
            <w:shd w:val="clear" w:color="auto" w:fill="D9E2F3" w:themeFill="accent5" w:themeFillTint="33"/>
            <w:noWrap/>
            <w:vAlign w:val="center"/>
          </w:tcPr>
          <w:p w14:paraId="1E57CB41" w14:textId="3134C606" w:rsidR="00222A07" w:rsidRPr="00C87E98" w:rsidRDefault="00222A07" w:rsidP="00222A07">
            <w:pPr>
              <w:jc w:val="right"/>
              <w:rPr>
                <w:rFonts w:ascii="Calibri" w:hAnsi="Calibri" w:cs="Calibri"/>
                <w:sz w:val="18"/>
                <w:szCs w:val="18"/>
                <w:highlight w:val="yellow"/>
              </w:rPr>
            </w:pPr>
            <w:r>
              <w:rPr>
                <w:rFonts w:ascii="Calibri" w:hAnsi="Calibri" w:cs="Calibri"/>
                <w:sz w:val="18"/>
                <w:szCs w:val="18"/>
              </w:rPr>
              <w:t xml:space="preserve">31 454 </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291D4A77" w14:textId="484CF3FA" w:rsidR="00222A07" w:rsidRPr="00351BC7" w:rsidRDefault="00222A07" w:rsidP="00222A07">
            <w:pPr>
              <w:jc w:val="right"/>
              <w:rPr>
                <w:rFonts w:ascii="Calibri" w:hAnsi="Calibri" w:cs="Calibri"/>
                <w:sz w:val="18"/>
                <w:szCs w:val="18"/>
                <w:highlight w:val="yellow"/>
              </w:rPr>
            </w:pPr>
            <w:r>
              <w:rPr>
                <w:rFonts w:ascii="Calibri" w:hAnsi="Calibri" w:cs="Calibri"/>
                <w:sz w:val="18"/>
                <w:szCs w:val="18"/>
              </w:rPr>
              <w:t xml:space="preserve">54 740 </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63BE8681" w14:textId="77777777" w:rsidR="00222A07" w:rsidRPr="00351BC7" w:rsidRDefault="00222A07" w:rsidP="00222A07">
            <w:pPr>
              <w:jc w:val="center"/>
              <w:rPr>
                <w:rFonts w:ascii="Calibri" w:hAnsi="Calibri" w:cs="Calibri"/>
                <w:sz w:val="18"/>
                <w:szCs w:val="18"/>
                <w:vertAlign w:val="superscript"/>
              </w:rPr>
            </w:pPr>
          </w:p>
        </w:tc>
      </w:tr>
      <w:tr w:rsidR="00222A07" w:rsidRPr="008659D8" w14:paraId="6AB743AB" w14:textId="77777777" w:rsidTr="005379F8">
        <w:trPr>
          <w:trHeight w:hRule="exact" w:val="284"/>
        </w:trPr>
        <w:tc>
          <w:tcPr>
            <w:tcW w:w="3261" w:type="dxa"/>
            <w:tcBorders>
              <w:top w:val="nil"/>
              <w:left w:val="single" w:sz="8" w:space="0" w:color="FFFFFF"/>
              <w:bottom w:val="single" w:sz="8" w:space="0" w:color="FFFFFF"/>
              <w:right w:val="single" w:sz="8" w:space="0" w:color="FFFFFF"/>
            </w:tcBorders>
            <w:shd w:val="clear" w:color="auto" w:fill="D9E2F3" w:themeFill="accent5" w:themeFillTint="33"/>
            <w:noWrap/>
            <w:vAlign w:val="center"/>
            <w:hideMark/>
          </w:tcPr>
          <w:p w14:paraId="31346B6D" w14:textId="77777777" w:rsidR="00222A07" w:rsidRPr="00C87E98" w:rsidRDefault="00222A07" w:rsidP="00222A07">
            <w:pPr>
              <w:rPr>
                <w:rFonts w:ascii="Calibri" w:hAnsi="Calibri" w:cs="Calibri"/>
                <w:sz w:val="18"/>
                <w:szCs w:val="18"/>
              </w:rPr>
            </w:pPr>
            <w:r w:rsidRPr="00C87E98">
              <w:rPr>
                <w:rFonts w:ascii="Calibri" w:hAnsi="Calibri" w:cs="Calibri"/>
                <w:color w:val="000000"/>
                <w:sz w:val="18"/>
                <w:szCs w:val="18"/>
              </w:rPr>
              <w:t xml:space="preserve">Volume de Negócios </w:t>
            </w:r>
            <w:r w:rsidRPr="00C87E98">
              <w:rPr>
                <w:rFonts w:ascii="Calibri" w:hAnsi="Calibri" w:cs="Calibri"/>
                <w:color w:val="000000"/>
                <w:sz w:val="18"/>
                <w:szCs w:val="18"/>
                <w:vertAlign w:val="superscript"/>
              </w:rPr>
              <w:t>2)</w:t>
            </w:r>
          </w:p>
        </w:tc>
        <w:tc>
          <w:tcPr>
            <w:tcW w:w="1134" w:type="dxa"/>
            <w:tcBorders>
              <w:top w:val="nil"/>
              <w:left w:val="nil"/>
              <w:bottom w:val="single" w:sz="8" w:space="0" w:color="FFFFFF"/>
              <w:right w:val="single" w:sz="8" w:space="0" w:color="FFFFFF"/>
            </w:tcBorders>
            <w:shd w:val="clear" w:color="auto" w:fill="D9E2F3" w:themeFill="accent5" w:themeFillTint="33"/>
            <w:noWrap/>
            <w:vAlign w:val="center"/>
          </w:tcPr>
          <w:p w14:paraId="4309F45D" w14:textId="54C8C3F2" w:rsidR="00222A07" w:rsidRPr="00C87E98" w:rsidRDefault="00222A07" w:rsidP="00222A07">
            <w:pPr>
              <w:jc w:val="right"/>
              <w:rPr>
                <w:rFonts w:ascii="Calibri" w:hAnsi="Calibri" w:cs="Calibri"/>
                <w:sz w:val="18"/>
                <w:szCs w:val="18"/>
                <w:highlight w:val="yellow"/>
              </w:rPr>
            </w:pPr>
            <w:r>
              <w:rPr>
                <w:rFonts w:ascii="Calibri" w:hAnsi="Calibri" w:cs="Calibri"/>
                <w:sz w:val="18"/>
                <w:szCs w:val="18"/>
              </w:rPr>
              <w:t xml:space="preserve">10 586 </w:t>
            </w:r>
          </w:p>
        </w:tc>
        <w:tc>
          <w:tcPr>
            <w:tcW w:w="1275" w:type="dxa"/>
            <w:tcBorders>
              <w:top w:val="nil"/>
              <w:left w:val="nil"/>
              <w:bottom w:val="single" w:sz="8" w:space="0" w:color="FFFFFF"/>
              <w:right w:val="single" w:sz="8" w:space="0" w:color="FFFFFF"/>
            </w:tcBorders>
            <w:shd w:val="clear" w:color="auto" w:fill="D9E2F3" w:themeFill="accent5" w:themeFillTint="33"/>
            <w:noWrap/>
            <w:vAlign w:val="center"/>
          </w:tcPr>
          <w:p w14:paraId="6FF05D5D" w14:textId="0E1DD3D2" w:rsidR="00222A07" w:rsidRPr="00C87E98" w:rsidRDefault="00222A07" w:rsidP="00222A07">
            <w:pPr>
              <w:jc w:val="right"/>
              <w:rPr>
                <w:rFonts w:ascii="Calibri" w:hAnsi="Calibri" w:cs="Calibri"/>
                <w:sz w:val="18"/>
                <w:szCs w:val="18"/>
                <w:highlight w:val="yellow"/>
              </w:rPr>
            </w:pPr>
            <w:r>
              <w:rPr>
                <w:rFonts w:ascii="Calibri" w:hAnsi="Calibri" w:cs="Calibri"/>
                <w:sz w:val="18"/>
                <w:szCs w:val="18"/>
              </w:rPr>
              <w:t xml:space="preserve">15 385 </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733AA0DC" w14:textId="1202A146" w:rsidR="00222A07" w:rsidRPr="00351BC7" w:rsidRDefault="00222A07" w:rsidP="00222A07">
            <w:pPr>
              <w:jc w:val="right"/>
              <w:rPr>
                <w:rFonts w:ascii="Calibri" w:hAnsi="Calibri" w:cs="Calibri"/>
                <w:sz w:val="18"/>
                <w:szCs w:val="18"/>
                <w:highlight w:val="yellow"/>
              </w:rPr>
            </w:pPr>
            <w:r>
              <w:rPr>
                <w:rFonts w:ascii="Calibri" w:hAnsi="Calibri" w:cs="Calibri"/>
                <w:sz w:val="18"/>
                <w:szCs w:val="18"/>
              </w:rPr>
              <w:t xml:space="preserve">4 799 </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2B39FD4D" w14:textId="77777777" w:rsidR="00222A07" w:rsidRPr="00351BC7" w:rsidRDefault="00222A07" w:rsidP="00222A07">
            <w:pPr>
              <w:jc w:val="center"/>
              <w:rPr>
                <w:rFonts w:ascii="Calibri" w:hAnsi="Calibri" w:cs="Calibri"/>
                <w:sz w:val="18"/>
                <w:szCs w:val="18"/>
                <w:vertAlign w:val="superscript"/>
              </w:rPr>
            </w:pPr>
            <w:r w:rsidRPr="00C87E98">
              <w:rPr>
                <w:rFonts w:ascii="Calibri" w:hAnsi="Calibri" w:cs="Calibri"/>
                <w:sz w:val="18"/>
                <w:szCs w:val="18"/>
                <w:vertAlign w:val="superscript"/>
              </w:rPr>
              <w:t> </w:t>
            </w:r>
          </w:p>
        </w:tc>
      </w:tr>
      <w:tr w:rsidR="00222A07" w:rsidRPr="008659D8" w14:paraId="064EF5B8" w14:textId="77777777" w:rsidTr="005379F8">
        <w:trPr>
          <w:trHeight w:hRule="exact" w:val="284"/>
        </w:trPr>
        <w:tc>
          <w:tcPr>
            <w:tcW w:w="3261" w:type="dxa"/>
            <w:tcBorders>
              <w:top w:val="nil"/>
              <w:left w:val="single" w:sz="8" w:space="0" w:color="FFFFFF"/>
              <w:bottom w:val="single" w:sz="8" w:space="0" w:color="FFFFFF"/>
              <w:right w:val="single" w:sz="8" w:space="0" w:color="FFFFFF"/>
            </w:tcBorders>
            <w:shd w:val="clear" w:color="auto" w:fill="D9E2F3" w:themeFill="accent5" w:themeFillTint="33"/>
            <w:noWrap/>
            <w:vAlign w:val="center"/>
          </w:tcPr>
          <w:p w14:paraId="13ABE904" w14:textId="77777777" w:rsidR="00222A07" w:rsidRPr="00C87E98" w:rsidRDefault="00222A07" w:rsidP="00222A07">
            <w:pPr>
              <w:rPr>
                <w:rFonts w:ascii="Calibri" w:hAnsi="Calibri" w:cs="Calibri"/>
                <w:color w:val="000000"/>
                <w:sz w:val="18"/>
                <w:szCs w:val="18"/>
              </w:rPr>
            </w:pPr>
            <w:r w:rsidRPr="00C87E98">
              <w:rPr>
                <w:rFonts w:ascii="Calibri" w:hAnsi="Calibri" w:cs="Calibri"/>
                <w:color w:val="000000"/>
                <w:sz w:val="18"/>
                <w:szCs w:val="18"/>
              </w:rPr>
              <w:t xml:space="preserve">Gastos Operacionais </w:t>
            </w:r>
            <w:r w:rsidRPr="00C87E98">
              <w:rPr>
                <w:rFonts w:ascii="Calibri" w:hAnsi="Calibri" w:cs="Calibri"/>
                <w:color w:val="000000"/>
                <w:sz w:val="18"/>
                <w:szCs w:val="18"/>
                <w:vertAlign w:val="superscript"/>
              </w:rPr>
              <w:t>3)</w:t>
            </w:r>
          </w:p>
        </w:tc>
        <w:tc>
          <w:tcPr>
            <w:tcW w:w="1134" w:type="dxa"/>
            <w:tcBorders>
              <w:top w:val="nil"/>
              <w:left w:val="nil"/>
              <w:bottom w:val="single" w:sz="8" w:space="0" w:color="FFFFFF"/>
              <w:right w:val="single" w:sz="8" w:space="0" w:color="FFFFFF"/>
            </w:tcBorders>
            <w:shd w:val="clear" w:color="auto" w:fill="D9E2F3" w:themeFill="accent5" w:themeFillTint="33"/>
            <w:noWrap/>
            <w:vAlign w:val="center"/>
          </w:tcPr>
          <w:p w14:paraId="4516F587" w14:textId="160B8194" w:rsidR="00222A07" w:rsidRPr="00C87E98" w:rsidRDefault="00222A07" w:rsidP="00222A07">
            <w:pPr>
              <w:jc w:val="right"/>
              <w:rPr>
                <w:rFonts w:ascii="Calibri" w:hAnsi="Calibri" w:cs="Calibri"/>
                <w:color w:val="000000"/>
                <w:sz w:val="18"/>
                <w:szCs w:val="18"/>
              </w:rPr>
            </w:pPr>
            <w:r>
              <w:rPr>
                <w:rFonts w:ascii="Calibri" w:hAnsi="Calibri" w:cs="Calibri"/>
                <w:sz w:val="18"/>
                <w:szCs w:val="18"/>
              </w:rPr>
              <w:t xml:space="preserve">23 745 </w:t>
            </w:r>
          </w:p>
        </w:tc>
        <w:tc>
          <w:tcPr>
            <w:tcW w:w="1275" w:type="dxa"/>
            <w:tcBorders>
              <w:top w:val="nil"/>
              <w:left w:val="nil"/>
              <w:bottom w:val="single" w:sz="8" w:space="0" w:color="FFFFFF"/>
              <w:right w:val="single" w:sz="8" w:space="0" w:color="FFFFFF"/>
            </w:tcBorders>
            <w:shd w:val="clear" w:color="auto" w:fill="D9E2F3" w:themeFill="accent5" w:themeFillTint="33"/>
            <w:noWrap/>
            <w:vAlign w:val="center"/>
          </w:tcPr>
          <w:p w14:paraId="1CD602ED" w14:textId="330DC3EF" w:rsidR="00222A07" w:rsidRPr="00C87E98" w:rsidRDefault="00222A07" w:rsidP="00222A07">
            <w:pPr>
              <w:jc w:val="right"/>
              <w:rPr>
                <w:rFonts w:ascii="Calibri" w:hAnsi="Calibri" w:cs="Calibri"/>
                <w:color w:val="000000"/>
                <w:sz w:val="18"/>
                <w:szCs w:val="18"/>
              </w:rPr>
            </w:pPr>
            <w:r>
              <w:rPr>
                <w:rFonts w:ascii="Calibri" w:hAnsi="Calibri" w:cs="Calibri"/>
                <w:sz w:val="18"/>
                <w:szCs w:val="18"/>
              </w:rPr>
              <w:t xml:space="preserve">19 380 </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593B117E" w14:textId="6FFAB241" w:rsidR="00222A07" w:rsidRPr="00C87E98" w:rsidRDefault="00222A07" w:rsidP="00222A07">
            <w:pPr>
              <w:jc w:val="right"/>
              <w:rPr>
                <w:rFonts w:ascii="Calibri" w:hAnsi="Calibri" w:cs="Calibri"/>
                <w:sz w:val="18"/>
                <w:szCs w:val="18"/>
              </w:rPr>
            </w:pPr>
            <w:r>
              <w:rPr>
                <w:rFonts w:ascii="Calibri" w:hAnsi="Calibri" w:cs="Calibri"/>
                <w:sz w:val="18"/>
                <w:szCs w:val="18"/>
              </w:rPr>
              <w:t xml:space="preserve">(4 365) </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4A1AEEFB" w14:textId="77777777" w:rsidR="00222A07" w:rsidRPr="00351BC7" w:rsidRDefault="00222A07" w:rsidP="00222A07">
            <w:pPr>
              <w:jc w:val="center"/>
              <w:rPr>
                <w:rFonts w:ascii="Calibri" w:hAnsi="Calibri" w:cs="Calibri"/>
                <w:color w:val="000000"/>
                <w:sz w:val="18"/>
                <w:szCs w:val="18"/>
                <w:vertAlign w:val="superscript"/>
              </w:rPr>
            </w:pPr>
          </w:p>
        </w:tc>
      </w:tr>
      <w:tr w:rsidR="00222A07" w:rsidRPr="008659D8" w14:paraId="1BA21FC0" w14:textId="77777777" w:rsidTr="005379F8">
        <w:trPr>
          <w:trHeight w:hRule="exact" w:val="284"/>
        </w:trPr>
        <w:tc>
          <w:tcPr>
            <w:tcW w:w="3261" w:type="dxa"/>
            <w:tcBorders>
              <w:top w:val="nil"/>
              <w:left w:val="single" w:sz="8" w:space="0" w:color="FFFFFF"/>
              <w:bottom w:val="single" w:sz="8" w:space="0" w:color="FFFFFF"/>
              <w:right w:val="single" w:sz="8" w:space="0" w:color="FFFFFF"/>
            </w:tcBorders>
            <w:shd w:val="clear" w:color="auto" w:fill="D9E2F3" w:themeFill="accent5" w:themeFillTint="33"/>
            <w:noWrap/>
            <w:vAlign w:val="center"/>
          </w:tcPr>
          <w:p w14:paraId="1E3541DA" w14:textId="77777777" w:rsidR="00222A07" w:rsidRPr="00C87E98" w:rsidRDefault="00222A07" w:rsidP="00222A07">
            <w:pPr>
              <w:rPr>
                <w:rFonts w:ascii="Calibri" w:hAnsi="Calibri" w:cs="Calibri"/>
                <w:color w:val="000000"/>
                <w:sz w:val="18"/>
                <w:szCs w:val="18"/>
              </w:rPr>
            </w:pPr>
            <w:r w:rsidRPr="00C87E98">
              <w:rPr>
                <w:rFonts w:ascii="Calibri" w:hAnsi="Calibri" w:cs="Calibri"/>
                <w:color w:val="000000"/>
                <w:sz w:val="18"/>
                <w:szCs w:val="18"/>
              </w:rPr>
              <w:t xml:space="preserve">Gastos Operacionais/ Volume de N. </w:t>
            </w:r>
          </w:p>
        </w:tc>
        <w:tc>
          <w:tcPr>
            <w:tcW w:w="1134" w:type="dxa"/>
            <w:tcBorders>
              <w:top w:val="nil"/>
              <w:left w:val="nil"/>
              <w:bottom w:val="single" w:sz="8" w:space="0" w:color="FFFFFF"/>
              <w:right w:val="single" w:sz="8" w:space="0" w:color="FFFFFF"/>
            </w:tcBorders>
            <w:shd w:val="clear" w:color="auto" w:fill="D9E2F3" w:themeFill="accent5" w:themeFillTint="33"/>
            <w:noWrap/>
            <w:vAlign w:val="center"/>
          </w:tcPr>
          <w:p w14:paraId="7C2C0FE6" w14:textId="229CC496" w:rsidR="00222A07" w:rsidRPr="00C87E98" w:rsidRDefault="00222A07" w:rsidP="00222A07">
            <w:pPr>
              <w:jc w:val="right"/>
              <w:rPr>
                <w:rFonts w:ascii="Calibri" w:hAnsi="Calibri" w:cs="Calibri"/>
                <w:color w:val="000000"/>
                <w:sz w:val="18"/>
                <w:szCs w:val="18"/>
              </w:rPr>
            </w:pPr>
            <w:r>
              <w:rPr>
                <w:rFonts w:ascii="Calibri" w:hAnsi="Calibri" w:cs="Calibri"/>
                <w:sz w:val="18"/>
                <w:szCs w:val="18"/>
              </w:rPr>
              <w:t>224%</w:t>
            </w:r>
          </w:p>
        </w:tc>
        <w:tc>
          <w:tcPr>
            <w:tcW w:w="1275" w:type="dxa"/>
            <w:tcBorders>
              <w:top w:val="nil"/>
              <w:left w:val="nil"/>
              <w:bottom w:val="single" w:sz="8" w:space="0" w:color="FFFFFF"/>
              <w:right w:val="single" w:sz="8" w:space="0" w:color="FFFFFF"/>
            </w:tcBorders>
            <w:shd w:val="clear" w:color="auto" w:fill="D9E2F3" w:themeFill="accent5" w:themeFillTint="33"/>
            <w:noWrap/>
            <w:vAlign w:val="center"/>
          </w:tcPr>
          <w:p w14:paraId="416AE43D" w14:textId="5A004442" w:rsidR="00222A07" w:rsidRPr="00C87E98" w:rsidRDefault="00222A07" w:rsidP="00222A07">
            <w:pPr>
              <w:jc w:val="right"/>
              <w:rPr>
                <w:rFonts w:ascii="Calibri" w:hAnsi="Calibri" w:cs="Calibri"/>
                <w:color w:val="000000"/>
                <w:sz w:val="18"/>
                <w:szCs w:val="18"/>
              </w:rPr>
            </w:pPr>
            <w:r>
              <w:rPr>
                <w:rFonts w:ascii="Calibri" w:hAnsi="Calibri" w:cs="Calibri"/>
                <w:sz w:val="18"/>
                <w:szCs w:val="18"/>
              </w:rPr>
              <w:t>126%</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3CC2D166" w14:textId="6D0E17C4" w:rsidR="00222A07" w:rsidRPr="00C87E98" w:rsidRDefault="00222A07" w:rsidP="00222A07">
            <w:pPr>
              <w:jc w:val="right"/>
              <w:rPr>
                <w:rFonts w:ascii="Calibri" w:hAnsi="Calibri" w:cs="Calibri"/>
                <w:sz w:val="18"/>
                <w:szCs w:val="18"/>
              </w:rPr>
            </w:pPr>
            <w:r>
              <w:rPr>
                <w:rFonts w:ascii="Calibri" w:hAnsi="Calibri" w:cs="Calibri"/>
                <w:sz w:val="18"/>
                <w:szCs w:val="18"/>
              </w:rPr>
              <w:t>-91%</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18E81CB6" w14:textId="77777777" w:rsidR="00222A07" w:rsidRPr="00351BC7" w:rsidRDefault="00222A07" w:rsidP="00222A07">
            <w:pPr>
              <w:jc w:val="center"/>
              <w:rPr>
                <w:rFonts w:ascii="Calibri" w:hAnsi="Calibri" w:cs="Calibri"/>
                <w:color w:val="000000"/>
                <w:sz w:val="18"/>
                <w:szCs w:val="18"/>
                <w:vertAlign w:val="superscript"/>
              </w:rPr>
            </w:pPr>
          </w:p>
        </w:tc>
      </w:tr>
      <w:tr w:rsidR="00222A07" w:rsidRPr="008659D8" w14:paraId="44D9A80B" w14:textId="77777777" w:rsidTr="005379F8">
        <w:trPr>
          <w:trHeight w:hRule="exact" w:val="284"/>
        </w:trPr>
        <w:tc>
          <w:tcPr>
            <w:tcW w:w="3261" w:type="dxa"/>
            <w:tcBorders>
              <w:top w:val="nil"/>
              <w:left w:val="single" w:sz="8" w:space="0" w:color="FFFFFF"/>
              <w:bottom w:val="single" w:sz="8" w:space="0" w:color="FFFFFF"/>
              <w:right w:val="single" w:sz="8" w:space="0" w:color="FFFFFF"/>
            </w:tcBorders>
            <w:shd w:val="clear" w:color="auto" w:fill="D9E2F3" w:themeFill="accent5" w:themeFillTint="33"/>
            <w:noWrap/>
            <w:vAlign w:val="center"/>
            <w:hideMark/>
          </w:tcPr>
          <w:p w14:paraId="35A8D3FB" w14:textId="77777777" w:rsidR="00222A07" w:rsidRPr="00C87E98" w:rsidRDefault="00222A07" w:rsidP="00222A07">
            <w:pPr>
              <w:rPr>
                <w:rFonts w:ascii="Calibri" w:hAnsi="Calibri" w:cs="Calibri"/>
                <w:color w:val="000000"/>
                <w:sz w:val="18"/>
                <w:szCs w:val="18"/>
              </w:rPr>
            </w:pPr>
            <w:r w:rsidRPr="00C87E98">
              <w:rPr>
                <w:rFonts w:ascii="Calibri" w:hAnsi="Calibri" w:cs="Calibri"/>
                <w:color w:val="000000"/>
                <w:sz w:val="18"/>
                <w:szCs w:val="18"/>
              </w:rPr>
              <w:t xml:space="preserve">Endividamento </w:t>
            </w:r>
            <w:r w:rsidRPr="00C87E98">
              <w:rPr>
                <w:rFonts w:ascii="Calibri" w:hAnsi="Calibri" w:cs="Calibri"/>
                <w:color w:val="000000"/>
                <w:sz w:val="18"/>
                <w:szCs w:val="18"/>
                <w:vertAlign w:val="superscript"/>
              </w:rPr>
              <w:t>4)</w:t>
            </w:r>
          </w:p>
        </w:tc>
        <w:tc>
          <w:tcPr>
            <w:tcW w:w="1134" w:type="dxa"/>
            <w:tcBorders>
              <w:top w:val="nil"/>
              <w:left w:val="nil"/>
              <w:bottom w:val="single" w:sz="8" w:space="0" w:color="FFFFFF"/>
              <w:right w:val="single" w:sz="8" w:space="0" w:color="FFFFFF"/>
            </w:tcBorders>
            <w:shd w:val="clear" w:color="auto" w:fill="D9E2F3" w:themeFill="accent5" w:themeFillTint="33"/>
            <w:noWrap/>
            <w:vAlign w:val="center"/>
          </w:tcPr>
          <w:p w14:paraId="28D905BF" w14:textId="6FFCE3B0" w:rsidR="00222A07" w:rsidRPr="00C87E98" w:rsidRDefault="00222A07" w:rsidP="00222A07">
            <w:pPr>
              <w:jc w:val="right"/>
              <w:rPr>
                <w:rFonts w:ascii="Calibri" w:hAnsi="Calibri" w:cs="Calibri"/>
                <w:color w:val="000000"/>
                <w:sz w:val="18"/>
                <w:szCs w:val="18"/>
                <w:highlight w:val="yellow"/>
              </w:rPr>
            </w:pPr>
            <w:r>
              <w:rPr>
                <w:rFonts w:ascii="Calibri" w:hAnsi="Calibri" w:cs="Calibri"/>
                <w:color w:val="000000"/>
                <w:sz w:val="18"/>
                <w:szCs w:val="18"/>
              </w:rPr>
              <w:t xml:space="preserve">5 316 635 </w:t>
            </w:r>
          </w:p>
        </w:tc>
        <w:tc>
          <w:tcPr>
            <w:tcW w:w="1275" w:type="dxa"/>
            <w:tcBorders>
              <w:top w:val="nil"/>
              <w:left w:val="nil"/>
              <w:bottom w:val="single" w:sz="8" w:space="0" w:color="FFFFFF"/>
              <w:right w:val="single" w:sz="8" w:space="0" w:color="FFFFFF"/>
            </w:tcBorders>
            <w:shd w:val="clear" w:color="auto" w:fill="D9E2F3" w:themeFill="accent5" w:themeFillTint="33"/>
            <w:noWrap/>
            <w:vAlign w:val="center"/>
          </w:tcPr>
          <w:p w14:paraId="28BE47C1" w14:textId="4A1C676B" w:rsidR="00222A07" w:rsidRPr="00C87E98" w:rsidRDefault="00222A07" w:rsidP="00222A07">
            <w:pPr>
              <w:jc w:val="right"/>
              <w:rPr>
                <w:rFonts w:ascii="Calibri" w:hAnsi="Calibri" w:cs="Calibri"/>
                <w:color w:val="000000"/>
                <w:sz w:val="18"/>
                <w:szCs w:val="18"/>
                <w:highlight w:val="yellow"/>
              </w:rPr>
            </w:pPr>
            <w:r>
              <w:rPr>
                <w:rFonts w:ascii="Calibri" w:hAnsi="Calibri" w:cs="Calibri"/>
                <w:color w:val="000000"/>
                <w:sz w:val="18"/>
                <w:szCs w:val="18"/>
              </w:rPr>
              <w:t xml:space="preserve">5 288 110 </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26D38903" w14:textId="42CE8B28" w:rsidR="00222A07" w:rsidRPr="00351BC7" w:rsidRDefault="00222A07" w:rsidP="00222A07">
            <w:pPr>
              <w:jc w:val="right"/>
              <w:rPr>
                <w:rFonts w:ascii="Calibri" w:hAnsi="Calibri" w:cs="Calibri"/>
                <w:color w:val="000000"/>
                <w:sz w:val="18"/>
                <w:szCs w:val="18"/>
                <w:highlight w:val="yellow"/>
              </w:rPr>
            </w:pPr>
            <w:r>
              <w:rPr>
                <w:rFonts w:ascii="Calibri" w:hAnsi="Calibri" w:cs="Calibri"/>
                <w:sz w:val="18"/>
                <w:szCs w:val="18"/>
              </w:rPr>
              <w:t xml:space="preserve">(28 525) </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1C3C0006" w14:textId="77777777" w:rsidR="00222A07" w:rsidRPr="00351BC7" w:rsidRDefault="00222A07" w:rsidP="00222A07">
            <w:pPr>
              <w:jc w:val="center"/>
              <w:rPr>
                <w:rFonts w:ascii="Calibri" w:hAnsi="Calibri" w:cs="Calibri"/>
                <w:color w:val="000000"/>
                <w:sz w:val="18"/>
                <w:szCs w:val="18"/>
                <w:vertAlign w:val="superscript"/>
              </w:rPr>
            </w:pPr>
            <w:r w:rsidRPr="00351BC7">
              <w:rPr>
                <w:rFonts w:ascii="Calibri" w:hAnsi="Calibri" w:cs="Calibri"/>
                <w:color w:val="000000"/>
                <w:sz w:val="18"/>
                <w:szCs w:val="18"/>
                <w:vertAlign w:val="superscript"/>
              </w:rPr>
              <w:t>(*)</w:t>
            </w:r>
          </w:p>
        </w:tc>
      </w:tr>
      <w:tr w:rsidR="00222A07" w:rsidRPr="008659D8" w14:paraId="390FF783" w14:textId="77777777" w:rsidTr="005379F8">
        <w:trPr>
          <w:trHeight w:hRule="exact" w:val="284"/>
        </w:trPr>
        <w:tc>
          <w:tcPr>
            <w:tcW w:w="3261" w:type="dxa"/>
            <w:tcBorders>
              <w:top w:val="nil"/>
              <w:left w:val="single" w:sz="8" w:space="0" w:color="FFFFFF"/>
              <w:bottom w:val="single" w:sz="8" w:space="0" w:color="FFFFFF"/>
              <w:right w:val="single" w:sz="8" w:space="0" w:color="FFFFFF"/>
            </w:tcBorders>
            <w:shd w:val="clear" w:color="auto" w:fill="D9E2F3" w:themeFill="accent5" w:themeFillTint="33"/>
            <w:noWrap/>
            <w:vAlign w:val="center"/>
            <w:hideMark/>
          </w:tcPr>
          <w:p w14:paraId="6D107ADF" w14:textId="77777777" w:rsidR="00222A07" w:rsidRPr="00C87E98" w:rsidRDefault="00222A07" w:rsidP="00222A07">
            <w:pPr>
              <w:rPr>
                <w:rFonts w:ascii="Calibri" w:hAnsi="Calibri" w:cs="Calibri"/>
                <w:color w:val="000000"/>
                <w:sz w:val="18"/>
                <w:szCs w:val="18"/>
              </w:rPr>
            </w:pPr>
            <w:r w:rsidRPr="00C87E98">
              <w:rPr>
                <w:rFonts w:ascii="Calibri" w:hAnsi="Calibri" w:cs="Calibri"/>
                <w:color w:val="000000"/>
                <w:sz w:val="18"/>
                <w:szCs w:val="18"/>
              </w:rPr>
              <w:t xml:space="preserve">Dívida Financeira Líquida </w:t>
            </w:r>
            <w:r w:rsidRPr="00C87E98">
              <w:rPr>
                <w:rFonts w:ascii="Calibri" w:hAnsi="Calibri" w:cs="Calibri"/>
                <w:color w:val="000000"/>
                <w:sz w:val="18"/>
                <w:szCs w:val="18"/>
                <w:vertAlign w:val="superscript"/>
              </w:rPr>
              <w:t>5)</w:t>
            </w:r>
            <w:r w:rsidRPr="00C87E98">
              <w:rPr>
                <w:rFonts w:ascii="Calibri" w:hAnsi="Calibri" w:cs="Calibri"/>
                <w:color w:val="000000"/>
                <w:sz w:val="18"/>
                <w:szCs w:val="18"/>
              </w:rPr>
              <w:t xml:space="preserve"> / EBITDA</w:t>
            </w:r>
          </w:p>
        </w:tc>
        <w:tc>
          <w:tcPr>
            <w:tcW w:w="1134" w:type="dxa"/>
            <w:tcBorders>
              <w:top w:val="nil"/>
              <w:left w:val="nil"/>
              <w:bottom w:val="single" w:sz="8" w:space="0" w:color="FFFFFF"/>
              <w:right w:val="single" w:sz="8" w:space="0" w:color="FFFFFF"/>
            </w:tcBorders>
            <w:shd w:val="clear" w:color="auto" w:fill="D9E2F3" w:themeFill="accent5" w:themeFillTint="33"/>
            <w:noWrap/>
            <w:vAlign w:val="center"/>
          </w:tcPr>
          <w:p w14:paraId="2C46A4CA" w14:textId="613E1B28" w:rsidR="00222A07" w:rsidRPr="00C87E98" w:rsidRDefault="00222A07" w:rsidP="00222A07">
            <w:pPr>
              <w:jc w:val="right"/>
              <w:rPr>
                <w:rFonts w:ascii="Calibri" w:hAnsi="Calibri" w:cs="Calibri"/>
                <w:sz w:val="18"/>
                <w:szCs w:val="18"/>
                <w:highlight w:val="yellow"/>
              </w:rPr>
            </w:pPr>
            <w:r>
              <w:rPr>
                <w:rFonts w:ascii="Calibri" w:hAnsi="Calibri" w:cs="Calibri"/>
                <w:color w:val="000000"/>
                <w:sz w:val="18"/>
                <w:szCs w:val="18"/>
              </w:rPr>
              <w:t>26599%</w:t>
            </w:r>
          </w:p>
        </w:tc>
        <w:tc>
          <w:tcPr>
            <w:tcW w:w="1275" w:type="dxa"/>
            <w:tcBorders>
              <w:top w:val="nil"/>
              <w:left w:val="nil"/>
              <w:bottom w:val="single" w:sz="8" w:space="0" w:color="FFFFFF"/>
              <w:right w:val="single" w:sz="8" w:space="0" w:color="FFFFFF"/>
            </w:tcBorders>
            <w:shd w:val="clear" w:color="auto" w:fill="D9E2F3" w:themeFill="accent5" w:themeFillTint="33"/>
            <w:noWrap/>
            <w:vAlign w:val="center"/>
          </w:tcPr>
          <w:p w14:paraId="2D2CA2E4" w14:textId="1AFF9C46" w:rsidR="00222A07" w:rsidRPr="00C87E98" w:rsidRDefault="00222A07" w:rsidP="00222A07">
            <w:pPr>
              <w:jc w:val="right"/>
              <w:rPr>
                <w:rFonts w:ascii="Calibri" w:hAnsi="Calibri" w:cs="Calibri"/>
                <w:sz w:val="18"/>
                <w:szCs w:val="18"/>
                <w:highlight w:val="yellow"/>
              </w:rPr>
            </w:pPr>
            <w:r>
              <w:rPr>
                <w:rFonts w:ascii="Calibri" w:hAnsi="Calibri" w:cs="Calibri"/>
                <w:color w:val="000000"/>
                <w:sz w:val="18"/>
                <w:szCs w:val="18"/>
              </w:rPr>
              <w:t>83352%</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2471BF93" w14:textId="32DB47F6" w:rsidR="00222A07" w:rsidRPr="00351BC7" w:rsidRDefault="00222A07" w:rsidP="00222A07">
            <w:pPr>
              <w:jc w:val="right"/>
              <w:rPr>
                <w:rFonts w:ascii="Calibri" w:hAnsi="Calibri" w:cs="Calibri"/>
                <w:sz w:val="18"/>
                <w:szCs w:val="18"/>
                <w:highlight w:val="yellow"/>
              </w:rPr>
            </w:pPr>
            <w:r>
              <w:rPr>
                <w:rFonts w:ascii="Calibri" w:hAnsi="Calibri" w:cs="Calibri"/>
                <w:color w:val="000000"/>
                <w:sz w:val="18"/>
                <w:szCs w:val="18"/>
              </w:rPr>
              <w:t>-66%</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3ACF2D77" w14:textId="77777777" w:rsidR="00222A07" w:rsidRPr="00351BC7" w:rsidRDefault="00222A07" w:rsidP="00222A07">
            <w:pPr>
              <w:jc w:val="center"/>
              <w:rPr>
                <w:rFonts w:ascii="Calibri" w:hAnsi="Calibri" w:cs="Calibri"/>
                <w:color w:val="000000"/>
                <w:sz w:val="18"/>
                <w:szCs w:val="18"/>
              </w:rPr>
            </w:pPr>
            <w:r w:rsidRPr="00C87E98">
              <w:rPr>
                <w:rFonts w:ascii="Calibri" w:hAnsi="Calibri" w:cs="Calibri"/>
                <w:sz w:val="18"/>
                <w:szCs w:val="18"/>
              </w:rPr>
              <w:t> </w:t>
            </w:r>
          </w:p>
        </w:tc>
      </w:tr>
      <w:tr w:rsidR="00222A07" w:rsidRPr="008659D8" w14:paraId="0D628FDF" w14:textId="77777777" w:rsidTr="005379F8">
        <w:trPr>
          <w:trHeight w:hRule="exact" w:val="284"/>
        </w:trPr>
        <w:tc>
          <w:tcPr>
            <w:tcW w:w="3261" w:type="dxa"/>
            <w:tcBorders>
              <w:top w:val="nil"/>
              <w:left w:val="single" w:sz="8" w:space="0" w:color="FFFFFF"/>
              <w:bottom w:val="single" w:sz="8" w:space="0" w:color="FFFFFF"/>
              <w:right w:val="single" w:sz="8" w:space="0" w:color="FFFFFF"/>
            </w:tcBorders>
            <w:shd w:val="clear" w:color="auto" w:fill="D9E2F3" w:themeFill="accent5" w:themeFillTint="33"/>
            <w:noWrap/>
            <w:vAlign w:val="center"/>
            <w:hideMark/>
          </w:tcPr>
          <w:p w14:paraId="349728CB" w14:textId="77777777" w:rsidR="00222A07" w:rsidRPr="00C87E98" w:rsidRDefault="00222A07" w:rsidP="00222A07">
            <w:pPr>
              <w:rPr>
                <w:rFonts w:ascii="Calibri" w:hAnsi="Calibri" w:cs="Calibri"/>
                <w:color w:val="000000"/>
                <w:sz w:val="18"/>
                <w:szCs w:val="18"/>
              </w:rPr>
            </w:pPr>
            <w:r w:rsidRPr="00C87E98">
              <w:rPr>
                <w:rFonts w:ascii="Calibri" w:hAnsi="Calibri" w:cs="Calibri"/>
                <w:color w:val="000000"/>
                <w:sz w:val="18"/>
                <w:szCs w:val="18"/>
              </w:rPr>
              <w:t xml:space="preserve">Disponibilidades </w:t>
            </w:r>
            <w:r w:rsidRPr="00C87E98">
              <w:rPr>
                <w:rFonts w:ascii="Calibri" w:hAnsi="Calibri" w:cs="Calibri"/>
                <w:color w:val="000000"/>
                <w:sz w:val="18"/>
                <w:szCs w:val="18"/>
                <w:vertAlign w:val="superscript"/>
              </w:rPr>
              <w:t>6)</w:t>
            </w:r>
          </w:p>
        </w:tc>
        <w:tc>
          <w:tcPr>
            <w:tcW w:w="1134" w:type="dxa"/>
            <w:tcBorders>
              <w:top w:val="nil"/>
              <w:left w:val="nil"/>
              <w:bottom w:val="single" w:sz="8" w:space="0" w:color="FFFFFF"/>
              <w:right w:val="single" w:sz="8" w:space="0" w:color="FFFFFF"/>
            </w:tcBorders>
            <w:shd w:val="clear" w:color="auto" w:fill="D9E2F3" w:themeFill="accent5" w:themeFillTint="33"/>
            <w:noWrap/>
            <w:vAlign w:val="center"/>
          </w:tcPr>
          <w:p w14:paraId="2604C32C" w14:textId="246BC4E4" w:rsidR="00222A07" w:rsidRPr="00C87E98" w:rsidRDefault="00222A07" w:rsidP="00222A07">
            <w:pPr>
              <w:jc w:val="right"/>
              <w:rPr>
                <w:rFonts w:ascii="Calibri" w:hAnsi="Calibri" w:cs="Calibri"/>
                <w:sz w:val="18"/>
                <w:szCs w:val="18"/>
                <w:highlight w:val="yellow"/>
              </w:rPr>
            </w:pPr>
            <w:r>
              <w:rPr>
                <w:rFonts w:ascii="Calibri" w:hAnsi="Calibri" w:cs="Calibri"/>
                <w:color w:val="000000"/>
                <w:sz w:val="18"/>
                <w:szCs w:val="18"/>
              </w:rPr>
              <w:t xml:space="preserve">41 095 </w:t>
            </w:r>
          </w:p>
        </w:tc>
        <w:tc>
          <w:tcPr>
            <w:tcW w:w="1275" w:type="dxa"/>
            <w:tcBorders>
              <w:top w:val="nil"/>
              <w:left w:val="nil"/>
              <w:bottom w:val="single" w:sz="8" w:space="0" w:color="FFFFFF"/>
              <w:right w:val="single" w:sz="8" w:space="0" w:color="FFFFFF"/>
            </w:tcBorders>
            <w:shd w:val="clear" w:color="auto" w:fill="D9E2F3" w:themeFill="accent5" w:themeFillTint="33"/>
            <w:noWrap/>
            <w:vAlign w:val="center"/>
          </w:tcPr>
          <w:p w14:paraId="1FC03725" w14:textId="556F5FFB" w:rsidR="00222A07" w:rsidRPr="00C87E98" w:rsidRDefault="00222A07" w:rsidP="00222A07">
            <w:pPr>
              <w:jc w:val="right"/>
              <w:rPr>
                <w:rFonts w:ascii="Calibri" w:hAnsi="Calibri" w:cs="Calibri"/>
                <w:sz w:val="18"/>
                <w:szCs w:val="18"/>
                <w:highlight w:val="yellow"/>
              </w:rPr>
            </w:pPr>
            <w:r>
              <w:rPr>
                <w:rFonts w:ascii="Calibri" w:hAnsi="Calibri" w:cs="Calibri"/>
                <w:color w:val="000000"/>
                <w:sz w:val="18"/>
                <w:szCs w:val="18"/>
              </w:rPr>
              <w:t xml:space="preserve">3 610 </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2C1036D9" w14:textId="289EA9FC" w:rsidR="00222A07" w:rsidRPr="00351BC7" w:rsidRDefault="00222A07" w:rsidP="00222A07">
            <w:pPr>
              <w:jc w:val="right"/>
              <w:rPr>
                <w:rFonts w:ascii="Calibri" w:hAnsi="Calibri" w:cs="Calibri"/>
                <w:sz w:val="18"/>
                <w:szCs w:val="18"/>
                <w:highlight w:val="yellow"/>
              </w:rPr>
            </w:pPr>
            <w:r>
              <w:rPr>
                <w:rFonts w:ascii="Calibri" w:hAnsi="Calibri" w:cs="Calibri"/>
                <w:sz w:val="18"/>
                <w:szCs w:val="18"/>
              </w:rPr>
              <w:t xml:space="preserve">(37 485) </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0514E359" w14:textId="77777777" w:rsidR="00222A07" w:rsidRPr="00351BC7" w:rsidRDefault="00222A07" w:rsidP="00222A07">
            <w:pPr>
              <w:jc w:val="center"/>
              <w:rPr>
                <w:rFonts w:ascii="Calibri" w:hAnsi="Calibri" w:cs="Calibri"/>
                <w:color w:val="000000"/>
                <w:sz w:val="18"/>
                <w:szCs w:val="18"/>
              </w:rPr>
            </w:pPr>
            <w:r w:rsidRPr="00C87E98">
              <w:rPr>
                <w:rFonts w:ascii="Calibri" w:hAnsi="Calibri" w:cs="Calibri"/>
                <w:sz w:val="18"/>
                <w:szCs w:val="18"/>
              </w:rPr>
              <w:t> </w:t>
            </w:r>
          </w:p>
        </w:tc>
      </w:tr>
    </w:tbl>
    <w:p w14:paraId="19361CE1" w14:textId="77777777" w:rsidR="006D7C47" w:rsidRPr="000A56E3" w:rsidRDefault="006D7C47" w:rsidP="006D7C47">
      <w:pPr>
        <w:rPr>
          <w:rFonts w:asciiTheme="minorHAnsi" w:hAnsiTheme="minorHAnsi" w:cstheme="minorHAnsi"/>
          <w:bCs/>
          <w:sz w:val="14"/>
          <w:szCs w:val="14"/>
          <w:lang w:eastAsia="en-US"/>
        </w:rPr>
      </w:pPr>
      <w:r w:rsidRPr="000A56E3">
        <w:rPr>
          <w:rFonts w:asciiTheme="minorHAnsi" w:hAnsiTheme="minorHAnsi" w:cstheme="minorHAnsi"/>
          <w:bCs/>
          <w:sz w:val="14"/>
          <w:szCs w:val="14"/>
          <w:lang w:eastAsia="en-US"/>
        </w:rPr>
        <w:t>1) Resultado operacional líquido de provisões, imparidades e correções de justo valor.</w:t>
      </w:r>
    </w:p>
    <w:p w14:paraId="4BFEA66D" w14:textId="77777777" w:rsidR="006D7C47" w:rsidRPr="000A56E3" w:rsidRDefault="006D7C47" w:rsidP="006D7C47">
      <w:pPr>
        <w:ind w:left="142" w:hanging="142"/>
        <w:rPr>
          <w:rFonts w:asciiTheme="minorHAnsi" w:hAnsiTheme="minorHAnsi" w:cstheme="minorHAnsi"/>
          <w:bCs/>
          <w:sz w:val="14"/>
          <w:szCs w:val="14"/>
          <w:lang w:eastAsia="en-US"/>
        </w:rPr>
      </w:pPr>
      <w:r w:rsidRPr="000A56E3">
        <w:rPr>
          <w:rFonts w:asciiTheme="minorHAnsi" w:hAnsiTheme="minorHAnsi" w:cstheme="minorHAnsi"/>
          <w:bCs/>
          <w:sz w:val="14"/>
          <w:szCs w:val="14"/>
          <w:lang w:eastAsia="en-US"/>
        </w:rPr>
        <w:t xml:space="preserve">2) Detalhar e quantificar nas observações sempre que outras parcelas, para além de vendas e serviços prestados, são consideradas no cálculo do Volume de Negócios. </w:t>
      </w:r>
    </w:p>
    <w:p w14:paraId="03437067" w14:textId="77777777" w:rsidR="006D7C47" w:rsidRDefault="006D7C47" w:rsidP="006D7C47">
      <w:pPr>
        <w:rPr>
          <w:rFonts w:asciiTheme="minorHAnsi" w:hAnsiTheme="minorHAnsi" w:cstheme="minorHAnsi"/>
          <w:bCs/>
          <w:sz w:val="14"/>
          <w:szCs w:val="14"/>
          <w:lang w:eastAsia="en-US"/>
        </w:rPr>
      </w:pPr>
      <w:r w:rsidRPr="000A56E3">
        <w:rPr>
          <w:rFonts w:asciiTheme="minorHAnsi" w:hAnsiTheme="minorHAnsi" w:cstheme="minorHAnsi"/>
          <w:bCs/>
          <w:sz w:val="14"/>
          <w:szCs w:val="14"/>
          <w:lang w:eastAsia="en-US"/>
        </w:rPr>
        <w:t xml:space="preserve">3) </w:t>
      </w:r>
      <w:r w:rsidRPr="00733C23">
        <w:rPr>
          <w:rFonts w:asciiTheme="minorHAnsi" w:hAnsiTheme="minorHAnsi" w:cstheme="minorHAnsi"/>
          <w:bCs/>
          <w:sz w:val="14"/>
          <w:szCs w:val="14"/>
          <w:lang w:eastAsia="en-US"/>
        </w:rPr>
        <w:t>CMVMC, FSE e Gastos com Pessoal</w:t>
      </w:r>
    </w:p>
    <w:p w14:paraId="4D3BD9DD" w14:textId="77777777" w:rsidR="006D7C47" w:rsidRDefault="006D7C47" w:rsidP="006D7C47">
      <w:pPr>
        <w:rPr>
          <w:rFonts w:asciiTheme="minorHAnsi" w:hAnsiTheme="minorHAnsi" w:cstheme="minorHAnsi"/>
          <w:bCs/>
          <w:sz w:val="14"/>
          <w:szCs w:val="14"/>
          <w:lang w:eastAsia="en-US"/>
        </w:rPr>
      </w:pPr>
      <w:r>
        <w:rPr>
          <w:rFonts w:asciiTheme="minorHAnsi" w:hAnsiTheme="minorHAnsi" w:cstheme="minorHAnsi"/>
          <w:bCs/>
          <w:sz w:val="14"/>
          <w:szCs w:val="14"/>
          <w:lang w:eastAsia="en-US"/>
        </w:rPr>
        <w:t>4</w:t>
      </w:r>
      <w:r w:rsidRPr="000A56E3">
        <w:rPr>
          <w:rFonts w:asciiTheme="minorHAnsi" w:hAnsiTheme="minorHAnsi" w:cstheme="minorHAnsi"/>
          <w:bCs/>
          <w:sz w:val="14"/>
          <w:szCs w:val="14"/>
          <w:lang w:eastAsia="en-US"/>
        </w:rPr>
        <w:t xml:space="preserve">) Passivo remunerado </w:t>
      </w:r>
    </w:p>
    <w:p w14:paraId="0C21C0D7" w14:textId="77777777" w:rsidR="006D7C47" w:rsidRPr="000A56E3" w:rsidRDefault="006D7C47" w:rsidP="006D7C47">
      <w:pPr>
        <w:rPr>
          <w:rFonts w:asciiTheme="minorHAnsi" w:hAnsiTheme="minorHAnsi" w:cstheme="minorHAnsi"/>
          <w:bCs/>
          <w:sz w:val="14"/>
          <w:szCs w:val="14"/>
          <w:lang w:eastAsia="en-US"/>
        </w:rPr>
      </w:pPr>
      <w:r>
        <w:rPr>
          <w:rFonts w:asciiTheme="minorHAnsi" w:hAnsiTheme="minorHAnsi" w:cstheme="minorHAnsi"/>
          <w:bCs/>
          <w:sz w:val="14"/>
          <w:szCs w:val="14"/>
          <w:lang w:eastAsia="en-US"/>
        </w:rPr>
        <w:t xml:space="preserve">5) </w:t>
      </w:r>
      <w:r w:rsidRPr="000A56E3">
        <w:rPr>
          <w:rFonts w:asciiTheme="minorHAnsi" w:hAnsiTheme="minorHAnsi" w:cstheme="minorHAnsi"/>
          <w:bCs/>
          <w:sz w:val="14"/>
          <w:szCs w:val="14"/>
          <w:lang w:eastAsia="en-US"/>
        </w:rPr>
        <w:t>Por dívida financeira líquida entende-se o valor do endividamento deduzido das disponibilidades</w:t>
      </w:r>
    </w:p>
    <w:p w14:paraId="05EFC283" w14:textId="77777777" w:rsidR="006D7C47" w:rsidRPr="000A56E3" w:rsidRDefault="006D7C47" w:rsidP="006D7C47">
      <w:pPr>
        <w:rPr>
          <w:rFonts w:asciiTheme="minorHAnsi" w:hAnsiTheme="minorHAnsi" w:cstheme="minorHAnsi"/>
          <w:bCs/>
          <w:sz w:val="14"/>
          <w:szCs w:val="14"/>
          <w:lang w:eastAsia="en-US"/>
        </w:rPr>
      </w:pPr>
      <w:r>
        <w:rPr>
          <w:rFonts w:asciiTheme="minorHAnsi" w:hAnsiTheme="minorHAnsi" w:cstheme="minorHAnsi"/>
          <w:bCs/>
          <w:sz w:val="14"/>
          <w:szCs w:val="14"/>
          <w:lang w:eastAsia="en-US"/>
        </w:rPr>
        <w:t>6</w:t>
      </w:r>
      <w:r w:rsidRPr="000A56E3">
        <w:rPr>
          <w:rFonts w:asciiTheme="minorHAnsi" w:hAnsiTheme="minorHAnsi" w:cstheme="minorHAnsi"/>
          <w:bCs/>
          <w:sz w:val="14"/>
          <w:szCs w:val="14"/>
          <w:lang w:eastAsia="en-US"/>
        </w:rPr>
        <w:t xml:space="preserve">) Caixa conforme Balanço </w:t>
      </w:r>
    </w:p>
    <w:p w14:paraId="5A05DD3A" w14:textId="77777777" w:rsidR="006D7C47" w:rsidRDefault="006D7C47" w:rsidP="006D7C47">
      <w:pPr>
        <w:rPr>
          <w:rFonts w:asciiTheme="minorHAnsi" w:hAnsiTheme="minorHAnsi" w:cstheme="minorHAnsi"/>
          <w:bCs/>
          <w:sz w:val="14"/>
          <w:szCs w:val="14"/>
          <w:lang w:eastAsia="en-US"/>
        </w:rPr>
      </w:pPr>
      <w:r>
        <w:rPr>
          <w:rFonts w:asciiTheme="minorHAnsi" w:hAnsiTheme="minorHAnsi" w:cstheme="minorHAnsi"/>
          <w:bCs/>
          <w:sz w:val="14"/>
          <w:szCs w:val="14"/>
          <w:lang w:eastAsia="en-US"/>
        </w:rPr>
        <w:t>7</w:t>
      </w:r>
      <w:r w:rsidRPr="000A56E3">
        <w:rPr>
          <w:rFonts w:asciiTheme="minorHAnsi" w:hAnsiTheme="minorHAnsi" w:cstheme="minorHAnsi"/>
          <w:bCs/>
          <w:sz w:val="14"/>
          <w:szCs w:val="14"/>
          <w:lang w:eastAsia="en-US"/>
        </w:rPr>
        <w:t>) Adicionar linhas com a identificação de mais indicadores, designadamente de atividade, atendendo à natureza da empresa/setor de atividade</w:t>
      </w:r>
    </w:p>
    <w:p w14:paraId="2E04D868" w14:textId="77777777" w:rsidR="006D7C47" w:rsidRDefault="006D7C47" w:rsidP="006D7C47">
      <w:pPr>
        <w:jc w:val="both"/>
        <w:rPr>
          <w:rFonts w:asciiTheme="minorHAnsi" w:hAnsiTheme="minorHAnsi" w:cstheme="minorHAnsi"/>
          <w:bCs/>
          <w:sz w:val="14"/>
          <w:szCs w:val="14"/>
          <w:lang w:eastAsia="en-US"/>
        </w:rPr>
      </w:pPr>
    </w:p>
    <w:p w14:paraId="0AEEDB8F" w14:textId="32994EFC" w:rsidR="006D7C47" w:rsidRPr="00522B7B" w:rsidRDefault="006D7C47" w:rsidP="006D7C47">
      <w:pPr>
        <w:jc w:val="both"/>
        <w:rPr>
          <w:rFonts w:asciiTheme="minorHAnsi" w:hAnsiTheme="minorHAnsi" w:cstheme="minorHAnsi"/>
          <w:color w:val="000000"/>
          <w:sz w:val="14"/>
          <w:szCs w:val="14"/>
        </w:rPr>
      </w:pPr>
      <w:r w:rsidRPr="00D17AF1">
        <w:rPr>
          <w:rFonts w:asciiTheme="minorHAnsi" w:hAnsiTheme="minorHAnsi" w:cstheme="minorHAnsi"/>
          <w:b/>
          <w:sz w:val="14"/>
          <w:szCs w:val="14"/>
          <w:vertAlign w:val="superscript"/>
          <w:lang w:eastAsia="en-US"/>
        </w:rPr>
        <w:t>(*)</w:t>
      </w:r>
      <w:r w:rsidRPr="00D17AF1">
        <w:rPr>
          <w:rFonts w:asciiTheme="minorHAnsi" w:hAnsiTheme="minorHAnsi" w:cstheme="minorHAnsi"/>
          <w:b/>
          <w:sz w:val="14"/>
          <w:szCs w:val="14"/>
          <w:lang w:eastAsia="en-US"/>
        </w:rPr>
        <w:t xml:space="preserve"> </w:t>
      </w:r>
      <w:r w:rsidRPr="00D17AF1">
        <w:rPr>
          <w:rFonts w:ascii="Calibri" w:hAnsi="Calibri" w:cs="Calibri"/>
          <w:sz w:val="14"/>
          <w:szCs w:val="14"/>
        </w:rPr>
        <w:t>O serviço da dívida foi diferido para 202</w:t>
      </w:r>
      <w:r w:rsidR="00431540" w:rsidRPr="00D17AF1">
        <w:rPr>
          <w:rFonts w:ascii="Calibri" w:hAnsi="Calibri" w:cs="Calibri"/>
          <w:sz w:val="14"/>
          <w:szCs w:val="14"/>
        </w:rPr>
        <w:t>6</w:t>
      </w:r>
      <w:r w:rsidRPr="00D17AF1">
        <w:rPr>
          <w:rFonts w:ascii="Calibri" w:hAnsi="Calibri" w:cs="Calibri"/>
          <w:sz w:val="14"/>
          <w:szCs w:val="14"/>
        </w:rPr>
        <w:t>, sem acréscimo de custos. A sociedade procedeu à amortização parcial (</w:t>
      </w:r>
      <w:r w:rsidR="00431540" w:rsidRPr="00D17AF1">
        <w:rPr>
          <w:rFonts w:ascii="Calibri" w:hAnsi="Calibri" w:cs="Calibri"/>
          <w:sz w:val="14"/>
          <w:szCs w:val="14"/>
        </w:rPr>
        <w:t>80</w:t>
      </w:r>
      <w:r w:rsidRPr="00D17AF1">
        <w:rPr>
          <w:rFonts w:ascii="Calibri" w:hAnsi="Calibri" w:cs="Calibri"/>
          <w:sz w:val="14"/>
          <w:szCs w:val="14"/>
        </w:rPr>
        <w:t xml:space="preserve"> 000 milhares de euros) do mútuo mais antigo, não tendo contraído novos financiamentos</w:t>
      </w:r>
      <w:r w:rsidR="009517B3" w:rsidRPr="00D17AF1">
        <w:rPr>
          <w:rFonts w:ascii="Calibri" w:hAnsi="Calibri" w:cs="Calibri"/>
          <w:sz w:val="14"/>
          <w:szCs w:val="14"/>
        </w:rPr>
        <w:t>.</w:t>
      </w:r>
    </w:p>
    <w:p w14:paraId="0869C542" w14:textId="77777777" w:rsidR="006D7C47" w:rsidRDefault="006D7C47" w:rsidP="006D7C47">
      <w:pPr>
        <w:rPr>
          <w:rFonts w:asciiTheme="minorHAnsi" w:hAnsiTheme="minorHAnsi" w:cstheme="minorHAnsi"/>
          <w:b/>
          <w:sz w:val="22"/>
          <w:szCs w:val="22"/>
          <w:lang w:eastAsia="en-US"/>
        </w:rPr>
      </w:pPr>
    </w:p>
    <w:p w14:paraId="5CC13351" w14:textId="7CCE42D4" w:rsidR="006D7C47" w:rsidRPr="000C5E44" w:rsidRDefault="006D7C47" w:rsidP="006D7C47">
      <w:pPr>
        <w:rPr>
          <w:rFonts w:asciiTheme="minorHAnsi" w:hAnsiTheme="minorHAnsi" w:cstheme="minorHAnsi"/>
          <w:bCs/>
          <w:sz w:val="22"/>
          <w:szCs w:val="22"/>
          <w:lang w:eastAsia="en-US"/>
        </w:rPr>
      </w:pPr>
      <w:r w:rsidRPr="00C57E3C">
        <w:rPr>
          <w:rFonts w:asciiTheme="minorHAnsi" w:hAnsiTheme="minorHAnsi" w:cstheme="minorHAnsi"/>
          <w:bCs/>
          <w:sz w:val="22"/>
          <w:szCs w:val="22"/>
          <w:lang w:eastAsia="en-US"/>
        </w:rPr>
        <w:t>Dada a sua natureza e enquadramento a PARVALOREM não realiza investimentos.</w:t>
      </w:r>
      <w:r w:rsidR="00F577C7">
        <w:rPr>
          <w:rFonts w:asciiTheme="minorHAnsi" w:hAnsiTheme="minorHAnsi" w:cstheme="minorHAnsi"/>
          <w:bCs/>
          <w:sz w:val="22"/>
          <w:szCs w:val="22"/>
          <w:lang w:eastAsia="en-US"/>
        </w:rPr>
        <w:t xml:space="preserve">   </w:t>
      </w:r>
    </w:p>
    <w:p w14:paraId="04B1E16A" w14:textId="77777777" w:rsidR="00825E7A" w:rsidRDefault="00825E7A" w:rsidP="006D7C47">
      <w:pPr>
        <w:rPr>
          <w:rFonts w:asciiTheme="minorHAnsi" w:hAnsiTheme="minorHAnsi" w:cstheme="minorHAnsi"/>
          <w:sz w:val="22"/>
          <w:szCs w:val="22"/>
          <w:highlight w:val="yellow"/>
          <w:lang w:eastAsia="en-US"/>
        </w:rPr>
      </w:pPr>
    </w:p>
    <w:p w14:paraId="3363136B" w14:textId="77777777" w:rsidR="006D7C47" w:rsidRDefault="006D7C47" w:rsidP="006D7C47">
      <w:pPr>
        <w:rPr>
          <w:rFonts w:asciiTheme="minorHAnsi" w:hAnsiTheme="minorHAnsi" w:cstheme="minorHAnsi"/>
          <w:sz w:val="22"/>
          <w:szCs w:val="22"/>
          <w:highlight w:val="yellow"/>
          <w:lang w:eastAsia="en-US"/>
        </w:rPr>
      </w:pPr>
    </w:p>
    <w:tbl>
      <w:tblPr>
        <w:tblW w:w="8527" w:type="dxa"/>
        <w:jc w:val="center"/>
        <w:tblCellMar>
          <w:left w:w="70" w:type="dxa"/>
          <w:right w:w="70" w:type="dxa"/>
        </w:tblCellMar>
        <w:tblLook w:val="04A0" w:firstRow="1" w:lastRow="0" w:firstColumn="1" w:lastColumn="0" w:noHBand="0" w:noVBand="1"/>
      </w:tblPr>
      <w:tblGrid>
        <w:gridCol w:w="3392"/>
        <w:gridCol w:w="1308"/>
        <w:gridCol w:w="1417"/>
        <w:gridCol w:w="1276"/>
        <w:gridCol w:w="1134"/>
      </w:tblGrid>
      <w:tr w:rsidR="006D7C47" w14:paraId="6734519C" w14:textId="77777777" w:rsidTr="005379F8">
        <w:trPr>
          <w:trHeight w:val="20"/>
          <w:tblHeader/>
          <w:jc w:val="center"/>
        </w:trPr>
        <w:tc>
          <w:tcPr>
            <w:tcW w:w="8527" w:type="dxa"/>
            <w:gridSpan w:val="5"/>
            <w:tcBorders>
              <w:top w:val="single" w:sz="8" w:space="0" w:color="FFFFFF"/>
              <w:left w:val="single" w:sz="8" w:space="0" w:color="FFFFFF"/>
              <w:bottom w:val="single" w:sz="8" w:space="0" w:color="FFFFFF"/>
              <w:right w:val="single" w:sz="8" w:space="0" w:color="FFFFFF"/>
            </w:tcBorders>
            <w:shd w:val="clear" w:color="auto" w:fill="FFFFFF" w:themeFill="background1"/>
            <w:noWrap/>
            <w:vAlign w:val="center"/>
          </w:tcPr>
          <w:p w14:paraId="7AECBDA5" w14:textId="77777777" w:rsidR="006D7C47" w:rsidRDefault="006D7C47" w:rsidP="005379F8">
            <w:pPr>
              <w:jc w:val="right"/>
              <w:rPr>
                <w:rFonts w:ascii="Calibri" w:hAnsi="Calibri"/>
                <w:b/>
                <w:bCs/>
                <w:color w:val="000000"/>
                <w:sz w:val="14"/>
                <w:szCs w:val="14"/>
              </w:rPr>
            </w:pPr>
            <w:bookmarkStart w:id="60" w:name="_Hlk70389849"/>
            <w:r>
              <w:rPr>
                <w:rFonts w:asciiTheme="minorHAnsi" w:hAnsiTheme="minorHAnsi" w:cstheme="minorHAnsi"/>
                <w:sz w:val="14"/>
                <w:szCs w:val="14"/>
                <w:lang w:eastAsia="en-US"/>
              </w:rPr>
              <w:t>Euros</w:t>
            </w:r>
          </w:p>
        </w:tc>
      </w:tr>
      <w:tr w:rsidR="006D7C47" w:rsidRPr="00B2021A" w14:paraId="25AC2DC5" w14:textId="77777777" w:rsidTr="005379F8">
        <w:trPr>
          <w:trHeight w:val="367"/>
          <w:tblHeader/>
          <w:jc w:val="center"/>
        </w:trPr>
        <w:tc>
          <w:tcPr>
            <w:tcW w:w="8527" w:type="dxa"/>
            <w:gridSpan w:val="5"/>
            <w:tcBorders>
              <w:top w:val="single" w:sz="8" w:space="0" w:color="FFFFFF"/>
              <w:left w:val="single" w:sz="8" w:space="0" w:color="FFFFFF"/>
              <w:bottom w:val="single" w:sz="8" w:space="0" w:color="FFFFFF"/>
              <w:right w:val="single" w:sz="8" w:space="0" w:color="FFFFFF"/>
            </w:tcBorders>
            <w:shd w:val="clear" w:color="auto" w:fill="8EAADB" w:themeFill="accent5" w:themeFillTint="99"/>
            <w:noWrap/>
            <w:vAlign w:val="center"/>
            <w:hideMark/>
          </w:tcPr>
          <w:p w14:paraId="5D2BB273" w14:textId="05EEB4A5" w:rsidR="006D7C47" w:rsidRPr="00110229" w:rsidRDefault="006D7C47" w:rsidP="005379F8">
            <w:pPr>
              <w:jc w:val="center"/>
              <w:rPr>
                <w:rFonts w:ascii="Calibri" w:hAnsi="Calibri" w:cs="Calibri"/>
                <w:b/>
                <w:bCs/>
                <w:color w:val="000000"/>
                <w:sz w:val="18"/>
                <w:szCs w:val="18"/>
              </w:rPr>
            </w:pPr>
            <w:r w:rsidRPr="00110229">
              <w:rPr>
                <w:rFonts w:ascii="Calibri" w:hAnsi="Calibri" w:cs="Calibri"/>
                <w:b/>
                <w:bCs/>
                <w:color w:val="000000"/>
                <w:sz w:val="18"/>
                <w:szCs w:val="18"/>
              </w:rPr>
              <w:t>Grau de execução do Orçamento 202</w:t>
            </w:r>
            <w:r w:rsidR="00B15347" w:rsidRPr="00110229">
              <w:rPr>
                <w:rFonts w:ascii="Calibri" w:hAnsi="Calibri" w:cs="Calibri"/>
                <w:b/>
                <w:bCs/>
                <w:color w:val="000000"/>
                <w:sz w:val="18"/>
                <w:szCs w:val="18"/>
              </w:rPr>
              <w:t>5</w:t>
            </w:r>
          </w:p>
          <w:p w14:paraId="7069CB61" w14:textId="77777777" w:rsidR="006D7C47" w:rsidRPr="00110229" w:rsidRDefault="006D7C47" w:rsidP="005379F8">
            <w:pPr>
              <w:jc w:val="center"/>
              <w:rPr>
                <w:rFonts w:ascii="Calibri" w:hAnsi="Calibri" w:cs="Calibri"/>
                <w:b/>
                <w:bCs/>
                <w:color w:val="000000"/>
                <w:sz w:val="18"/>
                <w:szCs w:val="18"/>
              </w:rPr>
            </w:pPr>
          </w:p>
        </w:tc>
      </w:tr>
      <w:tr w:rsidR="006D7C47" w:rsidRPr="00B2021A" w14:paraId="2634137D" w14:textId="77777777" w:rsidTr="005379F8">
        <w:trPr>
          <w:trHeight w:val="20"/>
          <w:tblHeader/>
          <w:jc w:val="center"/>
        </w:trPr>
        <w:tc>
          <w:tcPr>
            <w:tcW w:w="3392" w:type="dxa"/>
            <w:tcBorders>
              <w:top w:val="nil"/>
              <w:left w:val="single" w:sz="8" w:space="0" w:color="FFFFFF"/>
              <w:bottom w:val="single" w:sz="8" w:space="0" w:color="FFFFFF"/>
              <w:right w:val="single" w:sz="8" w:space="0" w:color="FFFFFF"/>
            </w:tcBorders>
            <w:shd w:val="clear" w:color="auto" w:fill="8EAADB" w:themeFill="accent5" w:themeFillTint="99"/>
            <w:noWrap/>
            <w:vAlign w:val="center"/>
            <w:hideMark/>
          </w:tcPr>
          <w:p w14:paraId="596496D6" w14:textId="77777777" w:rsidR="006D7C47" w:rsidRPr="00755D19" w:rsidRDefault="006D7C47" w:rsidP="005379F8">
            <w:pPr>
              <w:jc w:val="center"/>
              <w:rPr>
                <w:rFonts w:ascii="Calibri" w:hAnsi="Calibri" w:cs="Calibri"/>
                <w:b/>
                <w:bCs/>
                <w:color w:val="000000"/>
                <w:sz w:val="18"/>
                <w:szCs w:val="18"/>
              </w:rPr>
            </w:pPr>
            <w:r w:rsidRPr="00755D19">
              <w:rPr>
                <w:rFonts w:ascii="Calibri" w:hAnsi="Calibri" w:cs="Calibri"/>
                <w:b/>
                <w:bCs/>
                <w:color w:val="000000"/>
                <w:sz w:val="18"/>
                <w:szCs w:val="18"/>
              </w:rPr>
              <w:t> </w:t>
            </w:r>
          </w:p>
        </w:tc>
        <w:tc>
          <w:tcPr>
            <w:tcW w:w="1308" w:type="dxa"/>
            <w:tcBorders>
              <w:top w:val="nil"/>
              <w:left w:val="nil"/>
              <w:bottom w:val="single" w:sz="8" w:space="0" w:color="FFFFFF"/>
              <w:right w:val="single" w:sz="8" w:space="0" w:color="FFFFFF"/>
            </w:tcBorders>
            <w:shd w:val="clear" w:color="auto" w:fill="8EAADB" w:themeFill="accent5" w:themeFillTint="99"/>
            <w:vAlign w:val="center"/>
            <w:hideMark/>
          </w:tcPr>
          <w:p w14:paraId="02FB7965" w14:textId="77777777" w:rsidR="006D7C47" w:rsidRPr="00110229" w:rsidRDefault="006D7C47" w:rsidP="005379F8">
            <w:pPr>
              <w:jc w:val="center"/>
              <w:rPr>
                <w:rFonts w:ascii="Calibri" w:hAnsi="Calibri" w:cs="Calibri"/>
                <w:b/>
                <w:bCs/>
                <w:color w:val="000000"/>
                <w:sz w:val="18"/>
                <w:szCs w:val="18"/>
              </w:rPr>
            </w:pPr>
            <w:r w:rsidRPr="00110229">
              <w:rPr>
                <w:rFonts w:ascii="Calibri" w:hAnsi="Calibri" w:cs="Calibri"/>
                <w:b/>
                <w:bCs/>
                <w:color w:val="000000"/>
                <w:sz w:val="18"/>
                <w:szCs w:val="18"/>
              </w:rPr>
              <w:t xml:space="preserve">Cap. / </w:t>
            </w:r>
            <w:proofErr w:type="spellStart"/>
            <w:r w:rsidRPr="00110229">
              <w:rPr>
                <w:rFonts w:ascii="Calibri" w:hAnsi="Calibri" w:cs="Calibri"/>
                <w:b/>
                <w:bCs/>
                <w:color w:val="000000"/>
                <w:sz w:val="18"/>
                <w:szCs w:val="18"/>
              </w:rPr>
              <w:t>Agrup</w:t>
            </w:r>
            <w:proofErr w:type="spellEnd"/>
            <w:r w:rsidRPr="00110229">
              <w:rPr>
                <w:rFonts w:ascii="Calibri" w:hAnsi="Calibri" w:cs="Calibri"/>
                <w:b/>
                <w:bCs/>
                <w:color w:val="000000"/>
                <w:sz w:val="18"/>
                <w:szCs w:val="18"/>
              </w:rPr>
              <w:t>.</w:t>
            </w:r>
          </w:p>
        </w:tc>
        <w:tc>
          <w:tcPr>
            <w:tcW w:w="1417" w:type="dxa"/>
            <w:tcBorders>
              <w:top w:val="nil"/>
              <w:left w:val="nil"/>
              <w:bottom w:val="single" w:sz="8" w:space="0" w:color="FFFFFF"/>
              <w:right w:val="single" w:sz="8" w:space="0" w:color="FFFFFF"/>
            </w:tcBorders>
            <w:shd w:val="clear" w:color="auto" w:fill="8EAADB" w:themeFill="accent5" w:themeFillTint="99"/>
            <w:vAlign w:val="center"/>
            <w:hideMark/>
          </w:tcPr>
          <w:p w14:paraId="046CCF84" w14:textId="77777777" w:rsidR="006D7C47" w:rsidRPr="00110229" w:rsidRDefault="006D7C47" w:rsidP="005379F8">
            <w:pPr>
              <w:jc w:val="center"/>
              <w:rPr>
                <w:rFonts w:ascii="Calibri" w:hAnsi="Calibri" w:cs="Calibri"/>
                <w:b/>
                <w:bCs/>
                <w:color w:val="000000"/>
                <w:sz w:val="18"/>
                <w:szCs w:val="18"/>
              </w:rPr>
            </w:pPr>
            <w:r w:rsidRPr="00110229">
              <w:rPr>
                <w:rFonts w:ascii="Calibri" w:hAnsi="Calibri" w:cs="Calibri"/>
                <w:b/>
                <w:bCs/>
                <w:color w:val="000000"/>
                <w:sz w:val="18"/>
                <w:szCs w:val="18"/>
              </w:rPr>
              <w:t>Orçamento</w:t>
            </w:r>
          </w:p>
        </w:tc>
        <w:tc>
          <w:tcPr>
            <w:tcW w:w="1276" w:type="dxa"/>
            <w:tcBorders>
              <w:top w:val="nil"/>
              <w:left w:val="nil"/>
              <w:bottom w:val="single" w:sz="8" w:space="0" w:color="FFFFFF"/>
              <w:right w:val="single" w:sz="8" w:space="0" w:color="FFFFFF"/>
            </w:tcBorders>
            <w:shd w:val="clear" w:color="auto" w:fill="8EAADB" w:themeFill="accent5" w:themeFillTint="99"/>
            <w:vAlign w:val="center"/>
            <w:hideMark/>
          </w:tcPr>
          <w:p w14:paraId="5D61BACB" w14:textId="77777777" w:rsidR="006D7C47" w:rsidRPr="00110229" w:rsidRDefault="006D7C47" w:rsidP="005379F8">
            <w:pPr>
              <w:jc w:val="center"/>
              <w:rPr>
                <w:rFonts w:ascii="Calibri" w:hAnsi="Calibri" w:cs="Calibri"/>
                <w:b/>
                <w:bCs/>
                <w:color w:val="000000"/>
                <w:sz w:val="18"/>
                <w:szCs w:val="18"/>
              </w:rPr>
            </w:pPr>
            <w:r w:rsidRPr="00110229">
              <w:rPr>
                <w:rFonts w:ascii="Calibri" w:hAnsi="Calibri" w:cs="Calibri"/>
                <w:b/>
                <w:bCs/>
                <w:color w:val="000000"/>
                <w:sz w:val="18"/>
                <w:szCs w:val="18"/>
              </w:rPr>
              <w:t>Executado</w:t>
            </w:r>
          </w:p>
        </w:tc>
        <w:tc>
          <w:tcPr>
            <w:tcW w:w="1134" w:type="dxa"/>
            <w:tcBorders>
              <w:top w:val="nil"/>
              <w:left w:val="nil"/>
              <w:bottom w:val="single" w:sz="8" w:space="0" w:color="FFFFFF"/>
              <w:right w:val="single" w:sz="8" w:space="0" w:color="FFFFFF"/>
            </w:tcBorders>
            <w:shd w:val="clear" w:color="auto" w:fill="8EAADB" w:themeFill="accent5" w:themeFillTint="99"/>
            <w:vAlign w:val="center"/>
            <w:hideMark/>
          </w:tcPr>
          <w:p w14:paraId="0947E54B" w14:textId="77777777" w:rsidR="006D7C47" w:rsidRPr="00110229" w:rsidRDefault="006D7C47" w:rsidP="005379F8">
            <w:pPr>
              <w:jc w:val="center"/>
              <w:rPr>
                <w:rFonts w:ascii="Calibri" w:hAnsi="Calibri" w:cs="Calibri"/>
                <w:b/>
                <w:bCs/>
                <w:color w:val="000000"/>
                <w:sz w:val="18"/>
                <w:szCs w:val="18"/>
              </w:rPr>
            </w:pPr>
            <w:r w:rsidRPr="00110229">
              <w:rPr>
                <w:rFonts w:ascii="Calibri" w:hAnsi="Calibri" w:cs="Calibri"/>
                <w:b/>
                <w:bCs/>
                <w:color w:val="000000"/>
                <w:sz w:val="18"/>
                <w:szCs w:val="18"/>
              </w:rPr>
              <w:t>Grau de Execução</w:t>
            </w:r>
          </w:p>
        </w:tc>
      </w:tr>
      <w:tr w:rsidR="006D7C47" w14:paraId="5A0705F7" w14:textId="77777777" w:rsidTr="005379F8">
        <w:trPr>
          <w:trHeight w:val="20"/>
          <w:jc w:val="center"/>
        </w:trPr>
        <w:tc>
          <w:tcPr>
            <w:tcW w:w="3392" w:type="dxa"/>
            <w:tcBorders>
              <w:top w:val="nil"/>
              <w:left w:val="single" w:sz="8" w:space="0" w:color="FFFFFF"/>
              <w:bottom w:val="single" w:sz="8" w:space="0" w:color="FFFFFF"/>
              <w:right w:val="single" w:sz="8" w:space="0" w:color="FFFFFF"/>
            </w:tcBorders>
            <w:shd w:val="clear" w:color="auto" w:fill="D9E2F3" w:themeFill="accent5" w:themeFillTint="33"/>
            <w:noWrap/>
            <w:vAlign w:val="center"/>
            <w:hideMark/>
          </w:tcPr>
          <w:p w14:paraId="36DC6074" w14:textId="77777777" w:rsidR="006D7C47" w:rsidRPr="00110229" w:rsidRDefault="006D7C47" w:rsidP="005379F8">
            <w:pPr>
              <w:jc w:val="center"/>
              <w:rPr>
                <w:rFonts w:asciiTheme="minorHAnsi" w:hAnsiTheme="minorHAnsi" w:cstheme="minorHAnsi"/>
                <w:b/>
                <w:bCs/>
                <w:color w:val="000000"/>
                <w:sz w:val="18"/>
                <w:szCs w:val="18"/>
              </w:rPr>
            </w:pPr>
            <w:r w:rsidRPr="00110229">
              <w:rPr>
                <w:rFonts w:asciiTheme="minorHAnsi" w:hAnsiTheme="minorHAnsi" w:cstheme="minorHAnsi"/>
                <w:b/>
                <w:bCs/>
                <w:color w:val="000000"/>
                <w:sz w:val="18"/>
                <w:szCs w:val="18"/>
              </w:rPr>
              <w:t>Receitas</w:t>
            </w:r>
          </w:p>
        </w:tc>
        <w:tc>
          <w:tcPr>
            <w:tcW w:w="1308" w:type="dxa"/>
            <w:tcBorders>
              <w:top w:val="nil"/>
              <w:left w:val="nil"/>
              <w:bottom w:val="single" w:sz="8" w:space="0" w:color="FFFFFF"/>
              <w:right w:val="single" w:sz="8" w:space="0" w:color="FFFFFF"/>
            </w:tcBorders>
            <w:shd w:val="clear" w:color="auto" w:fill="D9E2F3" w:themeFill="accent5" w:themeFillTint="33"/>
            <w:noWrap/>
            <w:vAlign w:val="center"/>
            <w:hideMark/>
          </w:tcPr>
          <w:p w14:paraId="3F6D04E7" w14:textId="77777777" w:rsidR="006D7C47" w:rsidRPr="00110229" w:rsidRDefault="006D7C47" w:rsidP="005379F8">
            <w:pPr>
              <w:jc w:val="center"/>
              <w:rPr>
                <w:rFonts w:ascii="Calibri" w:hAnsi="Calibri" w:cs="Calibri"/>
                <w:color w:val="000000"/>
                <w:sz w:val="18"/>
                <w:szCs w:val="18"/>
              </w:rPr>
            </w:pPr>
            <w:r w:rsidRPr="00110229">
              <w:rPr>
                <w:rFonts w:ascii="Calibri" w:hAnsi="Calibri" w:cs="Calibri"/>
                <w:color w:val="000000"/>
                <w:sz w:val="18"/>
                <w:szCs w:val="18"/>
              </w:rPr>
              <w:t> </w:t>
            </w:r>
          </w:p>
        </w:tc>
        <w:tc>
          <w:tcPr>
            <w:tcW w:w="1417" w:type="dxa"/>
            <w:tcBorders>
              <w:top w:val="nil"/>
              <w:left w:val="nil"/>
              <w:bottom w:val="single" w:sz="8" w:space="0" w:color="FFFFFF"/>
              <w:right w:val="single" w:sz="8" w:space="0" w:color="FFFFFF"/>
            </w:tcBorders>
            <w:shd w:val="clear" w:color="auto" w:fill="D9E2F3" w:themeFill="accent5" w:themeFillTint="33"/>
            <w:noWrap/>
            <w:vAlign w:val="center"/>
            <w:hideMark/>
          </w:tcPr>
          <w:p w14:paraId="5461E5B0" w14:textId="77777777" w:rsidR="006D7C47" w:rsidRPr="00110229" w:rsidRDefault="006D7C47" w:rsidP="005379F8">
            <w:pPr>
              <w:jc w:val="right"/>
              <w:rPr>
                <w:rFonts w:ascii="Calibri" w:hAnsi="Calibri" w:cs="Calibri"/>
                <w:color w:val="000000"/>
                <w:sz w:val="18"/>
                <w:szCs w:val="18"/>
              </w:rPr>
            </w:pPr>
            <w:r w:rsidRPr="00110229">
              <w:rPr>
                <w:rFonts w:ascii="Calibri" w:hAnsi="Calibri" w:cs="Calibri"/>
                <w:color w:val="000000"/>
                <w:sz w:val="18"/>
                <w:szCs w:val="18"/>
              </w:rPr>
              <w:t> </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hideMark/>
          </w:tcPr>
          <w:p w14:paraId="4AB56DA0" w14:textId="77777777" w:rsidR="006D7C47" w:rsidRPr="00110229" w:rsidRDefault="006D7C47" w:rsidP="005379F8">
            <w:pPr>
              <w:jc w:val="right"/>
              <w:rPr>
                <w:rFonts w:ascii="Calibri" w:hAnsi="Calibri" w:cs="Calibri"/>
                <w:color w:val="000000"/>
                <w:sz w:val="18"/>
                <w:szCs w:val="18"/>
              </w:rPr>
            </w:pPr>
            <w:r w:rsidRPr="00110229">
              <w:rPr>
                <w:rFonts w:ascii="Calibri" w:hAnsi="Calibri" w:cs="Calibri"/>
                <w:color w:val="000000"/>
                <w:sz w:val="18"/>
                <w:szCs w:val="18"/>
              </w:rPr>
              <w:t> </w:t>
            </w:r>
          </w:p>
        </w:tc>
        <w:tc>
          <w:tcPr>
            <w:tcW w:w="1134" w:type="dxa"/>
            <w:tcBorders>
              <w:top w:val="nil"/>
              <w:left w:val="nil"/>
              <w:bottom w:val="single" w:sz="8" w:space="0" w:color="FFFFFF"/>
              <w:right w:val="single" w:sz="8" w:space="0" w:color="FFFFFF"/>
            </w:tcBorders>
            <w:shd w:val="clear" w:color="auto" w:fill="D9E2F3" w:themeFill="accent5" w:themeFillTint="33"/>
            <w:noWrap/>
            <w:vAlign w:val="center"/>
            <w:hideMark/>
          </w:tcPr>
          <w:p w14:paraId="2D3B610D" w14:textId="77777777" w:rsidR="006D7C47" w:rsidRPr="00110229" w:rsidRDefault="006D7C47" w:rsidP="005379F8">
            <w:pPr>
              <w:jc w:val="center"/>
              <w:rPr>
                <w:rFonts w:ascii="Calibri" w:hAnsi="Calibri" w:cs="Calibri"/>
                <w:color w:val="000000"/>
                <w:sz w:val="18"/>
                <w:szCs w:val="18"/>
              </w:rPr>
            </w:pPr>
            <w:r w:rsidRPr="00110229">
              <w:rPr>
                <w:rFonts w:ascii="Calibri" w:hAnsi="Calibri" w:cs="Calibri"/>
                <w:color w:val="000000"/>
                <w:sz w:val="18"/>
                <w:szCs w:val="18"/>
              </w:rPr>
              <w:t> </w:t>
            </w:r>
          </w:p>
        </w:tc>
      </w:tr>
      <w:bookmarkEnd w:id="60"/>
      <w:tr w:rsidR="00110229" w14:paraId="5233EFE5" w14:textId="77777777" w:rsidTr="005379F8">
        <w:trPr>
          <w:trHeight w:val="20"/>
          <w:jc w:val="center"/>
        </w:trPr>
        <w:tc>
          <w:tcPr>
            <w:tcW w:w="3392" w:type="dxa"/>
            <w:tcBorders>
              <w:top w:val="nil"/>
              <w:left w:val="single" w:sz="8" w:space="0" w:color="FFFFFF"/>
              <w:bottom w:val="single" w:sz="8" w:space="0" w:color="FFFFFF"/>
              <w:right w:val="single" w:sz="8" w:space="0" w:color="FFFFFF"/>
            </w:tcBorders>
            <w:shd w:val="clear" w:color="auto" w:fill="D9E2F3" w:themeFill="accent5" w:themeFillTint="33"/>
            <w:noWrap/>
            <w:vAlign w:val="center"/>
          </w:tcPr>
          <w:p w14:paraId="5A7CB131" w14:textId="77777777" w:rsidR="00110229" w:rsidRPr="00110229" w:rsidRDefault="00110229" w:rsidP="00110229">
            <w:pPr>
              <w:rPr>
                <w:rFonts w:asciiTheme="minorHAnsi" w:hAnsiTheme="minorHAnsi" w:cstheme="minorHAnsi"/>
                <w:color w:val="000000"/>
                <w:sz w:val="18"/>
                <w:szCs w:val="18"/>
              </w:rPr>
            </w:pPr>
            <w:r w:rsidRPr="00110229">
              <w:rPr>
                <w:rFonts w:asciiTheme="minorHAnsi" w:hAnsiTheme="minorHAnsi" w:cstheme="minorHAnsi"/>
                <w:color w:val="000000"/>
                <w:sz w:val="18"/>
                <w:szCs w:val="18"/>
              </w:rPr>
              <w:t>Rendimentos da propriedade</w:t>
            </w:r>
          </w:p>
        </w:tc>
        <w:tc>
          <w:tcPr>
            <w:tcW w:w="1308" w:type="dxa"/>
            <w:tcBorders>
              <w:top w:val="nil"/>
              <w:left w:val="nil"/>
              <w:bottom w:val="single" w:sz="8" w:space="0" w:color="FFFFFF"/>
              <w:right w:val="single" w:sz="8" w:space="0" w:color="FFFFFF"/>
            </w:tcBorders>
            <w:shd w:val="clear" w:color="auto" w:fill="D9E2F3" w:themeFill="accent5" w:themeFillTint="33"/>
            <w:noWrap/>
            <w:vAlign w:val="center"/>
          </w:tcPr>
          <w:p w14:paraId="7CA6842E" w14:textId="77777777" w:rsidR="00110229" w:rsidRPr="00110229" w:rsidRDefault="00110229" w:rsidP="00110229">
            <w:pPr>
              <w:jc w:val="center"/>
              <w:rPr>
                <w:rFonts w:ascii="Calibri" w:hAnsi="Calibri" w:cs="Calibri"/>
                <w:color w:val="000000"/>
                <w:sz w:val="18"/>
                <w:szCs w:val="18"/>
              </w:rPr>
            </w:pPr>
            <w:r w:rsidRPr="00110229">
              <w:rPr>
                <w:rFonts w:ascii="Calibri" w:hAnsi="Calibri" w:cs="Calibri"/>
                <w:color w:val="000000"/>
                <w:sz w:val="18"/>
                <w:szCs w:val="18"/>
              </w:rPr>
              <w:t>05</w:t>
            </w:r>
          </w:p>
        </w:tc>
        <w:tc>
          <w:tcPr>
            <w:tcW w:w="1417" w:type="dxa"/>
            <w:tcBorders>
              <w:top w:val="nil"/>
              <w:left w:val="nil"/>
              <w:bottom w:val="single" w:sz="8" w:space="0" w:color="FFFFFF"/>
              <w:right w:val="single" w:sz="8" w:space="0" w:color="FFFFFF"/>
            </w:tcBorders>
            <w:shd w:val="clear" w:color="auto" w:fill="D9E2F3" w:themeFill="accent5" w:themeFillTint="33"/>
            <w:noWrap/>
            <w:vAlign w:val="center"/>
          </w:tcPr>
          <w:p w14:paraId="1B29E1AF" w14:textId="6CF79F0B" w:rsidR="00110229" w:rsidRPr="00110229" w:rsidRDefault="00110229" w:rsidP="00110229">
            <w:pPr>
              <w:ind w:right="69"/>
              <w:jc w:val="right"/>
              <w:rPr>
                <w:rFonts w:ascii="Calibri" w:hAnsi="Calibri" w:cs="Calibri"/>
                <w:sz w:val="18"/>
                <w:szCs w:val="18"/>
                <w:highlight w:val="yellow"/>
              </w:rPr>
            </w:pPr>
            <w:r w:rsidRPr="00110229">
              <w:rPr>
                <w:rFonts w:ascii="Calibri" w:hAnsi="Calibri" w:cs="Calibri"/>
                <w:color w:val="000000"/>
                <w:sz w:val="18"/>
                <w:szCs w:val="18"/>
              </w:rPr>
              <w:t>8 730 738</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30C3AB8D" w14:textId="1927BA51" w:rsidR="00110229" w:rsidRPr="00110229" w:rsidRDefault="00110229" w:rsidP="00110229">
            <w:pPr>
              <w:ind w:right="78"/>
              <w:jc w:val="right"/>
              <w:rPr>
                <w:rFonts w:ascii="Calibri" w:hAnsi="Calibri" w:cs="Calibri"/>
                <w:sz w:val="18"/>
                <w:szCs w:val="18"/>
                <w:highlight w:val="yellow"/>
              </w:rPr>
            </w:pPr>
            <w:r w:rsidRPr="00110229">
              <w:rPr>
                <w:rFonts w:ascii="Calibri" w:hAnsi="Calibri" w:cs="Calibri"/>
                <w:color w:val="000000"/>
                <w:sz w:val="18"/>
                <w:szCs w:val="18"/>
              </w:rPr>
              <w:t>11 795 124</w:t>
            </w:r>
          </w:p>
        </w:tc>
        <w:tc>
          <w:tcPr>
            <w:tcW w:w="1134" w:type="dxa"/>
            <w:tcBorders>
              <w:top w:val="nil"/>
              <w:left w:val="nil"/>
              <w:bottom w:val="single" w:sz="8" w:space="0" w:color="FFFFFF"/>
              <w:right w:val="single" w:sz="8" w:space="0" w:color="FFFFFF"/>
            </w:tcBorders>
            <w:shd w:val="clear" w:color="auto" w:fill="D9E2F3" w:themeFill="accent5" w:themeFillTint="33"/>
            <w:noWrap/>
            <w:vAlign w:val="center"/>
          </w:tcPr>
          <w:p w14:paraId="5D9903CE" w14:textId="7D373AB1" w:rsidR="00110229" w:rsidRPr="00110229" w:rsidRDefault="00110229" w:rsidP="00110229">
            <w:pPr>
              <w:ind w:right="176"/>
              <w:jc w:val="right"/>
              <w:rPr>
                <w:rFonts w:ascii="Calibri" w:hAnsi="Calibri" w:cs="Calibri"/>
                <w:sz w:val="18"/>
                <w:szCs w:val="18"/>
                <w:highlight w:val="yellow"/>
              </w:rPr>
            </w:pPr>
            <w:r w:rsidRPr="00110229">
              <w:rPr>
                <w:rFonts w:ascii="Calibri" w:hAnsi="Calibri" w:cs="Calibri"/>
                <w:color w:val="000000"/>
                <w:sz w:val="18"/>
                <w:szCs w:val="18"/>
              </w:rPr>
              <w:t>135%</w:t>
            </w:r>
          </w:p>
        </w:tc>
      </w:tr>
      <w:tr w:rsidR="00110229" w14:paraId="495AA28E" w14:textId="77777777" w:rsidTr="005379F8">
        <w:trPr>
          <w:trHeight w:val="20"/>
          <w:jc w:val="center"/>
        </w:trPr>
        <w:tc>
          <w:tcPr>
            <w:tcW w:w="3392" w:type="dxa"/>
            <w:tcBorders>
              <w:top w:val="nil"/>
              <w:left w:val="single" w:sz="8" w:space="0" w:color="FFFFFF"/>
              <w:bottom w:val="single" w:sz="8" w:space="0" w:color="FFFFFF"/>
              <w:right w:val="single" w:sz="8" w:space="0" w:color="FFFFFF"/>
            </w:tcBorders>
            <w:shd w:val="clear" w:color="auto" w:fill="D9E2F3" w:themeFill="accent5" w:themeFillTint="33"/>
            <w:noWrap/>
            <w:vAlign w:val="center"/>
          </w:tcPr>
          <w:p w14:paraId="2D86F9E9" w14:textId="77777777" w:rsidR="00110229" w:rsidRPr="00110229" w:rsidRDefault="00110229" w:rsidP="00110229">
            <w:pPr>
              <w:rPr>
                <w:rFonts w:asciiTheme="minorHAnsi" w:hAnsiTheme="minorHAnsi" w:cstheme="minorHAnsi"/>
                <w:color w:val="000000"/>
                <w:sz w:val="18"/>
                <w:szCs w:val="18"/>
              </w:rPr>
            </w:pPr>
            <w:r w:rsidRPr="00110229">
              <w:rPr>
                <w:rFonts w:asciiTheme="minorHAnsi" w:hAnsiTheme="minorHAnsi" w:cstheme="minorHAnsi"/>
                <w:color w:val="000000"/>
                <w:sz w:val="18"/>
                <w:szCs w:val="18"/>
              </w:rPr>
              <w:t>Venda de bens e serviços correntes</w:t>
            </w:r>
          </w:p>
        </w:tc>
        <w:tc>
          <w:tcPr>
            <w:tcW w:w="1308" w:type="dxa"/>
            <w:tcBorders>
              <w:top w:val="nil"/>
              <w:left w:val="nil"/>
              <w:bottom w:val="single" w:sz="8" w:space="0" w:color="FFFFFF"/>
              <w:right w:val="single" w:sz="8" w:space="0" w:color="FFFFFF"/>
            </w:tcBorders>
            <w:shd w:val="clear" w:color="auto" w:fill="D9E2F3" w:themeFill="accent5" w:themeFillTint="33"/>
            <w:noWrap/>
            <w:vAlign w:val="center"/>
          </w:tcPr>
          <w:p w14:paraId="2E2E31B1" w14:textId="77777777" w:rsidR="00110229" w:rsidRPr="00110229" w:rsidRDefault="00110229" w:rsidP="00110229">
            <w:pPr>
              <w:jc w:val="center"/>
              <w:rPr>
                <w:rFonts w:ascii="Calibri" w:hAnsi="Calibri" w:cs="Calibri"/>
                <w:color w:val="000000"/>
                <w:sz w:val="18"/>
                <w:szCs w:val="18"/>
              </w:rPr>
            </w:pPr>
            <w:r w:rsidRPr="00110229">
              <w:rPr>
                <w:rFonts w:ascii="Calibri" w:hAnsi="Calibri" w:cs="Calibri"/>
                <w:color w:val="000000"/>
                <w:sz w:val="18"/>
                <w:szCs w:val="18"/>
              </w:rPr>
              <w:t>07</w:t>
            </w:r>
          </w:p>
        </w:tc>
        <w:tc>
          <w:tcPr>
            <w:tcW w:w="1417" w:type="dxa"/>
            <w:tcBorders>
              <w:top w:val="nil"/>
              <w:left w:val="nil"/>
              <w:bottom w:val="single" w:sz="8" w:space="0" w:color="FFFFFF"/>
              <w:right w:val="single" w:sz="8" w:space="0" w:color="FFFFFF"/>
            </w:tcBorders>
            <w:shd w:val="clear" w:color="auto" w:fill="D9E2F3" w:themeFill="accent5" w:themeFillTint="33"/>
            <w:noWrap/>
            <w:vAlign w:val="center"/>
          </w:tcPr>
          <w:p w14:paraId="3D35292B" w14:textId="30103B52" w:rsidR="00110229" w:rsidRPr="00110229" w:rsidRDefault="00110229" w:rsidP="00110229">
            <w:pPr>
              <w:ind w:right="69"/>
              <w:jc w:val="right"/>
              <w:rPr>
                <w:rFonts w:ascii="Calibri" w:hAnsi="Calibri" w:cs="Calibri"/>
                <w:sz w:val="18"/>
                <w:szCs w:val="18"/>
                <w:highlight w:val="yellow"/>
              </w:rPr>
            </w:pPr>
            <w:r w:rsidRPr="00110229">
              <w:rPr>
                <w:rFonts w:ascii="Calibri" w:hAnsi="Calibri" w:cs="Calibri"/>
                <w:color w:val="000000"/>
                <w:sz w:val="18"/>
                <w:szCs w:val="18"/>
              </w:rPr>
              <w:t>9 078 844</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3B79369B" w14:textId="6BDFDAFE" w:rsidR="00110229" w:rsidRPr="00110229" w:rsidRDefault="00110229" w:rsidP="00110229">
            <w:pPr>
              <w:ind w:right="78"/>
              <w:jc w:val="right"/>
              <w:rPr>
                <w:rFonts w:ascii="Calibri" w:hAnsi="Calibri" w:cs="Calibri"/>
                <w:sz w:val="18"/>
                <w:szCs w:val="18"/>
                <w:highlight w:val="yellow"/>
              </w:rPr>
            </w:pPr>
            <w:r w:rsidRPr="00110229">
              <w:rPr>
                <w:rFonts w:ascii="Calibri" w:hAnsi="Calibri" w:cs="Calibri"/>
                <w:color w:val="000000"/>
                <w:sz w:val="18"/>
                <w:szCs w:val="18"/>
              </w:rPr>
              <w:t>14 353 292</w:t>
            </w:r>
          </w:p>
        </w:tc>
        <w:tc>
          <w:tcPr>
            <w:tcW w:w="1134" w:type="dxa"/>
            <w:tcBorders>
              <w:top w:val="nil"/>
              <w:left w:val="nil"/>
              <w:bottom w:val="single" w:sz="8" w:space="0" w:color="FFFFFF"/>
              <w:right w:val="single" w:sz="8" w:space="0" w:color="FFFFFF"/>
            </w:tcBorders>
            <w:shd w:val="clear" w:color="auto" w:fill="D9E2F3" w:themeFill="accent5" w:themeFillTint="33"/>
            <w:noWrap/>
            <w:vAlign w:val="center"/>
          </w:tcPr>
          <w:p w14:paraId="3430A5EF" w14:textId="2DE29284" w:rsidR="00110229" w:rsidRPr="00110229" w:rsidRDefault="00110229" w:rsidP="00110229">
            <w:pPr>
              <w:ind w:right="176"/>
              <w:jc w:val="right"/>
              <w:rPr>
                <w:rFonts w:ascii="Calibri" w:hAnsi="Calibri" w:cs="Calibri"/>
                <w:sz w:val="18"/>
                <w:szCs w:val="18"/>
                <w:highlight w:val="yellow"/>
              </w:rPr>
            </w:pPr>
            <w:r w:rsidRPr="00110229">
              <w:rPr>
                <w:rFonts w:ascii="Calibri" w:hAnsi="Calibri" w:cs="Calibri"/>
                <w:color w:val="000000"/>
                <w:sz w:val="18"/>
                <w:szCs w:val="18"/>
              </w:rPr>
              <w:t>158%</w:t>
            </w:r>
          </w:p>
        </w:tc>
      </w:tr>
      <w:tr w:rsidR="00110229" w14:paraId="06ED8110" w14:textId="77777777" w:rsidTr="005379F8">
        <w:trPr>
          <w:trHeight w:val="20"/>
          <w:jc w:val="center"/>
        </w:trPr>
        <w:tc>
          <w:tcPr>
            <w:tcW w:w="3392" w:type="dxa"/>
            <w:tcBorders>
              <w:top w:val="nil"/>
              <w:left w:val="single" w:sz="8" w:space="0" w:color="FFFFFF"/>
              <w:bottom w:val="single" w:sz="8" w:space="0" w:color="FFFFFF"/>
              <w:right w:val="single" w:sz="8" w:space="0" w:color="FFFFFF"/>
            </w:tcBorders>
            <w:shd w:val="clear" w:color="auto" w:fill="D9E2F3" w:themeFill="accent5" w:themeFillTint="33"/>
            <w:noWrap/>
            <w:vAlign w:val="center"/>
          </w:tcPr>
          <w:p w14:paraId="351B0E88" w14:textId="77777777" w:rsidR="00110229" w:rsidRPr="00110229" w:rsidRDefault="00110229" w:rsidP="00110229">
            <w:pPr>
              <w:rPr>
                <w:rFonts w:asciiTheme="minorHAnsi" w:hAnsiTheme="minorHAnsi" w:cstheme="minorHAnsi"/>
                <w:color w:val="000000"/>
                <w:sz w:val="18"/>
                <w:szCs w:val="18"/>
              </w:rPr>
            </w:pPr>
            <w:r w:rsidRPr="00110229">
              <w:rPr>
                <w:rFonts w:asciiTheme="minorHAnsi" w:hAnsiTheme="minorHAnsi" w:cstheme="minorHAnsi"/>
                <w:color w:val="000000"/>
                <w:sz w:val="18"/>
                <w:szCs w:val="18"/>
              </w:rPr>
              <w:t>Outras receitas correntes</w:t>
            </w:r>
          </w:p>
        </w:tc>
        <w:tc>
          <w:tcPr>
            <w:tcW w:w="1308" w:type="dxa"/>
            <w:tcBorders>
              <w:top w:val="nil"/>
              <w:left w:val="nil"/>
              <w:bottom w:val="single" w:sz="8" w:space="0" w:color="FFFFFF"/>
              <w:right w:val="single" w:sz="8" w:space="0" w:color="FFFFFF"/>
            </w:tcBorders>
            <w:shd w:val="clear" w:color="auto" w:fill="D9E2F3" w:themeFill="accent5" w:themeFillTint="33"/>
            <w:noWrap/>
            <w:vAlign w:val="center"/>
          </w:tcPr>
          <w:p w14:paraId="6A09554A" w14:textId="77777777" w:rsidR="00110229" w:rsidRPr="00110229" w:rsidRDefault="00110229" w:rsidP="00110229">
            <w:pPr>
              <w:jc w:val="center"/>
              <w:rPr>
                <w:rFonts w:ascii="Calibri" w:hAnsi="Calibri" w:cs="Calibri"/>
                <w:color w:val="000000"/>
                <w:sz w:val="18"/>
                <w:szCs w:val="18"/>
              </w:rPr>
            </w:pPr>
            <w:r w:rsidRPr="00110229">
              <w:rPr>
                <w:rFonts w:ascii="Calibri" w:hAnsi="Calibri" w:cs="Calibri"/>
                <w:color w:val="000000"/>
                <w:sz w:val="18"/>
                <w:szCs w:val="18"/>
              </w:rPr>
              <w:t>08</w:t>
            </w:r>
          </w:p>
        </w:tc>
        <w:tc>
          <w:tcPr>
            <w:tcW w:w="1417" w:type="dxa"/>
            <w:tcBorders>
              <w:top w:val="nil"/>
              <w:left w:val="nil"/>
              <w:bottom w:val="single" w:sz="8" w:space="0" w:color="FFFFFF"/>
              <w:right w:val="single" w:sz="8" w:space="0" w:color="FFFFFF"/>
            </w:tcBorders>
            <w:shd w:val="clear" w:color="auto" w:fill="D9E2F3" w:themeFill="accent5" w:themeFillTint="33"/>
            <w:noWrap/>
            <w:vAlign w:val="center"/>
          </w:tcPr>
          <w:p w14:paraId="0319E894" w14:textId="07EB0450" w:rsidR="00110229" w:rsidRPr="00110229" w:rsidRDefault="00110229" w:rsidP="00110229">
            <w:pPr>
              <w:ind w:right="69"/>
              <w:jc w:val="right"/>
              <w:rPr>
                <w:rFonts w:ascii="Calibri" w:hAnsi="Calibri" w:cs="Calibri"/>
                <w:sz w:val="18"/>
                <w:szCs w:val="18"/>
                <w:highlight w:val="yellow"/>
              </w:rPr>
            </w:pPr>
            <w:r w:rsidRPr="00110229">
              <w:rPr>
                <w:rFonts w:ascii="Calibri" w:hAnsi="Calibri" w:cs="Calibri"/>
                <w:color w:val="000000"/>
                <w:sz w:val="18"/>
                <w:szCs w:val="18"/>
              </w:rPr>
              <w:t>231 470</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13FC3070" w14:textId="50101232" w:rsidR="00110229" w:rsidRPr="00110229" w:rsidRDefault="00110229" w:rsidP="00110229">
            <w:pPr>
              <w:ind w:right="78"/>
              <w:jc w:val="right"/>
              <w:rPr>
                <w:rFonts w:ascii="Calibri" w:hAnsi="Calibri" w:cs="Calibri"/>
                <w:sz w:val="18"/>
                <w:szCs w:val="18"/>
                <w:highlight w:val="yellow"/>
              </w:rPr>
            </w:pPr>
            <w:r w:rsidRPr="00110229">
              <w:rPr>
                <w:rFonts w:ascii="Calibri" w:hAnsi="Calibri" w:cs="Calibri"/>
                <w:color w:val="000000"/>
                <w:sz w:val="18"/>
                <w:szCs w:val="18"/>
              </w:rPr>
              <w:t>273 279</w:t>
            </w:r>
          </w:p>
        </w:tc>
        <w:tc>
          <w:tcPr>
            <w:tcW w:w="1134" w:type="dxa"/>
            <w:tcBorders>
              <w:top w:val="nil"/>
              <w:left w:val="nil"/>
              <w:bottom w:val="single" w:sz="8" w:space="0" w:color="FFFFFF"/>
              <w:right w:val="single" w:sz="8" w:space="0" w:color="FFFFFF"/>
            </w:tcBorders>
            <w:shd w:val="clear" w:color="auto" w:fill="D9E2F3" w:themeFill="accent5" w:themeFillTint="33"/>
            <w:noWrap/>
            <w:vAlign w:val="center"/>
          </w:tcPr>
          <w:p w14:paraId="4CDAF4C8" w14:textId="1FBF22A6" w:rsidR="00110229" w:rsidRPr="00110229" w:rsidRDefault="00110229" w:rsidP="00110229">
            <w:pPr>
              <w:ind w:right="176"/>
              <w:jc w:val="right"/>
              <w:rPr>
                <w:rFonts w:ascii="Calibri" w:hAnsi="Calibri" w:cs="Calibri"/>
                <w:sz w:val="18"/>
                <w:szCs w:val="18"/>
                <w:highlight w:val="yellow"/>
              </w:rPr>
            </w:pPr>
            <w:r w:rsidRPr="00110229">
              <w:rPr>
                <w:rFonts w:ascii="Calibri" w:hAnsi="Calibri" w:cs="Calibri"/>
                <w:color w:val="000000"/>
                <w:sz w:val="18"/>
                <w:szCs w:val="18"/>
              </w:rPr>
              <w:t>118%</w:t>
            </w:r>
          </w:p>
        </w:tc>
      </w:tr>
      <w:tr w:rsidR="00110229" w14:paraId="57B3A080" w14:textId="77777777" w:rsidTr="005379F8">
        <w:trPr>
          <w:trHeight w:val="20"/>
          <w:jc w:val="center"/>
        </w:trPr>
        <w:tc>
          <w:tcPr>
            <w:tcW w:w="3392" w:type="dxa"/>
            <w:tcBorders>
              <w:top w:val="nil"/>
              <w:left w:val="single" w:sz="8" w:space="0" w:color="FFFFFF"/>
              <w:bottom w:val="single" w:sz="8" w:space="0" w:color="FFFFFF"/>
              <w:right w:val="single" w:sz="8" w:space="0" w:color="FFFFFF"/>
            </w:tcBorders>
            <w:shd w:val="clear" w:color="auto" w:fill="D9E2F3" w:themeFill="accent5" w:themeFillTint="33"/>
            <w:noWrap/>
            <w:vAlign w:val="center"/>
          </w:tcPr>
          <w:p w14:paraId="607D0592" w14:textId="77777777" w:rsidR="00110229" w:rsidRPr="00110229" w:rsidRDefault="00110229" w:rsidP="00110229">
            <w:pPr>
              <w:rPr>
                <w:rFonts w:asciiTheme="minorHAnsi" w:hAnsiTheme="minorHAnsi" w:cstheme="minorHAnsi"/>
                <w:color w:val="000000"/>
                <w:sz w:val="18"/>
                <w:szCs w:val="18"/>
              </w:rPr>
            </w:pPr>
            <w:r w:rsidRPr="00110229">
              <w:rPr>
                <w:rFonts w:asciiTheme="minorHAnsi" w:hAnsiTheme="minorHAnsi" w:cstheme="minorHAnsi"/>
                <w:color w:val="000000"/>
                <w:sz w:val="18"/>
                <w:szCs w:val="18"/>
              </w:rPr>
              <w:t>Ativos Financeiros</w:t>
            </w:r>
          </w:p>
        </w:tc>
        <w:tc>
          <w:tcPr>
            <w:tcW w:w="1308" w:type="dxa"/>
            <w:tcBorders>
              <w:top w:val="nil"/>
              <w:left w:val="nil"/>
              <w:bottom w:val="single" w:sz="8" w:space="0" w:color="FFFFFF"/>
              <w:right w:val="single" w:sz="8" w:space="0" w:color="FFFFFF"/>
            </w:tcBorders>
            <w:shd w:val="clear" w:color="auto" w:fill="D9E2F3" w:themeFill="accent5" w:themeFillTint="33"/>
            <w:noWrap/>
            <w:vAlign w:val="center"/>
          </w:tcPr>
          <w:p w14:paraId="374BAC2C" w14:textId="77777777" w:rsidR="00110229" w:rsidRPr="00110229" w:rsidRDefault="00110229" w:rsidP="00110229">
            <w:pPr>
              <w:jc w:val="center"/>
              <w:rPr>
                <w:rFonts w:ascii="Calibri" w:hAnsi="Calibri" w:cs="Calibri"/>
                <w:color w:val="000000"/>
                <w:sz w:val="18"/>
                <w:szCs w:val="18"/>
              </w:rPr>
            </w:pPr>
            <w:r w:rsidRPr="00110229">
              <w:rPr>
                <w:rFonts w:ascii="Calibri" w:hAnsi="Calibri" w:cs="Calibri"/>
                <w:color w:val="000000"/>
                <w:sz w:val="18"/>
                <w:szCs w:val="18"/>
              </w:rPr>
              <w:t>11</w:t>
            </w:r>
          </w:p>
        </w:tc>
        <w:tc>
          <w:tcPr>
            <w:tcW w:w="1417" w:type="dxa"/>
            <w:tcBorders>
              <w:top w:val="nil"/>
              <w:left w:val="nil"/>
              <w:bottom w:val="single" w:sz="8" w:space="0" w:color="FFFFFF"/>
              <w:right w:val="single" w:sz="8" w:space="0" w:color="FFFFFF"/>
            </w:tcBorders>
            <w:shd w:val="clear" w:color="auto" w:fill="D9E2F3" w:themeFill="accent5" w:themeFillTint="33"/>
            <w:noWrap/>
            <w:vAlign w:val="center"/>
          </w:tcPr>
          <w:p w14:paraId="6D18F0AB" w14:textId="73FCB5BF" w:rsidR="00110229" w:rsidRPr="00110229" w:rsidRDefault="00110229" w:rsidP="00110229">
            <w:pPr>
              <w:ind w:right="69"/>
              <w:jc w:val="right"/>
              <w:rPr>
                <w:rFonts w:ascii="Calibri" w:hAnsi="Calibri" w:cs="Calibri"/>
                <w:sz w:val="18"/>
                <w:szCs w:val="18"/>
                <w:highlight w:val="yellow"/>
              </w:rPr>
            </w:pPr>
            <w:r w:rsidRPr="00110229">
              <w:rPr>
                <w:rFonts w:ascii="Calibri" w:hAnsi="Calibri" w:cs="Calibri"/>
                <w:color w:val="000000"/>
                <w:sz w:val="18"/>
                <w:szCs w:val="18"/>
              </w:rPr>
              <w:t>125 534 150</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70D5C468" w14:textId="533B1CE0" w:rsidR="00110229" w:rsidRPr="00110229" w:rsidRDefault="00110229" w:rsidP="00110229">
            <w:pPr>
              <w:ind w:right="78"/>
              <w:jc w:val="right"/>
              <w:rPr>
                <w:rFonts w:ascii="Calibri" w:hAnsi="Calibri" w:cs="Calibri"/>
                <w:sz w:val="18"/>
                <w:szCs w:val="18"/>
                <w:highlight w:val="yellow"/>
              </w:rPr>
            </w:pPr>
            <w:r w:rsidRPr="00110229">
              <w:rPr>
                <w:rFonts w:ascii="Calibri" w:hAnsi="Calibri" w:cs="Calibri"/>
                <w:color w:val="000000"/>
                <w:sz w:val="18"/>
                <w:szCs w:val="18"/>
              </w:rPr>
              <w:t>87 411 474</w:t>
            </w:r>
          </w:p>
        </w:tc>
        <w:tc>
          <w:tcPr>
            <w:tcW w:w="1134" w:type="dxa"/>
            <w:tcBorders>
              <w:top w:val="nil"/>
              <w:left w:val="nil"/>
              <w:bottom w:val="single" w:sz="8" w:space="0" w:color="FFFFFF"/>
              <w:right w:val="single" w:sz="8" w:space="0" w:color="FFFFFF"/>
            </w:tcBorders>
            <w:shd w:val="clear" w:color="auto" w:fill="D9E2F3" w:themeFill="accent5" w:themeFillTint="33"/>
            <w:noWrap/>
            <w:vAlign w:val="center"/>
          </w:tcPr>
          <w:p w14:paraId="53DCC663" w14:textId="3F8FCEA9" w:rsidR="00110229" w:rsidRPr="00110229" w:rsidRDefault="00110229" w:rsidP="00110229">
            <w:pPr>
              <w:ind w:right="176"/>
              <w:jc w:val="right"/>
              <w:rPr>
                <w:rFonts w:ascii="Calibri" w:hAnsi="Calibri" w:cs="Calibri"/>
                <w:sz w:val="18"/>
                <w:szCs w:val="18"/>
                <w:highlight w:val="yellow"/>
              </w:rPr>
            </w:pPr>
            <w:r w:rsidRPr="00110229">
              <w:rPr>
                <w:rFonts w:ascii="Calibri" w:hAnsi="Calibri" w:cs="Calibri"/>
                <w:color w:val="000000"/>
                <w:sz w:val="18"/>
                <w:szCs w:val="18"/>
              </w:rPr>
              <w:t>70%</w:t>
            </w:r>
          </w:p>
        </w:tc>
      </w:tr>
      <w:tr w:rsidR="00110229" w14:paraId="1F85D6ED" w14:textId="77777777" w:rsidTr="005379F8">
        <w:trPr>
          <w:trHeight w:val="20"/>
          <w:jc w:val="center"/>
        </w:trPr>
        <w:tc>
          <w:tcPr>
            <w:tcW w:w="3392" w:type="dxa"/>
            <w:tcBorders>
              <w:top w:val="nil"/>
              <w:left w:val="single" w:sz="8" w:space="0" w:color="FFFFFF"/>
              <w:bottom w:val="single" w:sz="8" w:space="0" w:color="FFFFFF"/>
              <w:right w:val="single" w:sz="8" w:space="0" w:color="FFFFFF"/>
            </w:tcBorders>
            <w:shd w:val="clear" w:color="auto" w:fill="D9E2F3" w:themeFill="accent5" w:themeFillTint="33"/>
            <w:noWrap/>
            <w:vAlign w:val="center"/>
          </w:tcPr>
          <w:p w14:paraId="212134DB" w14:textId="77777777" w:rsidR="00110229" w:rsidRPr="00110229" w:rsidRDefault="00110229" w:rsidP="00110229">
            <w:pPr>
              <w:rPr>
                <w:rFonts w:asciiTheme="minorHAnsi" w:hAnsiTheme="minorHAnsi" w:cstheme="minorHAnsi"/>
                <w:color w:val="000000"/>
                <w:sz w:val="18"/>
                <w:szCs w:val="18"/>
              </w:rPr>
            </w:pPr>
            <w:r w:rsidRPr="00110229">
              <w:rPr>
                <w:rFonts w:asciiTheme="minorHAnsi" w:hAnsiTheme="minorHAnsi" w:cstheme="minorHAnsi"/>
                <w:color w:val="000000"/>
                <w:sz w:val="18"/>
                <w:szCs w:val="18"/>
              </w:rPr>
              <w:t>Saldo da gerência anterior</w:t>
            </w:r>
          </w:p>
        </w:tc>
        <w:tc>
          <w:tcPr>
            <w:tcW w:w="1308" w:type="dxa"/>
            <w:tcBorders>
              <w:top w:val="nil"/>
              <w:left w:val="nil"/>
              <w:bottom w:val="single" w:sz="8" w:space="0" w:color="FFFFFF"/>
              <w:right w:val="single" w:sz="8" w:space="0" w:color="FFFFFF"/>
            </w:tcBorders>
            <w:shd w:val="clear" w:color="auto" w:fill="D9E2F3" w:themeFill="accent5" w:themeFillTint="33"/>
            <w:noWrap/>
            <w:vAlign w:val="center"/>
          </w:tcPr>
          <w:p w14:paraId="11F56DAF" w14:textId="77777777" w:rsidR="00110229" w:rsidRPr="00110229" w:rsidRDefault="00110229" w:rsidP="00110229">
            <w:pPr>
              <w:jc w:val="center"/>
              <w:rPr>
                <w:rFonts w:ascii="Calibri" w:hAnsi="Calibri" w:cs="Calibri"/>
                <w:color w:val="000000"/>
                <w:sz w:val="18"/>
                <w:szCs w:val="18"/>
              </w:rPr>
            </w:pPr>
            <w:r w:rsidRPr="00110229">
              <w:rPr>
                <w:rFonts w:ascii="Calibri" w:hAnsi="Calibri" w:cs="Calibri"/>
                <w:color w:val="000000"/>
                <w:sz w:val="18"/>
                <w:szCs w:val="18"/>
              </w:rPr>
              <w:t>16</w:t>
            </w:r>
          </w:p>
        </w:tc>
        <w:tc>
          <w:tcPr>
            <w:tcW w:w="1417" w:type="dxa"/>
            <w:tcBorders>
              <w:top w:val="nil"/>
              <w:left w:val="nil"/>
              <w:bottom w:val="single" w:sz="8" w:space="0" w:color="FFFFFF"/>
              <w:right w:val="single" w:sz="8" w:space="0" w:color="FFFFFF"/>
            </w:tcBorders>
            <w:shd w:val="clear" w:color="auto" w:fill="D9E2F3" w:themeFill="accent5" w:themeFillTint="33"/>
            <w:noWrap/>
            <w:vAlign w:val="center"/>
          </w:tcPr>
          <w:p w14:paraId="0F7D87ED" w14:textId="69757163" w:rsidR="00110229" w:rsidRPr="00110229" w:rsidRDefault="00110229" w:rsidP="00110229">
            <w:pPr>
              <w:ind w:right="69"/>
              <w:jc w:val="right"/>
              <w:rPr>
                <w:rFonts w:ascii="Calibri" w:hAnsi="Calibri" w:cs="Calibri"/>
                <w:sz w:val="18"/>
                <w:szCs w:val="18"/>
                <w:highlight w:val="yellow"/>
              </w:rPr>
            </w:pPr>
            <w:r w:rsidRPr="00110229">
              <w:rPr>
                <w:rFonts w:ascii="Calibri" w:hAnsi="Calibri" w:cs="Calibri"/>
                <w:color w:val="000000"/>
                <w:sz w:val="18"/>
                <w:szCs w:val="18"/>
              </w:rPr>
              <w:t>11 456 474</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5DD44F29" w14:textId="63973CD2" w:rsidR="00110229" w:rsidRPr="00110229" w:rsidRDefault="00110229" w:rsidP="00110229">
            <w:pPr>
              <w:ind w:right="78"/>
              <w:jc w:val="right"/>
              <w:rPr>
                <w:rFonts w:ascii="Calibri" w:hAnsi="Calibri" w:cs="Calibri"/>
                <w:sz w:val="18"/>
                <w:szCs w:val="18"/>
                <w:highlight w:val="yellow"/>
              </w:rPr>
            </w:pPr>
            <w:r w:rsidRPr="00110229">
              <w:rPr>
                <w:rFonts w:ascii="Calibri" w:hAnsi="Calibri" w:cs="Calibri"/>
                <w:color w:val="000000"/>
                <w:sz w:val="18"/>
                <w:szCs w:val="18"/>
              </w:rPr>
              <w:t>11 456 474</w:t>
            </w:r>
          </w:p>
        </w:tc>
        <w:tc>
          <w:tcPr>
            <w:tcW w:w="1134" w:type="dxa"/>
            <w:tcBorders>
              <w:top w:val="nil"/>
              <w:left w:val="nil"/>
              <w:bottom w:val="single" w:sz="8" w:space="0" w:color="FFFFFF"/>
              <w:right w:val="single" w:sz="8" w:space="0" w:color="FFFFFF"/>
            </w:tcBorders>
            <w:shd w:val="clear" w:color="auto" w:fill="D9E2F3" w:themeFill="accent5" w:themeFillTint="33"/>
            <w:noWrap/>
            <w:vAlign w:val="center"/>
          </w:tcPr>
          <w:p w14:paraId="34EDBD59" w14:textId="2F3B9D4D" w:rsidR="00110229" w:rsidRPr="00110229" w:rsidRDefault="00110229" w:rsidP="00110229">
            <w:pPr>
              <w:ind w:right="176"/>
              <w:jc w:val="right"/>
              <w:rPr>
                <w:rFonts w:ascii="Calibri" w:hAnsi="Calibri" w:cs="Calibri"/>
                <w:sz w:val="18"/>
                <w:szCs w:val="18"/>
                <w:highlight w:val="yellow"/>
              </w:rPr>
            </w:pPr>
            <w:r w:rsidRPr="00110229">
              <w:rPr>
                <w:rFonts w:ascii="Calibri" w:hAnsi="Calibri" w:cs="Calibri"/>
                <w:color w:val="000000"/>
                <w:sz w:val="18"/>
                <w:szCs w:val="18"/>
              </w:rPr>
              <w:t>100%</w:t>
            </w:r>
          </w:p>
        </w:tc>
      </w:tr>
      <w:tr w:rsidR="00110229" w14:paraId="7B12C91C" w14:textId="77777777" w:rsidTr="005379F8">
        <w:trPr>
          <w:trHeight w:val="20"/>
          <w:jc w:val="center"/>
        </w:trPr>
        <w:tc>
          <w:tcPr>
            <w:tcW w:w="3392" w:type="dxa"/>
            <w:tcBorders>
              <w:top w:val="nil"/>
              <w:left w:val="single" w:sz="8" w:space="0" w:color="FFFFFF"/>
              <w:bottom w:val="single" w:sz="8" w:space="0" w:color="FFFFFF"/>
              <w:right w:val="single" w:sz="8" w:space="0" w:color="FFFFFF"/>
            </w:tcBorders>
            <w:shd w:val="clear" w:color="auto" w:fill="D9E2F3" w:themeFill="accent5" w:themeFillTint="33"/>
            <w:noWrap/>
            <w:vAlign w:val="center"/>
            <w:hideMark/>
          </w:tcPr>
          <w:p w14:paraId="6C930289" w14:textId="77777777" w:rsidR="00110229" w:rsidRPr="00110229" w:rsidRDefault="00110229" w:rsidP="00110229">
            <w:pPr>
              <w:rPr>
                <w:rFonts w:asciiTheme="minorHAnsi" w:hAnsiTheme="minorHAnsi" w:cstheme="minorHAnsi"/>
                <w:b/>
                <w:bCs/>
                <w:color w:val="000000"/>
                <w:sz w:val="18"/>
                <w:szCs w:val="18"/>
              </w:rPr>
            </w:pPr>
            <w:r w:rsidRPr="00110229">
              <w:rPr>
                <w:rFonts w:asciiTheme="minorHAnsi" w:hAnsiTheme="minorHAnsi" w:cstheme="minorHAnsi"/>
                <w:b/>
                <w:bCs/>
                <w:color w:val="000000"/>
                <w:sz w:val="18"/>
                <w:szCs w:val="18"/>
              </w:rPr>
              <w:t> </w:t>
            </w:r>
          </w:p>
        </w:tc>
        <w:tc>
          <w:tcPr>
            <w:tcW w:w="1308" w:type="dxa"/>
            <w:tcBorders>
              <w:top w:val="nil"/>
              <w:left w:val="nil"/>
              <w:bottom w:val="single" w:sz="8" w:space="0" w:color="FFFFFF"/>
              <w:right w:val="single" w:sz="8" w:space="0" w:color="FFFFFF"/>
            </w:tcBorders>
            <w:shd w:val="clear" w:color="auto" w:fill="D9E2F3" w:themeFill="accent5" w:themeFillTint="33"/>
            <w:noWrap/>
            <w:vAlign w:val="center"/>
            <w:hideMark/>
          </w:tcPr>
          <w:p w14:paraId="5ED523B3" w14:textId="77777777" w:rsidR="00110229" w:rsidRPr="00110229" w:rsidRDefault="00110229" w:rsidP="00110229">
            <w:pPr>
              <w:jc w:val="center"/>
              <w:rPr>
                <w:rFonts w:ascii="Calibri" w:hAnsi="Calibri" w:cs="Calibri"/>
                <w:color w:val="000000"/>
                <w:sz w:val="18"/>
                <w:szCs w:val="18"/>
              </w:rPr>
            </w:pPr>
            <w:r w:rsidRPr="00110229">
              <w:rPr>
                <w:rFonts w:ascii="Calibri" w:hAnsi="Calibri" w:cs="Calibri"/>
                <w:color w:val="000000"/>
                <w:sz w:val="18"/>
                <w:szCs w:val="18"/>
              </w:rPr>
              <w:t> </w:t>
            </w:r>
          </w:p>
        </w:tc>
        <w:tc>
          <w:tcPr>
            <w:tcW w:w="1417" w:type="dxa"/>
            <w:tcBorders>
              <w:top w:val="nil"/>
              <w:left w:val="nil"/>
              <w:bottom w:val="single" w:sz="8" w:space="0" w:color="FFFFFF"/>
              <w:right w:val="single" w:sz="8" w:space="0" w:color="FFFFFF"/>
            </w:tcBorders>
            <w:shd w:val="clear" w:color="auto" w:fill="D9E2F3" w:themeFill="accent5" w:themeFillTint="33"/>
            <w:noWrap/>
            <w:vAlign w:val="center"/>
          </w:tcPr>
          <w:p w14:paraId="31C77374" w14:textId="4E430FCB" w:rsidR="00110229" w:rsidRPr="00110229" w:rsidRDefault="00110229" w:rsidP="00110229">
            <w:pPr>
              <w:ind w:right="69"/>
              <w:jc w:val="right"/>
              <w:rPr>
                <w:rFonts w:ascii="Calibri" w:hAnsi="Calibri" w:cs="Calibri"/>
                <w:color w:val="FF0000"/>
                <w:sz w:val="18"/>
                <w:szCs w:val="18"/>
                <w:highlight w:val="yellow"/>
              </w:rPr>
            </w:pPr>
            <w:r w:rsidRPr="00110229">
              <w:rPr>
                <w:rFonts w:ascii="Calibri" w:hAnsi="Calibri" w:cs="Calibri"/>
                <w:color w:val="FF0000"/>
                <w:sz w:val="18"/>
                <w:szCs w:val="18"/>
              </w:rPr>
              <w:t> </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4BA4F26C" w14:textId="0CAABA78" w:rsidR="00110229" w:rsidRPr="00110229" w:rsidRDefault="00110229" w:rsidP="00110229">
            <w:pPr>
              <w:ind w:right="78"/>
              <w:jc w:val="right"/>
              <w:rPr>
                <w:rFonts w:ascii="Calibri" w:hAnsi="Calibri" w:cs="Calibri"/>
                <w:color w:val="FF0000"/>
                <w:sz w:val="18"/>
                <w:szCs w:val="18"/>
                <w:highlight w:val="yellow"/>
              </w:rPr>
            </w:pPr>
            <w:r w:rsidRPr="00110229">
              <w:rPr>
                <w:rFonts w:ascii="Calibri" w:hAnsi="Calibri" w:cs="Calibri"/>
                <w:color w:val="FF0000"/>
                <w:sz w:val="18"/>
                <w:szCs w:val="18"/>
              </w:rPr>
              <w:t> </w:t>
            </w:r>
          </w:p>
        </w:tc>
        <w:tc>
          <w:tcPr>
            <w:tcW w:w="1134" w:type="dxa"/>
            <w:tcBorders>
              <w:top w:val="nil"/>
              <w:left w:val="nil"/>
              <w:bottom w:val="single" w:sz="8" w:space="0" w:color="FFFFFF"/>
              <w:right w:val="single" w:sz="8" w:space="0" w:color="FFFFFF"/>
            </w:tcBorders>
            <w:shd w:val="clear" w:color="auto" w:fill="D9E2F3" w:themeFill="accent5" w:themeFillTint="33"/>
            <w:noWrap/>
            <w:vAlign w:val="center"/>
          </w:tcPr>
          <w:p w14:paraId="11F4E571" w14:textId="462B659C" w:rsidR="00110229" w:rsidRPr="00110229" w:rsidRDefault="00110229" w:rsidP="00110229">
            <w:pPr>
              <w:ind w:right="176"/>
              <w:jc w:val="center"/>
              <w:rPr>
                <w:rFonts w:ascii="Calibri" w:hAnsi="Calibri" w:cs="Calibri"/>
                <w:color w:val="FF0000"/>
                <w:sz w:val="18"/>
                <w:szCs w:val="18"/>
                <w:highlight w:val="yellow"/>
              </w:rPr>
            </w:pPr>
            <w:r w:rsidRPr="00110229">
              <w:rPr>
                <w:rFonts w:ascii="Calibri" w:hAnsi="Calibri" w:cs="Calibri"/>
                <w:color w:val="FF0000"/>
                <w:sz w:val="18"/>
                <w:szCs w:val="18"/>
              </w:rPr>
              <w:t> </w:t>
            </w:r>
          </w:p>
        </w:tc>
      </w:tr>
      <w:tr w:rsidR="00110229" w14:paraId="0493B61D" w14:textId="77777777" w:rsidTr="005379F8">
        <w:trPr>
          <w:trHeight w:val="20"/>
          <w:jc w:val="center"/>
        </w:trPr>
        <w:tc>
          <w:tcPr>
            <w:tcW w:w="3392" w:type="dxa"/>
            <w:tcBorders>
              <w:top w:val="nil"/>
              <w:left w:val="single" w:sz="8" w:space="0" w:color="FFFFFF"/>
              <w:bottom w:val="single" w:sz="8" w:space="0" w:color="FFFFFF"/>
              <w:right w:val="single" w:sz="8" w:space="0" w:color="FFFFFF"/>
            </w:tcBorders>
            <w:shd w:val="clear" w:color="auto" w:fill="D9E2F3" w:themeFill="accent5" w:themeFillTint="33"/>
            <w:noWrap/>
            <w:vAlign w:val="center"/>
            <w:hideMark/>
          </w:tcPr>
          <w:p w14:paraId="1ABA25B2" w14:textId="77777777" w:rsidR="00110229" w:rsidRPr="00110229" w:rsidRDefault="00110229" w:rsidP="00110229">
            <w:pPr>
              <w:jc w:val="center"/>
              <w:rPr>
                <w:rFonts w:asciiTheme="minorHAnsi" w:hAnsiTheme="minorHAnsi" w:cstheme="minorHAnsi"/>
                <w:b/>
                <w:bCs/>
                <w:color w:val="000000"/>
                <w:sz w:val="18"/>
                <w:szCs w:val="18"/>
              </w:rPr>
            </w:pPr>
            <w:r w:rsidRPr="00110229">
              <w:rPr>
                <w:rFonts w:asciiTheme="minorHAnsi" w:hAnsiTheme="minorHAnsi" w:cstheme="minorHAnsi"/>
                <w:b/>
                <w:bCs/>
                <w:color w:val="000000"/>
                <w:sz w:val="18"/>
                <w:szCs w:val="18"/>
              </w:rPr>
              <w:t>Despesas</w:t>
            </w:r>
          </w:p>
        </w:tc>
        <w:tc>
          <w:tcPr>
            <w:tcW w:w="1308" w:type="dxa"/>
            <w:tcBorders>
              <w:top w:val="nil"/>
              <w:left w:val="nil"/>
              <w:bottom w:val="single" w:sz="8" w:space="0" w:color="FFFFFF"/>
              <w:right w:val="single" w:sz="8" w:space="0" w:color="FFFFFF"/>
            </w:tcBorders>
            <w:shd w:val="clear" w:color="auto" w:fill="D9E2F3" w:themeFill="accent5" w:themeFillTint="33"/>
            <w:noWrap/>
            <w:vAlign w:val="center"/>
            <w:hideMark/>
          </w:tcPr>
          <w:p w14:paraId="7244CE24" w14:textId="77777777" w:rsidR="00110229" w:rsidRPr="00110229" w:rsidRDefault="00110229" w:rsidP="00110229">
            <w:pPr>
              <w:jc w:val="center"/>
              <w:rPr>
                <w:rFonts w:ascii="Calibri" w:hAnsi="Calibri" w:cs="Calibri"/>
                <w:color w:val="000000"/>
                <w:sz w:val="18"/>
                <w:szCs w:val="18"/>
              </w:rPr>
            </w:pPr>
            <w:r w:rsidRPr="00110229">
              <w:rPr>
                <w:rFonts w:ascii="Calibri" w:hAnsi="Calibri" w:cs="Calibri"/>
                <w:color w:val="000000"/>
                <w:sz w:val="18"/>
                <w:szCs w:val="18"/>
              </w:rPr>
              <w:t> </w:t>
            </w:r>
          </w:p>
        </w:tc>
        <w:tc>
          <w:tcPr>
            <w:tcW w:w="1417" w:type="dxa"/>
            <w:tcBorders>
              <w:top w:val="nil"/>
              <w:left w:val="nil"/>
              <w:bottom w:val="single" w:sz="8" w:space="0" w:color="FFFFFF"/>
              <w:right w:val="single" w:sz="8" w:space="0" w:color="FFFFFF"/>
            </w:tcBorders>
            <w:shd w:val="clear" w:color="auto" w:fill="D9E2F3" w:themeFill="accent5" w:themeFillTint="33"/>
            <w:noWrap/>
            <w:vAlign w:val="center"/>
          </w:tcPr>
          <w:p w14:paraId="54A528EC" w14:textId="5277EA0F" w:rsidR="00110229" w:rsidRPr="00110229" w:rsidRDefault="00110229" w:rsidP="00110229">
            <w:pPr>
              <w:ind w:right="69"/>
              <w:jc w:val="right"/>
              <w:rPr>
                <w:rFonts w:ascii="Calibri" w:hAnsi="Calibri" w:cs="Calibri"/>
                <w:color w:val="FF0000"/>
                <w:sz w:val="18"/>
                <w:szCs w:val="18"/>
                <w:highlight w:val="yellow"/>
              </w:rPr>
            </w:pPr>
            <w:r w:rsidRPr="00110229">
              <w:rPr>
                <w:rFonts w:ascii="Calibri" w:hAnsi="Calibri" w:cs="Calibri"/>
                <w:color w:val="FF0000"/>
                <w:sz w:val="18"/>
                <w:szCs w:val="18"/>
              </w:rPr>
              <w:t> </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5F1FCAA9" w14:textId="09C887DA" w:rsidR="00110229" w:rsidRPr="00110229" w:rsidRDefault="00110229" w:rsidP="00110229">
            <w:pPr>
              <w:ind w:right="78"/>
              <w:jc w:val="right"/>
              <w:rPr>
                <w:rFonts w:ascii="Calibri" w:hAnsi="Calibri" w:cs="Calibri"/>
                <w:color w:val="FF0000"/>
                <w:sz w:val="18"/>
                <w:szCs w:val="18"/>
                <w:highlight w:val="yellow"/>
              </w:rPr>
            </w:pPr>
            <w:r w:rsidRPr="00110229">
              <w:rPr>
                <w:rFonts w:ascii="Calibri" w:hAnsi="Calibri" w:cs="Calibri"/>
                <w:color w:val="FF0000"/>
                <w:sz w:val="18"/>
                <w:szCs w:val="18"/>
              </w:rPr>
              <w:t> </w:t>
            </w:r>
          </w:p>
        </w:tc>
        <w:tc>
          <w:tcPr>
            <w:tcW w:w="1134" w:type="dxa"/>
            <w:tcBorders>
              <w:top w:val="nil"/>
              <w:left w:val="nil"/>
              <w:bottom w:val="single" w:sz="8" w:space="0" w:color="FFFFFF"/>
              <w:right w:val="single" w:sz="8" w:space="0" w:color="FFFFFF"/>
            </w:tcBorders>
            <w:shd w:val="clear" w:color="auto" w:fill="D9E2F3" w:themeFill="accent5" w:themeFillTint="33"/>
            <w:noWrap/>
            <w:vAlign w:val="center"/>
          </w:tcPr>
          <w:p w14:paraId="61AEA8EF" w14:textId="2CB51A80" w:rsidR="00110229" w:rsidRPr="00110229" w:rsidRDefault="00110229" w:rsidP="00110229">
            <w:pPr>
              <w:ind w:right="176"/>
              <w:jc w:val="right"/>
              <w:rPr>
                <w:rFonts w:ascii="Calibri" w:hAnsi="Calibri" w:cs="Calibri"/>
                <w:color w:val="FF0000"/>
                <w:sz w:val="18"/>
                <w:szCs w:val="18"/>
                <w:highlight w:val="yellow"/>
              </w:rPr>
            </w:pPr>
            <w:r w:rsidRPr="00110229">
              <w:rPr>
                <w:rFonts w:ascii="Calibri" w:hAnsi="Calibri" w:cs="Calibri"/>
                <w:color w:val="FF0000"/>
                <w:sz w:val="18"/>
                <w:szCs w:val="18"/>
              </w:rPr>
              <w:t> </w:t>
            </w:r>
          </w:p>
        </w:tc>
      </w:tr>
      <w:tr w:rsidR="00110229" w14:paraId="077621F5" w14:textId="77777777" w:rsidTr="000620EE">
        <w:trPr>
          <w:trHeight w:val="20"/>
          <w:jc w:val="center"/>
        </w:trPr>
        <w:tc>
          <w:tcPr>
            <w:tcW w:w="3392" w:type="dxa"/>
            <w:tcBorders>
              <w:top w:val="nil"/>
              <w:left w:val="single" w:sz="8" w:space="0" w:color="FFFFFF"/>
              <w:bottom w:val="single" w:sz="8" w:space="0" w:color="FFFFFF"/>
              <w:right w:val="single" w:sz="8" w:space="0" w:color="FFFFFF"/>
            </w:tcBorders>
            <w:shd w:val="clear" w:color="auto" w:fill="D9E2F3" w:themeFill="accent5" w:themeFillTint="33"/>
            <w:noWrap/>
            <w:vAlign w:val="center"/>
          </w:tcPr>
          <w:p w14:paraId="31BE2F7B" w14:textId="77777777" w:rsidR="00110229" w:rsidRPr="00110229" w:rsidRDefault="00110229" w:rsidP="00110229">
            <w:pPr>
              <w:rPr>
                <w:rFonts w:asciiTheme="minorHAnsi" w:hAnsiTheme="minorHAnsi" w:cstheme="minorHAnsi"/>
                <w:color w:val="000000"/>
                <w:sz w:val="18"/>
                <w:szCs w:val="18"/>
              </w:rPr>
            </w:pPr>
            <w:r w:rsidRPr="00110229">
              <w:rPr>
                <w:rFonts w:asciiTheme="minorHAnsi" w:hAnsiTheme="minorHAnsi" w:cstheme="minorHAnsi"/>
                <w:color w:val="000000"/>
                <w:sz w:val="18"/>
                <w:szCs w:val="18"/>
              </w:rPr>
              <w:t>Despesas com o pessoal</w:t>
            </w:r>
          </w:p>
        </w:tc>
        <w:tc>
          <w:tcPr>
            <w:tcW w:w="1308" w:type="dxa"/>
            <w:tcBorders>
              <w:top w:val="nil"/>
              <w:left w:val="nil"/>
              <w:bottom w:val="single" w:sz="8" w:space="0" w:color="FFFFFF"/>
              <w:right w:val="single" w:sz="8" w:space="0" w:color="FFFFFF"/>
            </w:tcBorders>
            <w:shd w:val="clear" w:color="auto" w:fill="D9E2F3" w:themeFill="accent5" w:themeFillTint="33"/>
            <w:noWrap/>
            <w:vAlign w:val="center"/>
          </w:tcPr>
          <w:p w14:paraId="68305D52" w14:textId="77777777" w:rsidR="00110229" w:rsidRPr="00110229" w:rsidRDefault="00110229" w:rsidP="00110229">
            <w:pPr>
              <w:jc w:val="center"/>
              <w:rPr>
                <w:rFonts w:ascii="Calibri" w:hAnsi="Calibri" w:cs="Calibri"/>
                <w:color w:val="000000"/>
                <w:sz w:val="18"/>
                <w:szCs w:val="18"/>
              </w:rPr>
            </w:pPr>
            <w:r w:rsidRPr="00110229">
              <w:rPr>
                <w:rFonts w:ascii="Calibri" w:hAnsi="Calibri" w:cs="Calibri"/>
                <w:color w:val="000000"/>
                <w:sz w:val="18"/>
                <w:szCs w:val="18"/>
              </w:rPr>
              <w:t>01</w:t>
            </w:r>
          </w:p>
        </w:tc>
        <w:tc>
          <w:tcPr>
            <w:tcW w:w="1417" w:type="dxa"/>
            <w:tcBorders>
              <w:top w:val="nil"/>
              <w:left w:val="nil"/>
              <w:bottom w:val="single" w:sz="8" w:space="0" w:color="FFFFFF"/>
              <w:right w:val="single" w:sz="8" w:space="0" w:color="FFFFFF"/>
            </w:tcBorders>
            <w:shd w:val="clear" w:color="auto" w:fill="D9E2F3" w:themeFill="accent5" w:themeFillTint="33"/>
            <w:noWrap/>
            <w:vAlign w:val="center"/>
          </w:tcPr>
          <w:p w14:paraId="2278F240" w14:textId="66BB620A" w:rsidR="00110229" w:rsidRPr="00110229" w:rsidRDefault="00110229" w:rsidP="00110229">
            <w:pPr>
              <w:ind w:right="69"/>
              <w:jc w:val="right"/>
              <w:rPr>
                <w:rFonts w:ascii="Calibri" w:hAnsi="Calibri" w:cs="Calibri"/>
                <w:sz w:val="18"/>
                <w:szCs w:val="18"/>
                <w:highlight w:val="yellow"/>
              </w:rPr>
            </w:pPr>
            <w:r w:rsidRPr="00110229">
              <w:rPr>
                <w:rFonts w:ascii="Calibri" w:hAnsi="Calibri" w:cs="Calibri"/>
                <w:color w:val="000000"/>
                <w:sz w:val="18"/>
                <w:szCs w:val="18"/>
              </w:rPr>
              <w:t>9 340 270</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14F24477" w14:textId="33B6C492" w:rsidR="00110229" w:rsidRPr="00110229" w:rsidRDefault="00110229" w:rsidP="00110229">
            <w:pPr>
              <w:ind w:right="78"/>
              <w:jc w:val="right"/>
              <w:rPr>
                <w:rFonts w:ascii="Calibri" w:hAnsi="Calibri" w:cs="Calibri"/>
                <w:sz w:val="18"/>
                <w:szCs w:val="18"/>
                <w:highlight w:val="yellow"/>
              </w:rPr>
            </w:pPr>
            <w:r w:rsidRPr="00110229">
              <w:rPr>
                <w:rFonts w:ascii="Calibri" w:hAnsi="Calibri" w:cs="Calibri"/>
                <w:color w:val="000000"/>
                <w:sz w:val="18"/>
                <w:szCs w:val="18"/>
              </w:rPr>
              <w:t>5 007 300</w:t>
            </w:r>
          </w:p>
        </w:tc>
        <w:tc>
          <w:tcPr>
            <w:tcW w:w="1134" w:type="dxa"/>
            <w:tcBorders>
              <w:top w:val="nil"/>
              <w:left w:val="nil"/>
              <w:bottom w:val="single" w:sz="8" w:space="0" w:color="FFFFFF"/>
              <w:right w:val="single" w:sz="8" w:space="0" w:color="FFFFFF"/>
            </w:tcBorders>
            <w:shd w:val="clear" w:color="auto" w:fill="D9E2F3" w:themeFill="accent5" w:themeFillTint="33"/>
            <w:noWrap/>
            <w:vAlign w:val="center"/>
          </w:tcPr>
          <w:p w14:paraId="2D393A16" w14:textId="641A79B8" w:rsidR="00110229" w:rsidRPr="00110229" w:rsidRDefault="00110229" w:rsidP="00110229">
            <w:pPr>
              <w:ind w:right="176"/>
              <w:jc w:val="right"/>
              <w:rPr>
                <w:rFonts w:ascii="Calibri" w:hAnsi="Calibri" w:cs="Calibri"/>
                <w:sz w:val="18"/>
                <w:szCs w:val="18"/>
                <w:highlight w:val="yellow"/>
              </w:rPr>
            </w:pPr>
            <w:r w:rsidRPr="00110229">
              <w:rPr>
                <w:rFonts w:ascii="Calibri" w:hAnsi="Calibri" w:cs="Calibri"/>
                <w:color w:val="000000"/>
                <w:sz w:val="18"/>
                <w:szCs w:val="18"/>
              </w:rPr>
              <w:t>54%</w:t>
            </w:r>
          </w:p>
        </w:tc>
      </w:tr>
      <w:tr w:rsidR="00110229" w14:paraId="4F729B18" w14:textId="77777777" w:rsidTr="000620EE">
        <w:trPr>
          <w:trHeight w:val="20"/>
          <w:jc w:val="center"/>
        </w:trPr>
        <w:tc>
          <w:tcPr>
            <w:tcW w:w="3392" w:type="dxa"/>
            <w:tcBorders>
              <w:top w:val="nil"/>
              <w:left w:val="single" w:sz="8" w:space="0" w:color="FFFFFF"/>
              <w:bottom w:val="single" w:sz="8" w:space="0" w:color="FFFFFF"/>
              <w:right w:val="single" w:sz="8" w:space="0" w:color="FFFFFF"/>
            </w:tcBorders>
            <w:shd w:val="clear" w:color="auto" w:fill="D9E2F3" w:themeFill="accent5" w:themeFillTint="33"/>
            <w:noWrap/>
            <w:vAlign w:val="center"/>
          </w:tcPr>
          <w:p w14:paraId="5A015DD0" w14:textId="77777777" w:rsidR="00110229" w:rsidRPr="00110229" w:rsidRDefault="00110229" w:rsidP="00110229">
            <w:pPr>
              <w:rPr>
                <w:rFonts w:asciiTheme="minorHAnsi" w:hAnsiTheme="minorHAnsi" w:cstheme="minorHAnsi"/>
                <w:color w:val="000000"/>
                <w:sz w:val="18"/>
                <w:szCs w:val="18"/>
              </w:rPr>
            </w:pPr>
            <w:r w:rsidRPr="00110229">
              <w:rPr>
                <w:rFonts w:asciiTheme="minorHAnsi" w:hAnsiTheme="minorHAnsi" w:cstheme="minorHAnsi"/>
                <w:color w:val="000000"/>
                <w:sz w:val="18"/>
                <w:szCs w:val="18"/>
              </w:rPr>
              <w:t>Aquisição de bens e serviços</w:t>
            </w:r>
          </w:p>
        </w:tc>
        <w:tc>
          <w:tcPr>
            <w:tcW w:w="1308" w:type="dxa"/>
            <w:tcBorders>
              <w:top w:val="nil"/>
              <w:left w:val="nil"/>
              <w:bottom w:val="single" w:sz="8" w:space="0" w:color="FFFFFF"/>
              <w:right w:val="single" w:sz="8" w:space="0" w:color="FFFFFF"/>
            </w:tcBorders>
            <w:shd w:val="clear" w:color="auto" w:fill="D9E2F3" w:themeFill="accent5" w:themeFillTint="33"/>
            <w:noWrap/>
            <w:vAlign w:val="center"/>
          </w:tcPr>
          <w:p w14:paraId="0178DC0B" w14:textId="77777777" w:rsidR="00110229" w:rsidRPr="00110229" w:rsidRDefault="00110229" w:rsidP="00110229">
            <w:pPr>
              <w:jc w:val="center"/>
              <w:rPr>
                <w:rFonts w:ascii="Calibri" w:hAnsi="Calibri" w:cs="Calibri"/>
                <w:color w:val="000000"/>
                <w:sz w:val="18"/>
                <w:szCs w:val="18"/>
              </w:rPr>
            </w:pPr>
            <w:r w:rsidRPr="00110229">
              <w:rPr>
                <w:rFonts w:ascii="Calibri" w:hAnsi="Calibri" w:cs="Calibri"/>
                <w:color w:val="000000"/>
                <w:sz w:val="18"/>
                <w:szCs w:val="18"/>
              </w:rPr>
              <w:t>02</w:t>
            </w:r>
          </w:p>
        </w:tc>
        <w:tc>
          <w:tcPr>
            <w:tcW w:w="1417" w:type="dxa"/>
            <w:tcBorders>
              <w:top w:val="nil"/>
              <w:left w:val="nil"/>
              <w:bottom w:val="single" w:sz="8" w:space="0" w:color="FFFFFF"/>
              <w:right w:val="single" w:sz="8" w:space="0" w:color="FFFFFF"/>
            </w:tcBorders>
            <w:shd w:val="clear" w:color="auto" w:fill="D9E2F3" w:themeFill="accent5" w:themeFillTint="33"/>
            <w:noWrap/>
            <w:vAlign w:val="center"/>
          </w:tcPr>
          <w:p w14:paraId="149E3F8E" w14:textId="657D76EA" w:rsidR="00110229" w:rsidRPr="00110229" w:rsidRDefault="00110229" w:rsidP="00110229">
            <w:pPr>
              <w:ind w:right="69"/>
              <w:jc w:val="right"/>
              <w:rPr>
                <w:rFonts w:ascii="Calibri" w:hAnsi="Calibri" w:cs="Calibri"/>
                <w:sz w:val="18"/>
                <w:szCs w:val="18"/>
                <w:highlight w:val="yellow"/>
              </w:rPr>
            </w:pPr>
            <w:r w:rsidRPr="00110229">
              <w:rPr>
                <w:rFonts w:ascii="Calibri" w:hAnsi="Calibri" w:cs="Calibri"/>
                <w:color w:val="000000"/>
                <w:sz w:val="18"/>
                <w:szCs w:val="18"/>
              </w:rPr>
              <w:t>7 408 050</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15F8EEDA" w14:textId="755AD730" w:rsidR="00110229" w:rsidRPr="00110229" w:rsidRDefault="00110229" w:rsidP="00110229">
            <w:pPr>
              <w:ind w:right="78"/>
              <w:jc w:val="right"/>
              <w:rPr>
                <w:rFonts w:ascii="Calibri" w:hAnsi="Calibri" w:cs="Calibri"/>
                <w:sz w:val="18"/>
                <w:szCs w:val="18"/>
                <w:highlight w:val="yellow"/>
              </w:rPr>
            </w:pPr>
            <w:r w:rsidRPr="00110229">
              <w:rPr>
                <w:rFonts w:ascii="Calibri" w:hAnsi="Calibri" w:cs="Calibri"/>
                <w:color w:val="000000"/>
                <w:sz w:val="18"/>
                <w:szCs w:val="18"/>
              </w:rPr>
              <w:t>6 195 807</w:t>
            </w:r>
          </w:p>
        </w:tc>
        <w:tc>
          <w:tcPr>
            <w:tcW w:w="1134" w:type="dxa"/>
            <w:tcBorders>
              <w:top w:val="nil"/>
              <w:left w:val="nil"/>
              <w:bottom w:val="single" w:sz="8" w:space="0" w:color="FFFFFF"/>
              <w:right w:val="single" w:sz="8" w:space="0" w:color="FFFFFF"/>
            </w:tcBorders>
            <w:shd w:val="clear" w:color="auto" w:fill="D9E2F3" w:themeFill="accent5" w:themeFillTint="33"/>
            <w:noWrap/>
            <w:vAlign w:val="center"/>
          </w:tcPr>
          <w:p w14:paraId="09EFCC05" w14:textId="0AF7ED8F" w:rsidR="00110229" w:rsidRPr="00110229" w:rsidRDefault="00110229" w:rsidP="00110229">
            <w:pPr>
              <w:ind w:right="176"/>
              <w:jc w:val="right"/>
              <w:rPr>
                <w:rFonts w:ascii="Calibri" w:hAnsi="Calibri" w:cs="Calibri"/>
                <w:sz w:val="18"/>
                <w:szCs w:val="18"/>
                <w:highlight w:val="yellow"/>
              </w:rPr>
            </w:pPr>
            <w:r w:rsidRPr="00110229">
              <w:rPr>
                <w:rFonts w:ascii="Calibri" w:hAnsi="Calibri" w:cs="Calibri"/>
                <w:color w:val="000000"/>
                <w:sz w:val="18"/>
                <w:szCs w:val="18"/>
              </w:rPr>
              <w:t>84%</w:t>
            </w:r>
          </w:p>
        </w:tc>
      </w:tr>
      <w:tr w:rsidR="00110229" w:rsidRPr="001C792B" w14:paraId="7865DBE9" w14:textId="77777777" w:rsidTr="000620EE">
        <w:trPr>
          <w:trHeight w:val="20"/>
          <w:jc w:val="center"/>
        </w:trPr>
        <w:tc>
          <w:tcPr>
            <w:tcW w:w="3392" w:type="dxa"/>
            <w:tcBorders>
              <w:top w:val="nil"/>
              <w:left w:val="single" w:sz="8" w:space="0" w:color="FFFFFF"/>
              <w:bottom w:val="single" w:sz="8" w:space="0" w:color="FFFFFF"/>
              <w:right w:val="single" w:sz="8" w:space="0" w:color="FFFFFF"/>
            </w:tcBorders>
            <w:shd w:val="clear" w:color="auto" w:fill="D9E2F3" w:themeFill="accent5" w:themeFillTint="33"/>
            <w:noWrap/>
            <w:vAlign w:val="center"/>
          </w:tcPr>
          <w:p w14:paraId="7AB4BD8C" w14:textId="77777777" w:rsidR="00110229" w:rsidRPr="00110229" w:rsidRDefault="00110229" w:rsidP="00110229">
            <w:pPr>
              <w:rPr>
                <w:rFonts w:asciiTheme="minorHAnsi" w:hAnsiTheme="minorHAnsi" w:cstheme="minorHAnsi"/>
                <w:color w:val="000000"/>
                <w:sz w:val="18"/>
                <w:szCs w:val="18"/>
              </w:rPr>
            </w:pPr>
            <w:r w:rsidRPr="00110229">
              <w:rPr>
                <w:rFonts w:asciiTheme="minorHAnsi" w:hAnsiTheme="minorHAnsi" w:cstheme="minorHAnsi"/>
                <w:color w:val="000000"/>
                <w:sz w:val="18"/>
                <w:szCs w:val="18"/>
              </w:rPr>
              <w:t>Juros e outros encargos</w:t>
            </w:r>
          </w:p>
        </w:tc>
        <w:tc>
          <w:tcPr>
            <w:tcW w:w="1308" w:type="dxa"/>
            <w:tcBorders>
              <w:top w:val="nil"/>
              <w:left w:val="nil"/>
              <w:bottom w:val="single" w:sz="8" w:space="0" w:color="FFFFFF"/>
              <w:right w:val="single" w:sz="8" w:space="0" w:color="FFFFFF"/>
            </w:tcBorders>
            <w:shd w:val="clear" w:color="auto" w:fill="D9E2F3" w:themeFill="accent5" w:themeFillTint="33"/>
            <w:noWrap/>
            <w:vAlign w:val="center"/>
          </w:tcPr>
          <w:p w14:paraId="02D89382" w14:textId="77777777" w:rsidR="00110229" w:rsidRPr="00110229" w:rsidRDefault="00110229" w:rsidP="00110229">
            <w:pPr>
              <w:jc w:val="center"/>
              <w:rPr>
                <w:rFonts w:ascii="Calibri" w:hAnsi="Calibri" w:cs="Calibri"/>
                <w:color w:val="000000"/>
                <w:sz w:val="18"/>
                <w:szCs w:val="18"/>
              </w:rPr>
            </w:pPr>
            <w:r w:rsidRPr="00110229">
              <w:rPr>
                <w:rFonts w:ascii="Calibri" w:hAnsi="Calibri" w:cs="Calibri"/>
                <w:color w:val="000000"/>
                <w:sz w:val="18"/>
                <w:szCs w:val="18"/>
              </w:rPr>
              <w:t>03</w:t>
            </w:r>
          </w:p>
        </w:tc>
        <w:tc>
          <w:tcPr>
            <w:tcW w:w="1417" w:type="dxa"/>
            <w:tcBorders>
              <w:top w:val="nil"/>
              <w:left w:val="nil"/>
              <w:bottom w:val="single" w:sz="8" w:space="0" w:color="FFFFFF"/>
              <w:right w:val="single" w:sz="8" w:space="0" w:color="FFFFFF"/>
            </w:tcBorders>
            <w:shd w:val="clear" w:color="auto" w:fill="D9E2F3" w:themeFill="accent5" w:themeFillTint="33"/>
            <w:noWrap/>
            <w:vAlign w:val="center"/>
          </w:tcPr>
          <w:p w14:paraId="499F8837" w14:textId="00841F5A" w:rsidR="00110229" w:rsidRPr="00110229" w:rsidRDefault="00110229" w:rsidP="00110229">
            <w:pPr>
              <w:ind w:right="69"/>
              <w:jc w:val="right"/>
              <w:rPr>
                <w:rFonts w:ascii="Calibri" w:hAnsi="Calibri" w:cs="Calibri"/>
                <w:sz w:val="18"/>
                <w:szCs w:val="18"/>
                <w:highlight w:val="yellow"/>
              </w:rPr>
            </w:pPr>
            <w:r w:rsidRPr="00110229">
              <w:rPr>
                <w:rFonts w:ascii="Calibri" w:hAnsi="Calibri" w:cs="Calibri"/>
                <w:color w:val="000000"/>
                <w:sz w:val="18"/>
                <w:szCs w:val="18"/>
              </w:rPr>
              <w:t>71 807</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08398359" w14:textId="6A8CCE33" w:rsidR="00110229" w:rsidRPr="00110229" w:rsidRDefault="00110229" w:rsidP="00110229">
            <w:pPr>
              <w:ind w:right="78"/>
              <w:jc w:val="right"/>
              <w:rPr>
                <w:rFonts w:ascii="Calibri" w:hAnsi="Calibri" w:cs="Calibri"/>
                <w:sz w:val="18"/>
                <w:szCs w:val="18"/>
                <w:highlight w:val="yellow"/>
              </w:rPr>
            </w:pPr>
            <w:r w:rsidRPr="00110229">
              <w:rPr>
                <w:rFonts w:ascii="Calibri" w:hAnsi="Calibri" w:cs="Calibri"/>
                <w:color w:val="000000"/>
                <w:sz w:val="18"/>
                <w:szCs w:val="18"/>
              </w:rPr>
              <w:t>22 471</w:t>
            </w:r>
          </w:p>
        </w:tc>
        <w:tc>
          <w:tcPr>
            <w:tcW w:w="1134" w:type="dxa"/>
            <w:tcBorders>
              <w:top w:val="nil"/>
              <w:left w:val="nil"/>
              <w:bottom w:val="single" w:sz="8" w:space="0" w:color="FFFFFF"/>
              <w:right w:val="single" w:sz="8" w:space="0" w:color="FFFFFF"/>
            </w:tcBorders>
            <w:shd w:val="clear" w:color="auto" w:fill="D9E2F3" w:themeFill="accent5" w:themeFillTint="33"/>
            <w:noWrap/>
            <w:vAlign w:val="center"/>
          </w:tcPr>
          <w:p w14:paraId="21709DE3" w14:textId="4C4E9B86" w:rsidR="00110229" w:rsidRPr="00110229" w:rsidRDefault="00110229" w:rsidP="00110229">
            <w:pPr>
              <w:ind w:right="176"/>
              <w:jc w:val="right"/>
              <w:rPr>
                <w:rFonts w:ascii="Calibri" w:hAnsi="Calibri" w:cs="Calibri"/>
                <w:sz w:val="18"/>
                <w:szCs w:val="18"/>
                <w:highlight w:val="yellow"/>
              </w:rPr>
            </w:pPr>
            <w:r w:rsidRPr="00110229">
              <w:rPr>
                <w:rFonts w:ascii="Calibri" w:hAnsi="Calibri" w:cs="Calibri"/>
                <w:color w:val="000000"/>
                <w:sz w:val="18"/>
                <w:szCs w:val="18"/>
              </w:rPr>
              <w:t>31%</w:t>
            </w:r>
          </w:p>
        </w:tc>
      </w:tr>
      <w:tr w:rsidR="00110229" w:rsidRPr="001C792B" w14:paraId="0977E654" w14:textId="77777777" w:rsidTr="000620EE">
        <w:trPr>
          <w:trHeight w:val="20"/>
          <w:jc w:val="center"/>
        </w:trPr>
        <w:tc>
          <w:tcPr>
            <w:tcW w:w="3392" w:type="dxa"/>
            <w:tcBorders>
              <w:top w:val="nil"/>
              <w:left w:val="single" w:sz="8" w:space="0" w:color="FFFFFF"/>
              <w:bottom w:val="single" w:sz="8" w:space="0" w:color="FFFFFF"/>
              <w:right w:val="single" w:sz="8" w:space="0" w:color="FFFFFF"/>
            </w:tcBorders>
            <w:shd w:val="clear" w:color="auto" w:fill="D9E2F3" w:themeFill="accent5" w:themeFillTint="33"/>
            <w:noWrap/>
            <w:vAlign w:val="center"/>
          </w:tcPr>
          <w:p w14:paraId="76B280AA" w14:textId="77777777" w:rsidR="00110229" w:rsidRPr="00110229" w:rsidRDefault="00110229" w:rsidP="00110229">
            <w:pPr>
              <w:rPr>
                <w:rFonts w:asciiTheme="minorHAnsi" w:hAnsiTheme="minorHAnsi" w:cstheme="minorHAnsi"/>
                <w:color w:val="000000"/>
                <w:sz w:val="18"/>
                <w:szCs w:val="18"/>
              </w:rPr>
            </w:pPr>
            <w:r w:rsidRPr="00110229">
              <w:rPr>
                <w:rFonts w:asciiTheme="minorHAnsi" w:hAnsiTheme="minorHAnsi" w:cstheme="minorHAnsi"/>
                <w:color w:val="000000"/>
                <w:sz w:val="18"/>
                <w:szCs w:val="18"/>
              </w:rPr>
              <w:t>Outras despesas correntes</w:t>
            </w:r>
          </w:p>
        </w:tc>
        <w:tc>
          <w:tcPr>
            <w:tcW w:w="1308" w:type="dxa"/>
            <w:tcBorders>
              <w:top w:val="nil"/>
              <w:left w:val="nil"/>
              <w:bottom w:val="single" w:sz="8" w:space="0" w:color="FFFFFF"/>
              <w:right w:val="single" w:sz="8" w:space="0" w:color="FFFFFF"/>
            </w:tcBorders>
            <w:shd w:val="clear" w:color="auto" w:fill="D9E2F3" w:themeFill="accent5" w:themeFillTint="33"/>
            <w:noWrap/>
            <w:vAlign w:val="center"/>
          </w:tcPr>
          <w:p w14:paraId="38FEDFE3" w14:textId="77777777" w:rsidR="00110229" w:rsidRPr="00110229" w:rsidRDefault="00110229" w:rsidP="00110229">
            <w:pPr>
              <w:jc w:val="center"/>
              <w:rPr>
                <w:rFonts w:ascii="Calibri" w:hAnsi="Calibri" w:cs="Calibri"/>
                <w:color w:val="000000"/>
                <w:sz w:val="18"/>
                <w:szCs w:val="18"/>
              </w:rPr>
            </w:pPr>
            <w:r w:rsidRPr="00110229">
              <w:rPr>
                <w:rFonts w:ascii="Calibri" w:hAnsi="Calibri" w:cs="Calibri"/>
                <w:color w:val="000000"/>
                <w:sz w:val="18"/>
                <w:szCs w:val="18"/>
              </w:rPr>
              <w:t>06</w:t>
            </w:r>
          </w:p>
        </w:tc>
        <w:tc>
          <w:tcPr>
            <w:tcW w:w="1417" w:type="dxa"/>
            <w:tcBorders>
              <w:top w:val="nil"/>
              <w:left w:val="nil"/>
              <w:bottom w:val="single" w:sz="8" w:space="0" w:color="FFFFFF"/>
              <w:right w:val="single" w:sz="8" w:space="0" w:color="FFFFFF"/>
            </w:tcBorders>
            <w:shd w:val="clear" w:color="auto" w:fill="D9E2F3" w:themeFill="accent5" w:themeFillTint="33"/>
            <w:noWrap/>
            <w:vAlign w:val="center"/>
          </w:tcPr>
          <w:p w14:paraId="24DFD11F" w14:textId="732CCAFB" w:rsidR="00110229" w:rsidRPr="00110229" w:rsidRDefault="00110229" w:rsidP="00110229">
            <w:pPr>
              <w:ind w:right="69"/>
              <w:jc w:val="right"/>
              <w:rPr>
                <w:rFonts w:ascii="Calibri" w:hAnsi="Calibri" w:cs="Calibri"/>
                <w:sz w:val="18"/>
                <w:szCs w:val="18"/>
                <w:highlight w:val="yellow"/>
              </w:rPr>
            </w:pPr>
            <w:r w:rsidRPr="00110229">
              <w:rPr>
                <w:rFonts w:ascii="Calibri" w:hAnsi="Calibri" w:cs="Calibri"/>
                <w:color w:val="000000"/>
                <w:sz w:val="18"/>
                <w:szCs w:val="18"/>
              </w:rPr>
              <w:t>5 296 878</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39665AF1" w14:textId="3580C60F" w:rsidR="00110229" w:rsidRPr="00110229" w:rsidRDefault="00110229" w:rsidP="00110229">
            <w:pPr>
              <w:ind w:right="78"/>
              <w:jc w:val="right"/>
              <w:rPr>
                <w:rFonts w:ascii="Calibri" w:hAnsi="Calibri" w:cs="Calibri"/>
                <w:sz w:val="18"/>
                <w:szCs w:val="18"/>
                <w:highlight w:val="yellow"/>
              </w:rPr>
            </w:pPr>
            <w:r w:rsidRPr="00110229">
              <w:rPr>
                <w:rFonts w:ascii="Calibri" w:hAnsi="Calibri" w:cs="Calibri"/>
                <w:color w:val="000000"/>
                <w:sz w:val="18"/>
                <w:szCs w:val="18"/>
              </w:rPr>
              <w:t>5 293 097</w:t>
            </w:r>
          </w:p>
        </w:tc>
        <w:tc>
          <w:tcPr>
            <w:tcW w:w="1134" w:type="dxa"/>
            <w:tcBorders>
              <w:top w:val="nil"/>
              <w:left w:val="nil"/>
              <w:bottom w:val="single" w:sz="8" w:space="0" w:color="FFFFFF"/>
              <w:right w:val="single" w:sz="8" w:space="0" w:color="FFFFFF"/>
            </w:tcBorders>
            <w:shd w:val="clear" w:color="auto" w:fill="D9E2F3" w:themeFill="accent5" w:themeFillTint="33"/>
            <w:noWrap/>
            <w:vAlign w:val="center"/>
          </w:tcPr>
          <w:p w14:paraId="26BBB0BC" w14:textId="779141B9" w:rsidR="00110229" w:rsidRPr="00110229" w:rsidRDefault="00110229" w:rsidP="00110229">
            <w:pPr>
              <w:ind w:right="176"/>
              <w:jc w:val="right"/>
              <w:rPr>
                <w:rFonts w:ascii="Calibri" w:hAnsi="Calibri" w:cs="Calibri"/>
                <w:sz w:val="18"/>
                <w:szCs w:val="18"/>
                <w:highlight w:val="yellow"/>
              </w:rPr>
            </w:pPr>
            <w:r w:rsidRPr="00110229">
              <w:rPr>
                <w:rFonts w:ascii="Calibri" w:hAnsi="Calibri" w:cs="Calibri"/>
                <w:color w:val="000000"/>
                <w:sz w:val="18"/>
                <w:szCs w:val="18"/>
              </w:rPr>
              <w:t>100%</w:t>
            </w:r>
          </w:p>
        </w:tc>
      </w:tr>
      <w:tr w:rsidR="00110229" w:rsidRPr="001C792B" w14:paraId="629B2112" w14:textId="77777777" w:rsidTr="000620EE">
        <w:trPr>
          <w:trHeight w:val="20"/>
          <w:jc w:val="center"/>
        </w:trPr>
        <w:tc>
          <w:tcPr>
            <w:tcW w:w="3392" w:type="dxa"/>
            <w:tcBorders>
              <w:top w:val="nil"/>
              <w:left w:val="single" w:sz="8" w:space="0" w:color="FFFFFF"/>
              <w:bottom w:val="single" w:sz="8" w:space="0" w:color="FFFFFF"/>
              <w:right w:val="single" w:sz="8" w:space="0" w:color="FFFFFF"/>
            </w:tcBorders>
            <w:shd w:val="clear" w:color="auto" w:fill="D9E2F3" w:themeFill="accent5" w:themeFillTint="33"/>
            <w:noWrap/>
            <w:vAlign w:val="center"/>
          </w:tcPr>
          <w:p w14:paraId="57CBE9AC" w14:textId="77777777" w:rsidR="00110229" w:rsidRPr="00110229" w:rsidRDefault="00110229" w:rsidP="00110229">
            <w:pPr>
              <w:rPr>
                <w:rFonts w:asciiTheme="minorHAnsi" w:hAnsiTheme="minorHAnsi" w:cstheme="minorHAnsi"/>
                <w:color w:val="000000"/>
                <w:sz w:val="18"/>
                <w:szCs w:val="18"/>
              </w:rPr>
            </w:pPr>
            <w:r w:rsidRPr="00110229">
              <w:rPr>
                <w:rFonts w:asciiTheme="minorHAnsi" w:hAnsiTheme="minorHAnsi" w:cstheme="minorHAnsi"/>
                <w:color w:val="000000"/>
                <w:sz w:val="18"/>
                <w:szCs w:val="18"/>
              </w:rPr>
              <w:t>Aquisição de bens de capital</w:t>
            </w:r>
          </w:p>
        </w:tc>
        <w:tc>
          <w:tcPr>
            <w:tcW w:w="1308" w:type="dxa"/>
            <w:tcBorders>
              <w:top w:val="nil"/>
              <w:left w:val="nil"/>
              <w:bottom w:val="single" w:sz="8" w:space="0" w:color="FFFFFF"/>
              <w:right w:val="single" w:sz="8" w:space="0" w:color="FFFFFF"/>
            </w:tcBorders>
            <w:shd w:val="clear" w:color="auto" w:fill="D9E2F3" w:themeFill="accent5" w:themeFillTint="33"/>
            <w:noWrap/>
            <w:vAlign w:val="center"/>
          </w:tcPr>
          <w:p w14:paraId="44D05E6D" w14:textId="77777777" w:rsidR="00110229" w:rsidRPr="00110229" w:rsidRDefault="00110229" w:rsidP="00110229">
            <w:pPr>
              <w:jc w:val="center"/>
              <w:rPr>
                <w:rFonts w:ascii="Calibri" w:hAnsi="Calibri" w:cs="Calibri"/>
                <w:color w:val="000000"/>
                <w:sz w:val="18"/>
                <w:szCs w:val="18"/>
              </w:rPr>
            </w:pPr>
            <w:r w:rsidRPr="00110229">
              <w:rPr>
                <w:rFonts w:ascii="Calibri" w:hAnsi="Calibri" w:cs="Calibri"/>
                <w:color w:val="000000"/>
                <w:sz w:val="18"/>
                <w:szCs w:val="18"/>
              </w:rPr>
              <w:t>07</w:t>
            </w:r>
          </w:p>
        </w:tc>
        <w:tc>
          <w:tcPr>
            <w:tcW w:w="1417" w:type="dxa"/>
            <w:tcBorders>
              <w:top w:val="nil"/>
              <w:left w:val="nil"/>
              <w:bottom w:val="single" w:sz="8" w:space="0" w:color="FFFFFF"/>
              <w:right w:val="single" w:sz="8" w:space="0" w:color="FFFFFF"/>
            </w:tcBorders>
            <w:shd w:val="clear" w:color="auto" w:fill="D9E2F3" w:themeFill="accent5" w:themeFillTint="33"/>
            <w:noWrap/>
            <w:vAlign w:val="center"/>
          </w:tcPr>
          <w:p w14:paraId="08C34781" w14:textId="1D9857A9" w:rsidR="00110229" w:rsidRPr="00110229" w:rsidRDefault="00110229" w:rsidP="00110229">
            <w:pPr>
              <w:ind w:right="69"/>
              <w:jc w:val="right"/>
              <w:rPr>
                <w:rFonts w:ascii="Calibri" w:hAnsi="Calibri" w:cs="Calibri"/>
                <w:sz w:val="18"/>
                <w:szCs w:val="18"/>
                <w:highlight w:val="yellow"/>
              </w:rPr>
            </w:pPr>
            <w:r w:rsidRPr="00110229">
              <w:rPr>
                <w:rFonts w:ascii="Calibri" w:hAnsi="Calibri" w:cs="Calibri"/>
                <w:color w:val="000000"/>
                <w:sz w:val="18"/>
                <w:szCs w:val="18"/>
              </w:rPr>
              <w:t>168 812</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469AD36A" w14:textId="3D0CBEEA" w:rsidR="00110229" w:rsidRPr="00110229" w:rsidRDefault="00110229" w:rsidP="00110229">
            <w:pPr>
              <w:ind w:right="78"/>
              <w:jc w:val="right"/>
              <w:rPr>
                <w:rFonts w:ascii="Calibri" w:hAnsi="Calibri" w:cs="Calibri"/>
                <w:sz w:val="18"/>
                <w:szCs w:val="18"/>
                <w:highlight w:val="yellow"/>
              </w:rPr>
            </w:pPr>
            <w:r w:rsidRPr="00110229">
              <w:rPr>
                <w:rFonts w:ascii="Calibri" w:hAnsi="Calibri" w:cs="Calibri"/>
                <w:color w:val="000000"/>
                <w:sz w:val="18"/>
                <w:szCs w:val="18"/>
              </w:rPr>
              <w:t>65 670</w:t>
            </w:r>
          </w:p>
        </w:tc>
        <w:tc>
          <w:tcPr>
            <w:tcW w:w="1134" w:type="dxa"/>
            <w:tcBorders>
              <w:top w:val="nil"/>
              <w:left w:val="nil"/>
              <w:bottom w:val="single" w:sz="8" w:space="0" w:color="FFFFFF"/>
              <w:right w:val="single" w:sz="8" w:space="0" w:color="FFFFFF"/>
            </w:tcBorders>
            <w:shd w:val="clear" w:color="auto" w:fill="D9E2F3" w:themeFill="accent5" w:themeFillTint="33"/>
            <w:noWrap/>
            <w:vAlign w:val="center"/>
          </w:tcPr>
          <w:p w14:paraId="3CAD6226" w14:textId="302E56CD" w:rsidR="00110229" w:rsidRPr="00110229" w:rsidRDefault="00110229" w:rsidP="00110229">
            <w:pPr>
              <w:ind w:right="176"/>
              <w:jc w:val="right"/>
              <w:rPr>
                <w:rFonts w:ascii="Calibri" w:hAnsi="Calibri" w:cs="Calibri"/>
                <w:sz w:val="18"/>
                <w:szCs w:val="18"/>
                <w:highlight w:val="yellow"/>
              </w:rPr>
            </w:pPr>
            <w:r w:rsidRPr="00110229">
              <w:rPr>
                <w:rFonts w:ascii="Calibri" w:hAnsi="Calibri" w:cs="Calibri"/>
                <w:color w:val="000000"/>
                <w:sz w:val="18"/>
                <w:szCs w:val="18"/>
              </w:rPr>
              <w:t>39%</w:t>
            </w:r>
          </w:p>
        </w:tc>
      </w:tr>
      <w:tr w:rsidR="00110229" w:rsidRPr="001C792B" w14:paraId="125CBBC2" w14:textId="77777777" w:rsidTr="00E44209">
        <w:trPr>
          <w:trHeight w:val="20"/>
          <w:jc w:val="center"/>
        </w:trPr>
        <w:tc>
          <w:tcPr>
            <w:tcW w:w="3392" w:type="dxa"/>
            <w:tcBorders>
              <w:top w:val="nil"/>
              <w:left w:val="single" w:sz="8" w:space="0" w:color="FFFFFF"/>
              <w:bottom w:val="single" w:sz="8" w:space="0" w:color="FFFFFF"/>
              <w:right w:val="single" w:sz="8" w:space="0" w:color="FFFFFF"/>
            </w:tcBorders>
            <w:shd w:val="clear" w:color="auto" w:fill="D9E2F3" w:themeFill="accent5" w:themeFillTint="33"/>
            <w:noWrap/>
            <w:vAlign w:val="center"/>
          </w:tcPr>
          <w:p w14:paraId="7450A480" w14:textId="77777777" w:rsidR="00110229" w:rsidRPr="00110229" w:rsidRDefault="00110229" w:rsidP="00110229">
            <w:pPr>
              <w:rPr>
                <w:rFonts w:asciiTheme="minorHAnsi" w:hAnsiTheme="minorHAnsi" w:cstheme="minorHAnsi"/>
                <w:color w:val="000000"/>
                <w:sz w:val="18"/>
                <w:szCs w:val="18"/>
              </w:rPr>
            </w:pPr>
            <w:r w:rsidRPr="00110229">
              <w:rPr>
                <w:rFonts w:asciiTheme="minorHAnsi" w:hAnsiTheme="minorHAnsi" w:cstheme="minorHAnsi"/>
                <w:color w:val="000000"/>
                <w:sz w:val="18"/>
                <w:szCs w:val="18"/>
              </w:rPr>
              <w:t>Ativos Financeiros</w:t>
            </w:r>
          </w:p>
        </w:tc>
        <w:tc>
          <w:tcPr>
            <w:tcW w:w="1308" w:type="dxa"/>
            <w:tcBorders>
              <w:top w:val="nil"/>
              <w:left w:val="nil"/>
              <w:bottom w:val="single" w:sz="8" w:space="0" w:color="FFFFFF"/>
              <w:right w:val="single" w:sz="8" w:space="0" w:color="FFFFFF"/>
            </w:tcBorders>
            <w:shd w:val="clear" w:color="auto" w:fill="D9E2F3" w:themeFill="accent5" w:themeFillTint="33"/>
            <w:noWrap/>
            <w:vAlign w:val="center"/>
          </w:tcPr>
          <w:p w14:paraId="54C3B118" w14:textId="77777777" w:rsidR="00110229" w:rsidRPr="00110229" w:rsidRDefault="00110229" w:rsidP="00110229">
            <w:pPr>
              <w:jc w:val="center"/>
              <w:rPr>
                <w:rFonts w:ascii="Calibri" w:hAnsi="Calibri" w:cs="Calibri"/>
                <w:color w:val="000000"/>
                <w:sz w:val="18"/>
                <w:szCs w:val="18"/>
              </w:rPr>
            </w:pPr>
            <w:r w:rsidRPr="00110229">
              <w:rPr>
                <w:rFonts w:ascii="Calibri" w:hAnsi="Calibri" w:cs="Calibri"/>
                <w:color w:val="000000"/>
                <w:sz w:val="18"/>
                <w:szCs w:val="18"/>
              </w:rPr>
              <w:t>09</w:t>
            </w:r>
          </w:p>
        </w:tc>
        <w:tc>
          <w:tcPr>
            <w:tcW w:w="1417" w:type="dxa"/>
            <w:tcBorders>
              <w:top w:val="nil"/>
              <w:left w:val="nil"/>
              <w:bottom w:val="single" w:sz="8" w:space="0" w:color="FFFFFF"/>
              <w:right w:val="single" w:sz="8" w:space="0" w:color="FFFFFF"/>
            </w:tcBorders>
            <w:shd w:val="clear" w:color="auto" w:fill="D9E2F3" w:themeFill="accent5" w:themeFillTint="33"/>
            <w:noWrap/>
            <w:vAlign w:val="center"/>
          </w:tcPr>
          <w:p w14:paraId="726DC374" w14:textId="22BAFE4B" w:rsidR="00110229" w:rsidRPr="00110229" w:rsidRDefault="00110229" w:rsidP="00110229">
            <w:pPr>
              <w:ind w:right="69"/>
              <w:jc w:val="right"/>
              <w:rPr>
                <w:rFonts w:ascii="Calibri" w:hAnsi="Calibri" w:cs="Calibri"/>
                <w:sz w:val="18"/>
                <w:szCs w:val="18"/>
                <w:highlight w:val="yellow"/>
              </w:rPr>
            </w:pPr>
            <w:r w:rsidRPr="00110229">
              <w:rPr>
                <w:rFonts w:ascii="Calibri" w:hAnsi="Calibri" w:cs="Calibri"/>
                <w:color w:val="000000"/>
                <w:sz w:val="18"/>
                <w:szCs w:val="18"/>
              </w:rPr>
              <w:t>26 010 000</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77F01BE5" w14:textId="55FD1B6E" w:rsidR="00110229" w:rsidRPr="00110229" w:rsidRDefault="00110229" w:rsidP="00110229">
            <w:pPr>
              <w:ind w:right="78"/>
              <w:jc w:val="right"/>
              <w:rPr>
                <w:rFonts w:ascii="Calibri" w:hAnsi="Calibri" w:cs="Calibri"/>
                <w:sz w:val="18"/>
                <w:szCs w:val="18"/>
                <w:highlight w:val="yellow"/>
              </w:rPr>
            </w:pPr>
            <w:r w:rsidRPr="00110229">
              <w:rPr>
                <w:rFonts w:ascii="Calibri" w:hAnsi="Calibri" w:cs="Calibri"/>
                <w:color w:val="000000"/>
                <w:sz w:val="18"/>
                <w:szCs w:val="18"/>
              </w:rPr>
              <w:t>25 507 595</w:t>
            </w:r>
          </w:p>
        </w:tc>
        <w:tc>
          <w:tcPr>
            <w:tcW w:w="1134" w:type="dxa"/>
            <w:tcBorders>
              <w:top w:val="nil"/>
              <w:left w:val="nil"/>
              <w:bottom w:val="single" w:sz="8" w:space="0" w:color="FFFFFF"/>
              <w:right w:val="single" w:sz="8" w:space="0" w:color="FFFFFF"/>
            </w:tcBorders>
            <w:shd w:val="clear" w:color="auto" w:fill="D9E2F3" w:themeFill="accent5" w:themeFillTint="33"/>
            <w:noWrap/>
            <w:vAlign w:val="center"/>
          </w:tcPr>
          <w:p w14:paraId="516B099D" w14:textId="54122A0B" w:rsidR="00110229" w:rsidRPr="00110229" w:rsidRDefault="00110229" w:rsidP="00110229">
            <w:pPr>
              <w:ind w:right="176"/>
              <w:jc w:val="right"/>
              <w:rPr>
                <w:rFonts w:ascii="Calibri" w:hAnsi="Calibri" w:cs="Calibri"/>
                <w:sz w:val="18"/>
                <w:szCs w:val="18"/>
                <w:highlight w:val="yellow"/>
              </w:rPr>
            </w:pPr>
            <w:r w:rsidRPr="00110229">
              <w:rPr>
                <w:rFonts w:ascii="Calibri" w:hAnsi="Calibri" w:cs="Calibri"/>
                <w:color w:val="000000"/>
                <w:sz w:val="18"/>
                <w:szCs w:val="18"/>
              </w:rPr>
              <w:t>98%</w:t>
            </w:r>
          </w:p>
        </w:tc>
      </w:tr>
      <w:tr w:rsidR="00110229" w:rsidRPr="001C792B" w14:paraId="4EB06839" w14:textId="77777777" w:rsidTr="00E44209">
        <w:trPr>
          <w:trHeight w:val="20"/>
          <w:jc w:val="center"/>
        </w:trPr>
        <w:tc>
          <w:tcPr>
            <w:tcW w:w="3392" w:type="dxa"/>
            <w:tcBorders>
              <w:top w:val="nil"/>
              <w:left w:val="single" w:sz="8" w:space="0" w:color="FFFFFF"/>
              <w:bottom w:val="single" w:sz="8" w:space="0" w:color="FFFFFF"/>
              <w:right w:val="single" w:sz="8" w:space="0" w:color="FFFFFF"/>
            </w:tcBorders>
            <w:shd w:val="clear" w:color="auto" w:fill="D9E2F3" w:themeFill="accent5" w:themeFillTint="33"/>
            <w:noWrap/>
            <w:vAlign w:val="center"/>
          </w:tcPr>
          <w:p w14:paraId="0A9BAE4A" w14:textId="77777777" w:rsidR="00110229" w:rsidRPr="00110229" w:rsidRDefault="00110229" w:rsidP="00110229">
            <w:pPr>
              <w:rPr>
                <w:rFonts w:asciiTheme="minorHAnsi" w:hAnsiTheme="minorHAnsi" w:cstheme="minorHAnsi"/>
                <w:color w:val="000000"/>
                <w:sz w:val="18"/>
                <w:szCs w:val="18"/>
              </w:rPr>
            </w:pPr>
            <w:r w:rsidRPr="00110229">
              <w:rPr>
                <w:rFonts w:asciiTheme="minorHAnsi" w:hAnsiTheme="minorHAnsi" w:cstheme="minorHAnsi"/>
                <w:color w:val="000000"/>
                <w:sz w:val="18"/>
                <w:szCs w:val="18"/>
              </w:rPr>
              <w:t>Passivos Financeiros</w:t>
            </w:r>
          </w:p>
        </w:tc>
        <w:tc>
          <w:tcPr>
            <w:tcW w:w="1308" w:type="dxa"/>
            <w:tcBorders>
              <w:top w:val="nil"/>
              <w:left w:val="nil"/>
              <w:bottom w:val="single" w:sz="8" w:space="0" w:color="FFFFFF"/>
              <w:right w:val="single" w:sz="8" w:space="0" w:color="FFFFFF"/>
            </w:tcBorders>
            <w:shd w:val="clear" w:color="auto" w:fill="D9E2F3" w:themeFill="accent5" w:themeFillTint="33"/>
            <w:noWrap/>
            <w:vAlign w:val="center"/>
          </w:tcPr>
          <w:p w14:paraId="1179F1D3" w14:textId="77777777" w:rsidR="00110229" w:rsidRPr="00110229" w:rsidRDefault="00110229" w:rsidP="00110229">
            <w:pPr>
              <w:jc w:val="center"/>
              <w:rPr>
                <w:rFonts w:ascii="Calibri" w:hAnsi="Calibri" w:cs="Calibri"/>
                <w:color w:val="000000"/>
                <w:sz w:val="18"/>
                <w:szCs w:val="18"/>
              </w:rPr>
            </w:pPr>
            <w:r w:rsidRPr="00110229">
              <w:rPr>
                <w:rFonts w:ascii="Calibri" w:hAnsi="Calibri" w:cs="Calibri"/>
                <w:color w:val="000000"/>
                <w:sz w:val="18"/>
                <w:szCs w:val="18"/>
              </w:rPr>
              <w:t>10</w:t>
            </w:r>
          </w:p>
        </w:tc>
        <w:tc>
          <w:tcPr>
            <w:tcW w:w="1417" w:type="dxa"/>
            <w:tcBorders>
              <w:top w:val="nil"/>
              <w:left w:val="nil"/>
              <w:bottom w:val="single" w:sz="8" w:space="0" w:color="FFFFFF"/>
              <w:right w:val="single" w:sz="8" w:space="0" w:color="FFFFFF"/>
            </w:tcBorders>
            <w:shd w:val="clear" w:color="auto" w:fill="D9E2F3" w:themeFill="accent5" w:themeFillTint="33"/>
            <w:noWrap/>
            <w:vAlign w:val="center"/>
          </w:tcPr>
          <w:p w14:paraId="0E3EF430" w14:textId="56D248F3" w:rsidR="00110229" w:rsidRPr="00110229" w:rsidRDefault="00110229" w:rsidP="00110229">
            <w:pPr>
              <w:ind w:right="69"/>
              <w:jc w:val="right"/>
              <w:rPr>
                <w:rFonts w:ascii="Calibri" w:hAnsi="Calibri" w:cs="Calibri"/>
                <w:sz w:val="18"/>
                <w:szCs w:val="18"/>
                <w:highlight w:val="yellow"/>
              </w:rPr>
            </w:pPr>
            <w:r w:rsidRPr="00110229">
              <w:rPr>
                <w:rFonts w:ascii="Calibri" w:hAnsi="Calibri" w:cs="Calibri"/>
                <w:color w:val="000000"/>
                <w:sz w:val="18"/>
                <w:szCs w:val="18"/>
              </w:rPr>
              <w:t>80 000 000</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202A8252" w14:textId="6EC48765" w:rsidR="00110229" w:rsidRPr="00110229" w:rsidRDefault="00110229" w:rsidP="00110229">
            <w:pPr>
              <w:ind w:right="78"/>
              <w:jc w:val="right"/>
              <w:rPr>
                <w:rFonts w:ascii="Calibri" w:hAnsi="Calibri" w:cs="Calibri"/>
                <w:sz w:val="18"/>
                <w:szCs w:val="18"/>
                <w:highlight w:val="yellow"/>
              </w:rPr>
            </w:pPr>
            <w:r w:rsidRPr="00110229">
              <w:rPr>
                <w:rFonts w:ascii="Calibri" w:hAnsi="Calibri" w:cs="Calibri"/>
                <w:color w:val="000000"/>
                <w:sz w:val="18"/>
                <w:szCs w:val="18"/>
              </w:rPr>
              <w:t>80 000 000</w:t>
            </w:r>
          </w:p>
        </w:tc>
        <w:tc>
          <w:tcPr>
            <w:tcW w:w="1134" w:type="dxa"/>
            <w:tcBorders>
              <w:top w:val="nil"/>
              <w:left w:val="nil"/>
              <w:bottom w:val="single" w:sz="8" w:space="0" w:color="FFFFFF"/>
              <w:right w:val="single" w:sz="8" w:space="0" w:color="FFFFFF"/>
            </w:tcBorders>
            <w:shd w:val="clear" w:color="auto" w:fill="D9E2F3" w:themeFill="accent5" w:themeFillTint="33"/>
            <w:noWrap/>
            <w:vAlign w:val="center"/>
          </w:tcPr>
          <w:p w14:paraId="19D65610" w14:textId="68A6505F" w:rsidR="00110229" w:rsidRPr="00110229" w:rsidRDefault="00110229" w:rsidP="00110229">
            <w:pPr>
              <w:ind w:right="176"/>
              <w:jc w:val="right"/>
              <w:rPr>
                <w:rFonts w:ascii="Calibri" w:hAnsi="Calibri" w:cs="Calibri"/>
                <w:sz w:val="18"/>
                <w:szCs w:val="18"/>
                <w:highlight w:val="yellow"/>
              </w:rPr>
            </w:pPr>
            <w:r w:rsidRPr="00110229">
              <w:rPr>
                <w:rFonts w:ascii="Calibri" w:hAnsi="Calibri" w:cs="Calibri"/>
                <w:color w:val="000000"/>
                <w:sz w:val="18"/>
                <w:szCs w:val="18"/>
              </w:rPr>
              <w:t>100%</w:t>
            </w:r>
          </w:p>
        </w:tc>
      </w:tr>
    </w:tbl>
    <w:p w14:paraId="609B2653" w14:textId="77777777" w:rsidR="006D7C47" w:rsidRPr="00527216" w:rsidRDefault="006D7C47" w:rsidP="006D7C47">
      <w:pPr>
        <w:rPr>
          <w:rFonts w:asciiTheme="minorHAnsi" w:hAnsiTheme="minorHAnsi" w:cstheme="minorHAnsi"/>
          <w:bCs/>
          <w:sz w:val="22"/>
          <w:szCs w:val="22"/>
          <w:lang w:eastAsia="en-US"/>
        </w:rPr>
      </w:pPr>
    </w:p>
    <w:p w14:paraId="7CA47786" w14:textId="336D2CEF" w:rsidR="00110229" w:rsidRPr="00110229" w:rsidRDefault="00110229" w:rsidP="00110229">
      <w:pPr>
        <w:pStyle w:val="CorpodotextoMP"/>
        <w:spacing w:after="0"/>
        <w:rPr>
          <w:rFonts w:ascii="Calibri" w:hAnsi="Calibri" w:cs="Calibri"/>
          <w:sz w:val="22"/>
          <w:szCs w:val="22"/>
        </w:rPr>
      </w:pPr>
      <w:r w:rsidRPr="00110229">
        <w:rPr>
          <w:rFonts w:ascii="Calibri" w:hAnsi="Calibri" w:cs="Calibri"/>
          <w:sz w:val="22"/>
          <w:szCs w:val="22"/>
        </w:rPr>
        <w:t xml:space="preserve">O total de </w:t>
      </w:r>
      <w:r w:rsidRPr="00110229">
        <w:rPr>
          <w:rFonts w:ascii="Calibri" w:hAnsi="Calibri" w:cs="Calibri"/>
          <w:b/>
          <w:bCs/>
          <w:sz w:val="22"/>
          <w:szCs w:val="22"/>
        </w:rPr>
        <w:t>Receitas</w:t>
      </w:r>
      <w:r w:rsidRPr="00110229">
        <w:rPr>
          <w:rFonts w:ascii="Calibri" w:hAnsi="Calibri" w:cs="Calibri"/>
          <w:sz w:val="22"/>
          <w:szCs w:val="22"/>
        </w:rPr>
        <w:t xml:space="preserve"> cobrado ascendeu a </w:t>
      </w:r>
      <w:r>
        <w:rPr>
          <w:rFonts w:ascii="Calibri" w:hAnsi="Calibri" w:cs="Calibri"/>
          <w:sz w:val="22"/>
          <w:szCs w:val="22"/>
        </w:rPr>
        <w:t xml:space="preserve">€ </w:t>
      </w:r>
      <w:r w:rsidRPr="00110229">
        <w:rPr>
          <w:rFonts w:ascii="Calibri" w:hAnsi="Calibri" w:cs="Calibri"/>
          <w:sz w:val="22"/>
          <w:szCs w:val="22"/>
        </w:rPr>
        <w:t xml:space="preserve">125,290 milhões, sendo 29,5% relativo à liquidação do CEDIC constituído no final de 2024 e 9,1% à realização do saldo de gerência anterior, ambos os montantes registados em </w:t>
      </w:r>
      <w:r w:rsidRPr="00110229">
        <w:rPr>
          <w:rFonts w:ascii="Calibri" w:hAnsi="Calibri" w:cs="Calibri"/>
          <w:b/>
          <w:bCs/>
          <w:sz w:val="22"/>
          <w:szCs w:val="22"/>
        </w:rPr>
        <w:t>Receitas de Capital</w:t>
      </w:r>
      <w:r w:rsidRPr="00110229">
        <w:rPr>
          <w:rFonts w:ascii="Calibri" w:hAnsi="Calibri" w:cs="Calibri"/>
          <w:sz w:val="22"/>
          <w:szCs w:val="22"/>
        </w:rPr>
        <w:t xml:space="preserve">. O grau de execução das </w:t>
      </w:r>
      <w:r w:rsidRPr="00110229">
        <w:rPr>
          <w:rFonts w:ascii="Calibri" w:hAnsi="Calibri" w:cs="Calibri"/>
          <w:b/>
          <w:bCs/>
          <w:sz w:val="22"/>
          <w:szCs w:val="22"/>
        </w:rPr>
        <w:t>Receitas Correntes</w:t>
      </w:r>
      <w:r w:rsidRPr="00110229">
        <w:rPr>
          <w:rFonts w:ascii="Calibri" w:hAnsi="Calibri" w:cs="Calibri"/>
          <w:sz w:val="22"/>
          <w:szCs w:val="22"/>
        </w:rPr>
        <w:t xml:space="preserve"> atingiu 146,5% do Orçamento corrigido, com praticamente todas as rubricas acima do previsto. A contribuir para esta execução está o desempenho das rubricas de “</w:t>
      </w:r>
      <w:r w:rsidRPr="00110229">
        <w:rPr>
          <w:rFonts w:ascii="Calibri" w:hAnsi="Calibri" w:cs="Calibri"/>
          <w:b/>
          <w:bCs/>
          <w:sz w:val="22"/>
          <w:szCs w:val="22"/>
        </w:rPr>
        <w:t>Rendimentos da propriedade</w:t>
      </w:r>
      <w:r w:rsidRPr="00110229">
        <w:rPr>
          <w:rFonts w:ascii="Calibri" w:hAnsi="Calibri" w:cs="Calibri"/>
          <w:sz w:val="22"/>
          <w:szCs w:val="22"/>
        </w:rPr>
        <w:t>” e “</w:t>
      </w:r>
      <w:r w:rsidRPr="00110229">
        <w:rPr>
          <w:rFonts w:ascii="Calibri" w:hAnsi="Calibri" w:cs="Calibri"/>
          <w:b/>
          <w:bCs/>
          <w:sz w:val="22"/>
          <w:szCs w:val="22"/>
        </w:rPr>
        <w:t>Venda de bens e serviços correntes</w:t>
      </w:r>
      <w:r w:rsidRPr="00110229">
        <w:rPr>
          <w:rFonts w:ascii="Calibri" w:hAnsi="Calibri" w:cs="Calibri"/>
          <w:sz w:val="22"/>
          <w:szCs w:val="22"/>
        </w:rPr>
        <w:t xml:space="preserve">”. Ou seja, dos </w:t>
      </w:r>
      <w:r>
        <w:rPr>
          <w:rFonts w:ascii="Calibri" w:hAnsi="Calibri" w:cs="Calibri"/>
          <w:sz w:val="22"/>
          <w:szCs w:val="22"/>
        </w:rPr>
        <w:t xml:space="preserve">€ </w:t>
      </w:r>
      <w:r w:rsidRPr="00110229">
        <w:rPr>
          <w:rFonts w:ascii="Calibri" w:hAnsi="Calibri" w:cs="Calibri"/>
          <w:sz w:val="22"/>
          <w:szCs w:val="22"/>
        </w:rPr>
        <w:t xml:space="preserve">18,041 milhões previstos </w:t>
      </w:r>
      <w:r w:rsidRPr="00110229">
        <w:rPr>
          <w:rFonts w:ascii="Calibri" w:hAnsi="Calibri" w:cs="Calibri"/>
          <w:sz w:val="22"/>
          <w:szCs w:val="22"/>
        </w:rPr>
        <w:lastRenderedPageBreak/>
        <w:t xml:space="preserve">arrecadar em 2025 (Orçamento corrigido), foram executados </w:t>
      </w:r>
      <w:r>
        <w:rPr>
          <w:rFonts w:ascii="Calibri" w:hAnsi="Calibri" w:cs="Calibri"/>
          <w:sz w:val="22"/>
          <w:szCs w:val="22"/>
        </w:rPr>
        <w:t xml:space="preserve">€ </w:t>
      </w:r>
      <w:r w:rsidRPr="00110229">
        <w:rPr>
          <w:rFonts w:ascii="Calibri" w:hAnsi="Calibri" w:cs="Calibri"/>
          <w:sz w:val="22"/>
          <w:szCs w:val="22"/>
        </w:rPr>
        <w:t xml:space="preserve">26,421 milhões, dos quais: </w:t>
      </w:r>
      <w:r>
        <w:rPr>
          <w:rFonts w:ascii="Calibri" w:hAnsi="Calibri" w:cs="Calibri"/>
          <w:sz w:val="22"/>
          <w:szCs w:val="22"/>
        </w:rPr>
        <w:t xml:space="preserve">€ </w:t>
      </w:r>
      <w:r w:rsidRPr="00110229">
        <w:rPr>
          <w:rFonts w:ascii="Calibri" w:hAnsi="Calibri" w:cs="Calibri"/>
          <w:sz w:val="22"/>
          <w:szCs w:val="22"/>
        </w:rPr>
        <w:t xml:space="preserve">14,353 milhões na venda de imóveis, </w:t>
      </w:r>
      <w:r>
        <w:rPr>
          <w:rFonts w:ascii="Calibri" w:hAnsi="Calibri" w:cs="Calibri"/>
          <w:sz w:val="22"/>
          <w:szCs w:val="22"/>
        </w:rPr>
        <w:t xml:space="preserve">€ </w:t>
      </w:r>
      <w:r w:rsidRPr="00110229">
        <w:rPr>
          <w:rFonts w:ascii="Calibri" w:hAnsi="Calibri" w:cs="Calibri"/>
          <w:sz w:val="22"/>
          <w:szCs w:val="22"/>
        </w:rPr>
        <w:t xml:space="preserve">6,527 milhões em juros da carteira de crédito e </w:t>
      </w:r>
      <w:r>
        <w:rPr>
          <w:rFonts w:ascii="Calibri" w:hAnsi="Calibri" w:cs="Calibri"/>
          <w:sz w:val="22"/>
          <w:szCs w:val="22"/>
        </w:rPr>
        <w:t xml:space="preserve">€ </w:t>
      </w:r>
      <w:r w:rsidRPr="00110229">
        <w:rPr>
          <w:rFonts w:ascii="Calibri" w:hAnsi="Calibri" w:cs="Calibri"/>
          <w:sz w:val="22"/>
          <w:szCs w:val="22"/>
        </w:rPr>
        <w:t xml:space="preserve">3,8 milhões em dividendos. </w:t>
      </w:r>
    </w:p>
    <w:p w14:paraId="2D938ACB" w14:textId="77777777" w:rsidR="00110229" w:rsidRDefault="00110229" w:rsidP="00110229">
      <w:pPr>
        <w:pStyle w:val="CorpodotextoMP"/>
        <w:spacing w:after="0"/>
        <w:rPr>
          <w:rFonts w:ascii="Calibri" w:hAnsi="Calibri" w:cs="Calibri"/>
          <w:sz w:val="22"/>
          <w:szCs w:val="22"/>
        </w:rPr>
      </w:pPr>
    </w:p>
    <w:p w14:paraId="4C8A47F0" w14:textId="3207BFE3" w:rsidR="00110229" w:rsidRPr="00110229" w:rsidRDefault="00110229" w:rsidP="00110229">
      <w:pPr>
        <w:pStyle w:val="CorpodotextoMP"/>
        <w:rPr>
          <w:rFonts w:ascii="Calibri" w:hAnsi="Calibri" w:cs="Calibri"/>
          <w:sz w:val="22"/>
          <w:szCs w:val="22"/>
        </w:rPr>
      </w:pPr>
      <w:r w:rsidRPr="00110229">
        <w:rPr>
          <w:rFonts w:ascii="Calibri" w:hAnsi="Calibri" w:cs="Calibri"/>
          <w:sz w:val="22"/>
          <w:szCs w:val="22"/>
        </w:rPr>
        <w:t>Nas Receitas de Capital – “Ativos Financeiros”, a execução registada é relativa à recuperação de créditos (</w:t>
      </w:r>
      <w:r>
        <w:rPr>
          <w:rFonts w:ascii="Calibri" w:hAnsi="Calibri" w:cs="Calibri"/>
          <w:sz w:val="22"/>
          <w:szCs w:val="22"/>
        </w:rPr>
        <w:t xml:space="preserve">€ </w:t>
      </w:r>
      <w:r w:rsidRPr="00110229">
        <w:rPr>
          <w:rFonts w:ascii="Calibri" w:hAnsi="Calibri" w:cs="Calibri"/>
          <w:sz w:val="22"/>
          <w:szCs w:val="22"/>
        </w:rPr>
        <w:t>19,880 milhões), ao resgate de unidades de participação do Fundo IMONEGÓCIOS (</w:t>
      </w:r>
      <w:r>
        <w:rPr>
          <w:rFonts w:ascii="Calibri" w:hAnsi="Calibri" w:cs="Calibri"/>
          <w:sz w:val="22"/>
          <w:szCs w:val="22"/>
        </w:rPr>
        <w:t xml:space="preserve">€ </w:t>
      </w:r>
      <w:r w:rsidRPr="00110229">
        <w:rPr>
          <w:rFonts w:ascii="Calibri" w:hAnsi="Calibri" w:cs="Calibri"/>
          <w:sz w:val="22"/>
          <w:szCs w:val="22"/>
        </w:rPr>
        <w:t>30 milhões) e à liquidação do CEDIC constituído no final de 2024 (</w:t>
      </w:r>
      <w:r>
        <w:rPr>
          <w:rFonts w:ascii="Calibri" w:hAnsi="Calibri" w:cs="Calibri"/>
          <w:sz w:val="22"/>
          <w:szCs w:val="22"/>
        </w:rPr>
        <w:t xml:space="preserve">€ </w:t>
      </w:r>
      <w:r w:rsidRPr="00110229">
        <w:rPr>
          <w:rFonts w:ascii="Calibri" w:hAnsi="Calibri" w:cs="Calibri"/>
          <w:sz w:val="22"/>
          <w:szCs w:val="22"/>
        </w:rPr>
        <w:t>37 milhões). Esta rubrica apresentou uma execução de 69,6% face ao Orçamento corrigido.</w:t>
      </w:r>
    </w:p>
    <w:p w14:paraId="6FF6B08E" w14:textId="2E88FDED" w:rsidR="00110229" w:rsidRDefault="00110229" w:rsidP="00110229">
      <w:pPr>
        <w:pStyle w:val="CorpodotextoMP"/>
        <w:rPr>
          <w:rFonts w:ascii="Calibri" w:hAnsi="Calibri" w:cs="Calibri"/>
          <w:sz w:val="22"/>
          <w:szCs w:val="22"/>
        </w:rPr>
      </w:pPr>
      <w:r w:rsidRPr="00110229">
        <w:rPr>
          <w:rFonts w:ascii="Calibri" w:hAnsi="Calibri" w:cs="Calibri"/>
          <w:sz w:val="22"/>
          <w:szCs w:val="22"/>
        </w:rPr>
        <w:t>A execução das Despesas Correntes atingiu os 74,7%, com as “Despesas com o pessoal”, a “Aquisição de bens e serviços correntes” e as “Outras despesas correntes” a serem responsáveis por 99,9% do seu valor.</w:t>
      </w:r>
    </w:p>
    <w:p w14:paraId="65E026C7" w14:textId="5EDAEDE9" w:rsidR="00110229" w:rsidRPr="00110229" w:rsidRDefault="00110229" w:rsidP="00110229">
      <w:pPr>
        <w:pStyle w:val="CorpodotextoMP"/>
        <w:rPr>
          <w:rFonts w:ascii="Calibri" w:hAnsi="Calibri" w:cs="Calibri"/>
          <w:sz w:val="22"/>
          <w:szCs w:val="22"/>
        </w:rPr>
      </w:pPr>
      <w:r w:rsidRPr="00110229">
        <w:rPr>
          <w:rFonts w:ascii="Calibri" w:hAnsi="Calibri" w:cs="Calibri"/>
          <w:sz w:val="22"/>
          <w:szCs w:val="22"/>
        </w:rPr>
        <w:t xml:space="preserve">O montante de </w:t>
      </w:r>
      <w:r>
        <w:rPr>
          <w:rFonts w:ascii="Calibri" w:hAnsi="Calibri" w:cs="Calibri"/>
          <w:sz w:val="22"/>
          <w:szCs w:val="22"/>
        </w:rPr>
        <w:t xml:space="preserve">€ </w:t>
      </w:r>
      <w:r w:rsidRPr="00110229">
        <w:rPr>
          <w:rFonts w:ascii="Calibri" w:hAnsi="Calibri" w:cs="Calibri"/>
          <w:sz w:val="22"/>
          <w:szCs w:val="22"/>
        </w:rPr>
        <w:t xml:space="preserve">5,007 milhões executado na rubrica </w:t>
      </w:r>
      <w:proofErr w:type="gramStart"/>
      <w:r w:rsidRPr="00110229">
        <w:rPr>
          <w:rFonts w:ascii="Calibri" w:hAnsi="Calibri" w:cs="Calibri"/>
          <w:sz w:val="22"/>
          <w:szCs w:val="22"/>
        </w:rPr>
        <w:t>de ”Despesas</w:t>
      </w:r>
      <w:proofErr w:type="gramEnd"/>
      <w:r w:rsidRPr="00110229">
        <w:rPr>
          <w:rFonts w:ascii="Calibri" w:hAnsi="Calibri" w:cs="Calibri"/>
          <w:sz w:val="22"/>
          <w:szCs w:val="22"/>
        </w:rPr>
        <w:t xml:space="preserve"> com o pessoal”, é relativo a um quadro de pessoal de 87 colaboradores, incluindo os Órgãos sociais, sendo que o montante executado inclui </w:t>
      </w:r>
      <w:r>
        <w:rPr>
          <w:rFonts w:ascii="Calibri" w:hAnsi="Calibri" w:cs="Calibri"/>
          <w:sz w:val="22"/>
          <w:szCs w:val="22"/>
        </w:rPr>
        <w:t xml:space="preserve">€ </w:t>
      </w:r>
      <w:r w:rsidRPr="00110229">
        <w:rPr>
          <w:rFonts w:ascii="Calibri" w:hAnsi="Calibri" w:cs="Calibri"/>
          <w:sz w:val="22"/>
          <w:szCs w:val="22"/>
        </w:rPr>
        <w:t>426 mil de indemnizações relativas a saídas de colaboradores.</w:t>
      </w:r>
    </w:p>
    <w:p w14:paraId="2556974C" w14:textId="79A197F5" w:rsidR="00110229" w:rsidRDefault="00110229" w:rsidP="00110229">
      <w:pPr>
        <w:pStyle w:val="CorpodotextoMP"/>
        <w:rPr>
          <w:rFonts w:ascii="Calibri" w:hAnsi="Calibri" w:cs="Calibri"/>
          <w:sz w:val="22"/>
          <w:szCs w:val="22"/>
        </w:rPr>
      </w:pPr>
      <w:r w:rsidRPr="00110229">
        <w:rPr>
          <w:rFonts w:ascii="Calibri" w:hAnsi="Calibri" w:cs="Calibri"/>
          <w:sz w:val="22"/>
          <w:szCs w:val="22"/>
        </w:rPr>
        <w:t xml:space="preserve">Relativamente às despesas que compõem a “Aquisição de bens e serviços correntes”, o montante executado acumulado no final do ano atingiu os </w:t>
      </w:r>
      <w:r>
        <w:rPr>
          <w:rFonts w:ascii="Calibri" w:hAnsi="Calibri" w:cs="Calibri"/>
          <w:sz w:val="22"/>
          <w:szCs w:val="22"/>
        </w:rPr>
        <w:t xml:space="preserve">€ </w:t>
      </w:r>
      <w:r w:rsidRPr="00110229">
        <w:rPr>
          <w:rFonts w:ascii="Calibri" w:hAnsi="Calibri" w:cs="Calibri"/>
          <w:sz w:val="22"/>
          <w:szCs w:val="22"/>
        </w:rPr>
        <w:t xml:space="preserve">6,196 milhões, o que representa uma execução de 83,6% dos </w:t>
      </w:r>
      <w:r>
        <w:rPr>
          <w:rFonts w:ascii="Calibri" w:hAnsi="Calibri" w:cs="Calibri"/>
          <w:sz w:val="22"/>
          <w:szCs w:val="22"/>
        </w:rPr>
        <w:t xml:space="preserve">€ </w:t>
      </w:r>
      <w:r w:rsidRPr="00110229">
        <w:rPr>
          <w:rFonts w:ascii="Calibri" w:hAnsi="Calibri" w:cs="Calibri"/>
          <w:sz w:val="22"/>
          <w:szCs w:val="22"/>
        </w:rPr>
        <w:t xml:space="preserve">7,408 milhões inscritos no Orçamento corrigido. Essas despesas estão associadas, na sua grande maioria, às </w:t>
      </w:r>
      <w:proofErr w:type="spellStart"/>
      <w:r w:rsidRPr="00110229">
        <w:rPr>
          <w:rFonts w:ascii="Calibri" w:hAnsi="Calibri" w:cs="Calibri"/>
          <w:sz w:val="22"/>
          <w:szCs w:val="22"/>
        </w:rPr>
        <w:t>sub-rubricas</w:t>
      </w:r>
      <w:proofErr w:type="spellEnd"/>
      <w:r w:rsidRPr="00110229">
        <w:rPr>
          <w:rFonts w:ascii="Calibri" w:hAnsi="Calibri" w:cs="Calibri"/>
          <w:sz w:val="22"/>
          <w:szCs w:val="22"/>
        </w:rPr>
        <w:t xml:space="preserve"> de “Outros trabalhos especializados”, “Mercadorias para venda” e “Conservação de bens” (93%, 34% e 8%, respetivamente). </w:t>
      </w:r>
    </w:p>
    <w:p w14:paraId="05F70485" w14:textId="77777777" w:rsidR="00110229" w:rsidRPr="00110229" w:rsidRDefault="00110229" w:rsidP="00110229">
      <w:pPr>
        <w:pStyle w:val="CorpodotextoMP"/>
        <w:rPr>
          <w:rFonts w:ascii="Calibri" w:hAnsi="Calibri" w:cs="Calibri"/>
          <w:sz w:val="22"/>
          <w:szCs w:val="22"/>
        </w:rPr>
      </w:pPr>
      <w:r w:rsidRPr="00110229">
        <w:rPr>
          <w:rFonts w:ascii="Calibri" w:hAnsi="Calibri" w:cs="Calibri"/>
          <w:sz w:val="22"/>
          <w:szCs w:val="22"/>
        </w:rPr>
        <w:t xml:space="preserve">A </w:t>
      </w:r>
      <w:proofErr w:type="spellStart"/>
      <w:r w:rsidRPr="00110229">
        <w:rPr>
          <w:rFonts w:ascii="Calibri" w:hAnsi="Calibri" w:cs="Calibri"/>
          <w:sz w:val="22"/>
          <w:szCs w:val="22"/>
        </w:rPr>
        <w:t>sub-rubrica</w:t>
      </w:r>
      <w:proofErr w:type="spellEnd"/>
      <w:r w:rsidRPr="00110229">
        <w:rPr>
          <w:rFonts w:ascii="Calibri" w:hAnsi="Calibri" w:cs="Calibri"/>
          <w:sz w:val="22"/>
          <w:szCs w:val="22"/>
        </w:rPr>
        <w:t xml:space="preserve"> de “Mercadorias para venda” compreende a adjudicação de imóveis associados a garantias de créditos, no decurso dos processos judiciais e fiscais, enquanto a </w:t>
      </w:r>
      <w:proofErr w:type="spellStart"/>
      <w:r w:rsidRPr="00110229">
        <w:rPr>
          <w:rFonts w:ascii="Calibri" w:hAnsi="Calibri" w:cs="Calibri"/>
          <w:sz w:val="22"/>
          <w:szCs w:val="22"/>
        </w:rPr>
        <w:t>sub-rubrica</w:t>
      </w:r>
      <w:proofErr w:type="spellEnd"/>
      <w:r w:rsidRPr="00110229">
        <w:rPr>
          <w:rFonts w:ascii="Calibri" w:hAnsi="Calibri" w:cs="Calibri"/>
          <w:sz w:val="22"/>
          <w:szCs w:val="22"/>
        </w:rPr>
        <w:t xml:space="preserve"> de “Outros trabalhos especializados” registada as despesas mais representativas com a recuperação dos créditos (solicitadores e agentes de execução, advogados, mediadores, comissões de cobrança, informática, contabilidade etc.). </w:t>
      </w:r>
    </w:p>
    <w:p w14:paraId="707527D9" w14:textId="29B33961" w:rsidR="00110229" w:rsidRPr="00110229" w:rsidRDefault="00110229" w:rsidP="00110229">
      <w:pPr>
        <w:pStyle w:val="CorpodotextoMP"/>
        <w:rPr>
          <w:rFonts w:ascii="Calibri" w:hAnsi="Calibri" w:cs="Calibri"/>
          <w:sz w:val="22"/>
          <w:szCs w:val="22"/>
        </w:rPr>
      </w:pPr>
      <w:r w:rsidRPr="00110229">
        <w:rPr>
          <w:rFonts w:ascii="Calibri" w:hAnsi="Calibri" w:cs="Calibri"/>
          <w:sz w:val="22"/>
          <w:szCs w:val="22"/>
        </w:rPr>
        <w:t xml:space="preserve">A rubrica de “Outras despesas correntes” registou um montante de </w:t>
      </w:r>
      <w:r>
        <w:rPr>
          <w:rFonts w:ascii="Calibri" w:hAnsi="Calibri" w:cs="Calibri"/>
          <w:sz w:val="22"/>
          <w:szCs w:val="22"/>
        </w:rPr>
        <w:t xml:space="preserve">€ </w:t>
      </w:r>
      <w:r w:rsidRPr="00110229">
        <w:rPr>
          <w:rFonts w:ascii="Calibri" w:hAnsi="Calibri" w:cs="Calibri"/>
          <w:sz w:val="22"/>
          <w:szCs w:val="22"/>
        </w:rPr>
        <w:t>5,293 milhões relativo, essencialmente, a pagamentos de impostos e taxas, dos quais se destacam: i) IMI (</w:t>
      </w:r>
      <w:r>
        <w:rPr>
          <w:rFonts w:ascii="Calibri" w:hAnsi="Calibri" w:cs="Calibri"/>
          <w:sz w:val="22"/>
          <w:szCs w:val="22"/>
        </w:rPr>
        <w:t xml:space="preserve">€ </w:t>
      </w:r>
      <w:r w:rsidRPr="00110229">
        <w:rPr>
          <w:rFonts w:ascii="Calibri" w:hAnsi="Calibri" w:cs="Calibri"/>
          <w:sz w:val="22"/>
          <w:szCs w:val="22"/>
        </w:rPr>
        <w:t xml:space="preserve">437 mil), </w:t>
      </w:r>
      <w:proofErr w:type="spellStart"/>
      <w:r w:rsidRPr="00110229">
        <w:rPr>
          <w:rFonts w:ascii="Calibri" w:hAnsi="Calibri" w:cs="Calibri"/>
          <w:sz w:val="22"/>
          <w:szCs w:val="22"/>
        </w:rPr>
        <w:t>ii</w:t>
      </w:r>
      <w:proofErr w:type="spellEnd"/>
      <w:r w:rsidRPr="00110229">
        <w:rPr>
          <w:rFonts w:ascii="Calibri" w:hAnsi="Calibri" w:cs="Calibri"/>
          <w:sz w:val="22"/>
          <w:szCs w:val="22"/>
        </w:rPr>
        <w:t>) taxas de Justiça (</w:t>
      </w:r>
      <w:r>
        <w:rPr>
          <w:rFonts w:ascii="Calibri" w:hAnsi="Calibri" w:cs="Calibri"/>
          <w:sz w:val="22"/>
          <w:szCs w:val="22"/>
        </w:rPr>
        <w:t xml:space="preserve">€ </w:t>
      </w:r>
      <w:r w:rsidRPr="00110229">
        <w:rPr>
          <w:rFonts w:ascii="Calibri" w:hAnsi="Calibri" w:cs="Calibri"/>
          <w:sz w:val="22"/>
          <w:szCs w:val="22"/>
        </w:rPr>
        <w:t xml:space="preserve">148 mil), </w:t>
      </w:r>
      <w:proofErr w:type="spellStart"/>
      <w:r w:rsidRPr="00110229">
        <w:rPr>
          <w:rFonts w:ascii="Calibri" w:hAnsi="Calibri" w:cs="Calibri"/>
          <w:sz w:val="22"/>
          <w:szCs w:val="22"/>
        </w:rPr>
        <w:t>iii</w:t>
      </w:r>
      <w:proofErr w:type="spellEnd"/>
      <w:r w:rsidRPr="00110229">
        <w:rPr>
          <w:rFonts w:ascii="Calibri" w:hAnsi="Calibri" w:cs="Calibri"/>
          <w:sz w:val="22"/>
          <w:szCs w:val="22"/>
        </w:rPr>
        <w:t>) retenção de juros sobre Títulos (</w:t>
      </w:r>
      <w:r>
        <w:rPr>
          <w:rFonts w:ascii="Calibri" w:hAnsi="Calibri" w:cs="Calibri"/>
          <w:sz w:val="22"/>
          <w:szCs w:val="22"/>
        </w:rPr>
        <w:t xml:space="preserve">€ </w:t>
      </w:r>
      <w:r w:rsidRPr="00110229">
        <w:rPr>
          <w:rFonts w:ascii="Calibri" w:hAnsi="Calibri" w:cs="Calibri"/>
          <w:sz w:val="22"/>
          <w:szCs w:val="22"/>
        </w:rPr>
        <w:t xml:space="preserve">939 mil), </w:t>
      </w:r>
      <w:proofErr w:type="spellStart"/>
      <w:r w:rsidRPr="00110229">
        <w:rPr>
          <w:rFonts w:ascii="Calibri" w:hAnsi="Calibri" w:cs="Calibri"/>
          <w:sz w:val="22"/>
          <w:szCs w:val="22"/>
        </w:rPr>
        <w:t>iv</w:t>
      </w:r>
      <w:proofErr w:type="spellEnd"/>
      <w:r w:rsidRPr="00110229">
        <w:rPr>
          <w:rFonts w:ascii="Calibri" w:hAnsi="Calibri" w:cs="Calibri"/>
          <w:sz w:val="22"/>
          <w:szCs w:val="22"/>
        </w:rPr>
        <w:t>) Pagamento por conta/Pagamento Adicional por Conta/IRC (</w:t>
      </w:r>
      <w:r>
        <w:rPr>
          <w:rFonts w:ascii="Calibri" w:hAnsi="Calibri" w:cs="Calibri"/>
          <w:sz w:val="22"/>
          <w:szCs w:val="22"/>
        </w:rPr>
        <w:t xml:space="preserve">€ </w:t>
      </w:r>
      <w:r w:rsidRPr="00110229">
        <w:rPr>
          <w:rFonts w:ascii="Calibri" w:hAnsi="Calibri" w:cs="Calibri"/>
          <w:sz w:val="22"/>
          <w:szCs w:val="22"/>
        </w:rPr>
        <w:t>3,163 milhões) e v) IMT (</w:t>
      </w:r>
      <w:r>
        <w:rPr>
          <w:rFonts w:ascii="Calibri" w:hAnsi="Calibri" w:cs="Calibri"/>
          <w:sz w:val="22"/>
          <w:szCs w:val="22"/>
        </w:rPr>
        <w:t xml:space="preserve">€ </w:t>
      </w:r>
      <w:r w:rsidRPr="00110229">
        <w:rPr>
          <w:rFonts w:ascii="Calibri" w:hAnsi="Calibri" w:cs="Calibri"/>
          <w:sz w:val="22"/>
          <w:szCs w:val="22"/>
        </w:rPr>
        <w:t>539 mil).</w:t>
      </w:r>
    </w:p>
    <w:p w14:paraId="59869F40" w14:textId="4BF41F68" w:rsidR="00110229" w:rsidRPr="00110229" w:rsidRDefault="00110229" w:rsidP="00110229">
      <w:pPr>
        <w:pStyle w:val="CorpodotextoMP"/>
        <w:rPr>
          <w:rFonts w:ascii="Calibri" w:hAnsi="Calibri" w:cs="Calibri"/>
          <w:sz w:val="22"/>
          <w:szCs w:val="22"/>
        </w:rPr>
      </w:pPr>
      <w:r w:rsidRPr="00110229">
        <w:rPr>
          <w:rFonts w:ascii="Calibri" w:hAnsi="Calibri" w:cs="Calibri"/>
          <w:sz w:val="22"/>
          <w:szCs w:val="22"/>
        </w:rPr>
        <w:t>Nas Despesas de Capital, a rubrica relativa à “Aquisição de bens de capital” regista uma execução de 65 mil euros, relacionados essencialmente com o leasing de uma viatura (</w:t>
      </w:r>
      <w:r>
        <w:rPr>
          <w:rFonts w:ascii="Calibri" w:hAnsi="Calibri" w:cs="Calibri"/>
          <w:sz w:val="22"/>
          <w:szCs w:val="22"/>
        </w:rPr>
        <w:t xml:space="preserve">€ </w:t>
      </w:r>
      <w:r w:rsidRPr="00110229">
        <w:rPr>
          <w:rFonts w:ascii="Calibri" w:hAnsi="Calibri" w:cs="Calibri"/>
          <w:sz w:val="22"/>
          <w:szCs w:val="22"/>
        </w:rPr>
        <w:t>5 mil) e com a aquisição de hardware e software informático (</w:t>
      </w:r>
      <w:r>
        <w:rPr>
          <w:rFonts w:ascii="Calibri" w:hAnsi="Calibri" w:cs="Calibri"/>
          <w:sz w:val="22"/>
          <w:szCs w:val="22"/>
        </w:rPr>
        <w:t xml:space="preserve">€ </w:t>
      </w:r>
      <w:r w:rsidRPr="00110229">
        <w:rPr>
          <w:rFonts w:ascii="Calibri" w:hAnsi="Calibri" w:cs="Calibri"/>
          <w:sz w:val="22"/>
          <w:szCs w:val="22"/>
        </w:rPr>
        <w:t xml:space="preserve">14 mil e </w:t>
      </w:r>
      <w:r>
        <w:rPr>
          <w:rFonts w:ascii="Calibri" w:hAnsi="Calibri" w:cs="Calibri"/>
          <w:sz w:val="22"/>
          <w:szCs w:val="22"/>
        </w:rPr>
        <w:t xml:space="preserve">€ </w:t>
      </w:r>
      <w:r w:rsidRPr="00110229">
        <w:rPr>
          <w:rFonts w:ascii="Calibri" w:hAnsi="Calibri" w:cs="Calibri"/>
          <w:sz w:val="22"/>
          <w:szCs w:val="22"/>
        </w:rPr>
        <w:t>46 mil, respetivamente).</w:t>
      </w:r>
    </w:p>
    <w:p w14:paraId="1C9837FD" w14:textId="58BEA8D9" w:rsidR="00110229" w:rsidRPr="00110229" w:rsidRDefault="00110229" w:rsidP="00110229">
      <w:pPr>
        <w:pStyle w:val="CorpodotextoMP"/>
        <w:rPr>
          <w:rFonts w:ascii="Calibri" w:hAnsi="Calibri" w:cs="Calibri"/>
          <w:sz w:val="22"/>
          <w:szCs w:val="22"/>
        </w:rPr>
      </w:pPr>
      <w:r w:rsidRPr="00110229">
        <w:rPr>
          <w:rFonts w:ascii="Calibri" w:hAnsi="Calibri" w:cs="Calibri"/>
          <w:sz w:val="22"/>
          <w:szCs w:val="22"/>
        </w:rPr>
        <w:t>Ainda dentro deste agrupamento, no que diz respeito aos “</w:t>
      </w:r>
      <w:r w:rsidRPr="00110229">
        <w:rPr>
          <w:rFonts w:ascii="Calibri" w:hAnsi="Calibri" w:cs="Calibri"/>
          <w:b/>
          <w:bCs/>
          <w:sz w:val="22"/>
          <w:szCs w:val="22"/>
        </w:rPr>
        <w:t>Ativos Financeiros</w:t>
      </w:r>
      <w:r w:rsidRPr="00110229">
        <w:rPr>
          <w:rFonts w:ascii="Calibri" w:hAnsi="Calibri" w:cs="Calibri"/>
          <w:sz w:val="22"/>
          <w:szCs w:val="22"/>
        </w:rPr>
        <w:t xml:space="preserve">”, esta rubrica registou uma execução de </w:t>
      </w:r>
      <w:r>
        <w:rPr>
          <w:rFonts w:ascii="Calibri" w:hAnsi="Calibri" w:cs="Calibri"/>
          <w:sz w:val="22"/>
          <w:szCs w:val="22"/>
        </w:rPr>
        <w:t xml:space="preserve">€ </w:t>
      </w:r>
      <w:r w:rsidRPr="00110229">
        <w:rPr>
          <w:rFonts w:ascii="Calibri" w:hAnsi="Calibri" w:cs="Calibri"/>
          <w:sz w:val="22"/>
          <w:szCs w:val="22"/>
        </w:rPr>
        <w:t xml:space="preserve">25,507 milhões, sendo </w:t>
      </w:r>
      <w:r>
        <w:rPr>
          <w:rFonts w:ascii="Calibri" w:hAnsi="Calibri" w:cs="Calibri"/>
          <w:sz w:val="22"/>
          <w:szCs w:val="22"/>
        </w:rPr>
        <w:t xml:space="preserve">€ </w:t>
      </w:r>
      <w:r w:rsidRPr="00110229">
        <w:rPr>
          <w:rFonts w:ascii="Calibri" w:hAnsi="Calibri" w:cs="Calibri"/>
          <w:sz w:val="22"/>
          <w:szCs w:val="22"/>
        </w:rPr>
        <w:t>7,6 mil</w:t>
      </w:r>
      <w:r w:rsidR="00D17AF1">
        <w:rPr>
          <w:rFonts w:ascii="Calibri" w:hAnsi="Calibri" w:cs="Calibri"/>
          <w:sz w:val="22"/>
          <w:szCs w:val="22"/>
        </w:rPr>
        <w:t>hares</w:t>
      </w:r>
      <w:r w:rsidRPr="00110229">
        <w:rPr>
          <w:rFonts w:ascii="Calibri" w:hAnsi="Calibri" w:cs="Calibri"/>
          <w:sz w:val="22"/>
          <w:szCs w:val="22"/>
        </w:rPr>
        <w:t xml:space="preserve"> referentes à realização de capital subscrito do Fundo Vega, para pagamento de despesas e comissões da responsabilidade desse Fundo e </w:t>
      </w:r>
      <w:r>
        <w:rPr>
          <w:rFonts w:ascii="Calibri" w:hAnsi="Calibri" w:cs="Calibri"/>
          <w:sz w:val="22"/>
          <w:szCs w:val="22"/>
        </w:rPr>
        <w:t xml:space="preserve">€ </w:t>
      </w:r>
      <w:r w:rsidRPr="00110229">
        <w:rPr>
          <w:rFonts w:ascii="Calibri" w:hAnsi="Calibri" w:cs="Calibri"/>
          <w:sz w:val="22"/>
          <w:szCs w:val="22"/>
        </w:rPr>
        <w:t>25,5 milhões relativos à constituição de um CEDIC, com vencimento em 2026.</w:t>
      </w:r>
    </w:p>
    <w:p w14:paraId="16A8A14E" w14:textId="3D20D343" w:rsidR="00110229" w:rsidRPr="00110229" w:rsidRDefault="00110229" w:rsidP="00110229">
      <w:pPr>
        <w:pStyle w:val="CorpodotextoMP"/>
        <w:rPr>
          <w:rFonts w:ascii="Calibri" w:hAnsi="Calibri" w:cs="Calibri"/>
          <w:sz w:val="22"/>
          <w:szCs w:val="22"/>
        </w:rPr>
      </w:pPr>
      <w:r w:rsidRPr="00110229">
        <w:rPr>
          <w:rFonts w:ascii="Calibri" w:hAnsi="Calibri" w:cs="Calibri"/>
          <w:sz w:val="22"/>
          <w:szCs w:val="22"/>
        </w:rPr>
        <w:t>A rubrica “</w:t>
      </w:r>
      <w:r w:rsidRPr="00110229">
        <w:rPr>
          <w:rFonts w:ascii="Calibri" w:hAnsi="Calibri" w:cs="Calibri"/>
          <w:b/>
          <w:bCs/>
          <w:sz w:val="22"/>
          <w:szCs w:val="22"/>
        </w:rPr>
        <w:t>Passivos Financeiros</w:t>
      </w:r>
      <w:r w:rsidRPr="00110229">
        <w:rPr>
          <w:rFonts w:ascii="Calibri" w:hAnsi="Calibri" w:cs="Calibri"/>
          <w:sz w:val="22"/>
          <w:szCs w:val="22"/>
        </w:rPr>
        <w:t xml:space="preserve">” regista uma execução de </w:t>
      </w:r>
      <w:r>
        <w:rPr>
          <w:rFonts w:ascii="Calibri" w:hAnsi="Calibri" w:cs="Calibri"/>
          <w:sz w:val="22"/>
          <w:szCs w:val="22"/>
        </w:rPr>
        <w:t xml:space="preserve">€ </w:t>
      </w:r>
      <w:r w:rsidRPr="00110229">
        <w:rPr>
          <w:rFonts w:ascii="Calibri" w:hAnsi="Calibri" w:cs="Calibri"/>
          <w:sz w:val="22"/>
          <w:szCs w:val="22"/>
        </w:rPr>
        <w:t>80 milhões, referente à amortização parcial de um empréstimo, junto da ETF.</w:t>
      </w:r>
    </w:p>
    <w:p w14:paraId="5C48F4B8" w14:textId="6302697E" w:rsidR="00825E7A" w:rsidRPr="00BD0A3F" w:rsidRDefault="00110229" w:rsidP="00D17AF1">
      <w:pPr>
        <w:pStyle w:val="CorpodotextoMP"/>
        <w:rPr>
          <w:rFonts w:ascii="Calibri" w:hAnsi="Calibri" w:cs="Calibri"/>
          <w:sz w:val="22"/>
          <w:szCs w:val="22"/>
        </w:rPr>
      </w:pPr>
      <w:r w:rsidRPr="00110229">
        <w:rPr>
          <w:rFonts w:ascii="Calibri" w:hAnsi="Calibri" w:cs="Calibri"/>
          <w:sz w:val="22"/>
          <w:szCs w:val="22"/>
        </w:rPr>
        <w:t> </w:t>
      </w:r>
    </w:p>
    <w:p w14:paraId="35DF3FE7" w14:textId="796597DE" w:rsidR="00B15347" w:rsidRPr="00825E7A" w:rsidRDefault="00825E7A">
      <w:pPr>
        <w:rPr>
          <w:rFonts w:asciiTheme="minorHAnsi" w:hAnsiTheme="minorHAnsi" w:cstheme="minorHAnsi"/>
          <w:b/>
          <w:sz w:val="18"/>
          <w:szCs w:val="18"/>
          <w:lang w:eastAsia="en-US"/>
        </w:rPr>
      </w:pPr>
      <w:r w:rsidRPr="00825E7A">
        <w:rPr>
          <w:rFonts w:asciiTheme="minorHAnsi" w:hAnsiTheme="minorHAnsi" w:cstheme="minorHAnsi"/>
          <w:b/>
          <w:sz w:val="18"/>
          <w:szCs w:val="18"/>
          <w:lang w:eastAsia="en-US"/>
        </w:rPr>
        <w:t>Autorizações concedidas em sede de apreciação e aprovação do PAO</w:t>
      </w:r>
    </w:p>
    <w:tbl>
      <w:tblPr>
        <w:tblW w:w="8527" w:type="dxa"/>
        <w:jc w:val="center"/>
        <w:tblCellMar>
          <w:left w:w="70" w:type="dxa"/>
          <w:right w:w="70" w:type="dxa"/>
        </w:tblCellMar>
        <w:tblLook w:val="04A0" w:firstRow="1" w:lastRow="0" w:firstColumn="1" w:lastColumn="0" w:noHBand="0" w:noVBand="1"/>
      </w:tblPr>
      <w:tblGrid>
        <w:gridCol w:w="2825"/>
        <w:gridCol w:w="2268"/>
        <w:gridCol w:w="3434"/>
      </w:tblGrid>
      <w:tr w:rsidR="00825E7A" w:rsidRPr="00755D19" w14:paraId="17B31561" w14:textId="77777777" w:rsidTr="00825E7A">
        <w:trPr>
          <w:trHeight w:val="389"/>
          <w:tblHeader/>
          <w:jc w:val="center"/>
        </w:trPr>
        <w:tc>
          <w:tcPr>
            <w:tcW w:w="2825" w:type="dxa"/>
            <w:tcBorders>
              <w:top w:val="nil"/>
              <w:left w:val="single" w:sz="8" w:space="0" w:color="FFFFFF"/>
              <w:bottom w:val="single" w:sz="8" w:space="0" w:color="FFFFFF"/>
              <w:right w:val="single" w:sz="8" w:space="0" w:color="FFFFFF"/>
            </w:tcBorders>
            <w:shd w:val="clear" w:color="auto" w:fill="8EAADB" w:themeFill="accent5" w:themeFillTint="99"/>
            <w:noWrap/>
            <w:vAlign w:val="center"/>
            <w:hideMark/>
          </w:tcPr>
          <w:p w14:paraId="6FFBECE5" w14:textId="6699744D" w:rsidR="00825E7A" w:rsidRPr="00755D19" w:rsidRDefault="00825E7A" w:rsidP="004B5028">
            <w:pPr>
              <w:jc w:val="center"/>
              <w:rPr>
                <w:rFonts w:ascii="Calibri" w:hAnsi="Calibri" w:cs="Calibri"/>
                <w:b/>
                <w:bCs/>
                <w:color w:val="000000"/>
                <w:sz w:val="18"/>
                <w:szCs w:val="18"/>
              </w:rPr>
            </w:pPr>
            <w:r>
              <w:rPr>
                <w:rFonts w:ascii="Calibri" w:hAnsi="Calibri" w:cs="Calibri"/>
                <w:b/>
                <w:bCs/>
                <w:color w:val="000000"/>
                <w:sz w:val="18"/>
                <w:szCs w:val="18"/>
              </w:rPr>
              <w:t>Autorização concedida</w:t>
            </w:r>
            <w:r w:rsidRPr="00755D19">
              <w:rPr>
                <w:rFonts w:ascii="Calibri" w:hAnsi="Calibri" w:cs="Calibri"/>
                <w:b/>
                <w:bCs/>
                <w:color w:val="000000"/>
                <w:sz w:val="18"/>
                <w:szCs w:val="18"/>
              </w:rPr>
              <w:t> </w:t>
            </w:r>
          </w:p>
        </w:tc>
        <w:tc>
          <w:tcPr>
            <w:tcW w:w="2268" w:type="dxa"/>
            <w:tcBorders>
              <w:top w:val="nil"/>
              <w:left w:val="nil"/>
              <w:bottom w:val="single" w:sz="8" w:space="0" w:color="FFFFFF"/>
              <w:right w:val="single" w:sz="8" w:space="0" w:color="FFFFFF"/>
            </w:tcBorders>
            <w:shd w:val="clear" w:color="auto" w:fill="8EAADB" w:themeFill="accent5" w:themeFillTint="99"/>
            <w:vAlign w:val="center"/>
            <w:hideMark/>
          </w:tcPr>
          <w:p w14:paraId="2EBC0C92" w14:textId="1C8E8914" w:rsidR="00825E7A" w:rsidRPr="00755D19" w:rsidRDefault="00825E7A" w:rsidP="004B5028">
            <w:pPr>
              <w:jc w:val="center"/>
              <w:rPr>
                <w:rFonts w:ascii="Calibri" w:hAnsi="Calibri" w:cs="Calibri"/>
                <w:b/>
                <w:bCs/>
                <w:color w:val="000000"/>
                <w:sz w:val="18"/>
                <w:szCs w:val="18"/>
              </w:rPr>
            </w:pPr>
            <w:r>
              <w:rPr>
                <w:rFonts w:ascii="Calibri" w:hAnsi="Calibri" w:cs="Calibri"/>
                <w:b/>
                <w:bCs/>
                <w:color w:val="000000"/>
                <w:sz w:val="18"/>
                <w:szCs w:val="18"/>
              </w:rPr>
              <w:t>Despacho Autorizador</w:t>
            </w:r>
          </w:p>
        </w:tc>
        <w:tc>
          <w:tcPr>
            <w:tcW w:w="3434" w:type="dxa"/>
            <w:tcBorders>
              <w:top w:val="nil"/>
              <w:left w:val="nil"/>
              <w:bottom w:val="single" w:sz="8" w:space="0" w:color="FFFFFF"/>
              <w:right w:val="single" w:sz="8" w:space="0" w:color="FFFFFF"/>
            </w:tcBorders>
            <w:shd w:val="clear" w:color="auto" w:fill="8EAADB" w:themeFill="accent5" w:themeFillTint="99"/>
            <w:vAlign w:val="center"/>
            <w:hideMark/>
          </w:tcPr>
          <w:p w14:paraId="7F3B0EC8" w14:textId="69AD0B86" w:rsidR="00825E7A" w:rsidRPr="00755D19" w:rsidRDefault="00825E7A" w:rsidP="004B5028">
            <w:pPr>
              <w:jc w:val="center"/>
              <w:rPr>
                <w:rFonts w:ascii="Calibri" w:hAnsi="Calibri" w:cs="Calibri"/>
                <w:b/>
                <w:bCs/>
                <w:color w:val="000000"/>
                <w:sz w:val="18"/>
                <w:szCs w:val="18"/>
              </w:rPr>
            </w:pPr>
            <w:r>
              <w:rPr>
                <w:rFonts w:ascii="Calibri" w:hAnsi="Calibri" w:cs="Calibri"/>
                <w:b/>
                <w:bCs/>
                <w:color w:val="000000"/>
                <w:sz w:val="18"/>
                <w:szCs w:val="18"/>
              </w:rPr>
              <w:t>Limite/montante autorizado para 2025</w:t>
            </w:r>
          </w:p>
        </w:tc>
      </w:tr>
      <w:tr w:rsidR="00825E7A" w:rsidRPr="009960F7" w14:paraId="1CFF066A" w14:textId="77777777" w:rsidTr="00825E7A">
        <w:trPr>
          <w:trHeight w:val="20"/>
          <w:jc w:val="center"/>
        </w:trPr>
        <w:tc>
          <w:tcPr>
            <w:tcW w:w="2825" w:type="dxa"/>
            <w:tcBorders>
              <w:top w:val="nil"/>
              <w:left w:val="single" w:sz="8" w:space="0" w:color="FFFFFF"/>
              <w:bottom w:val="single" w:sz="8" w:space="0" w:color="FFFFFF"/>
              <w:right w:val="single" w:sz="8" w:space="0" w:color="FFFFFF"/>
            </w:tcBorders>
            <w:shd w:val="clear" w:color="auto" w:fill="D9E2F3" w:themeFill="accent5" w:themeFillTint="33"/>
            <w:noWrap/>
            <w:vAlign w:val="center"/>
          </w:tcPr>
          <w:p w14:paraId="6A979225" w14:textId="3F448778" w:rsidR="00825E7A" w:rsidRPr="00D17AF1" w:rsidRDefault="00D17AF1" w:rsidP="00825E7A">
            <w:pPr>
              <w:jc w:val="center"/>
              <w:rPr>
                <w:rFonts w:ascii="Calibri" w:hAnsi="Calibri" w:cs="Calibri"/>
                <w:color w:val="000000"/>
                <w:sz w:val="18"/>
                <w:szCs w:val="18"/>
              </w:rPr>
            </w:pPr>
            <w:r w:rsidRPr="00D17AF1">
              <w:rPr>
                <w:rFonts w:ascii="Calibri" w:hAnsi="Calibri" w:cs="Calibri"/>
                <w:color w:val="000000"/>
                <w:sz w:val="18"/>
                <w:szCs w:val="18"/>
              </w:rPr>
              <w:t>Aumento dos Gastos Operacionais</w:t>
            </w:r>
          </w:p>
        </w:tc>
        <w:tc>
          <w:tcPr>
            <w:tcW w:w="2268" w:type="dxa"/>
            <w:tcBorders>
              <w:top w:val="nil"/>
              <w:left w:val="nil"/>
              <w:bottom w:val="single" w:sz="8" w:space="0" w:color="FFFFFF"/>
              <w:right w:val="single" w:sz="8" w:space="0" w:color="FFFFFF"/>
            </w:tcBorders>
            <w:shd w:val="clear" w:color="auto" w:fill="D9E2F3" w:themeFill="accent5" w:themeFillTint="33"/>
            <w:noWrap/>
            <w:vAlign w:val="center"/>
          </w:tcPr>
          <w:p w14:paraId="53CE78DF" w14:textId="0D444F31" w:rsidR="00825E7A" w:rsidRPr="00D17AF1" w:rsidRDefault="00D17AF1" w:rsidP="00825E7A">
            <w:pPr>
              <w:jc w:val="center"/>
              <w:rPr>
                <w:rFonts w:ascii="Calibri" w:hAnsi="Calibri" w:cs="Calibri"/>
                <w:color w:val="000000"/>
                <w:sz w:val="18"/>
                <w:szCs w:val="18"/>
              </w:rPr>
            </w:pPr>
            <w:r w:rsidRPr="00D17AF1">
              <w:rPr>
                <w:rFonts w:ascii="Calibri" w:hAnsi="Calibri" w:cs="Calibri"/>
                <w:color w:val="000000"/>
                <w:sz w:val="18"/>
                <w:szCs w:val="18"/>
              </w:rPr>
              <w:t>Despacho n.º 589/2024-SETF</w:t>
            </w:r>
          </w:p>
        </w:tc>
        <w:tc>
          <w:tcPr>
            <w:tcW w:w="3434" w:type="dxa"/>
            <w:tcBorders>
              <w:top w:val="nil"/>
              <w:left w:val="nil"/>
              <w:bottom w:val="single" w:sz="8" w:space="0" w:color="FFFFFF"/>
              <w:right w:val="single" w:sz="8" w:space="0" w:color="FFFFFF"/>
            </w:tcBorders>
            <w:shd w:val="clear" w:color="auto" w:fill="D9E2F3" w:themeFill="accent5" w:themeFillTint="33"/>
            <w:noWrap/>
            <w:vAlign w:val="center"/>
          </w:tcPr>
          <w:p w14:paraId="32FFDE47" w14:textId="290EE42D" w:rsidR="00825E7A" w:rsidRPr="00D17AF1" w:rsidRDefault="00D17AF1" w:rsidP="00825E7A">
            <w:pPr>
              <w:ind w:right="69"/>
              <w:jc w:val="center"/>
              <w:rPr>
                <w:rFonts w:ascii="Calibri" w:hAnsi="Calibri" w:cs="Calibri"/>
                <w:sz w:val="18"/>
                <w:szCs w:val="18"/>
              </w:rPr>
            </w:pPr>
            <w:r>
              <w:rPr>
                <w:rFonts w:ascii="Calibri" w:hAnsi="Calibri" w:cs="Calibri"/>
                <w:sz w:val="18"/>
                <w:szCs w:val="18"/>
              </w:rPr>
              <w:t>€ 23 745 milhares</w:t>
            </w:r>
          </w:p>
        </w:tc>
      </w:tr>
    </w:tbl>
    <w:p w14:paraId="035B3611" w14:textId="77777777" w:rsidR="00825E7A" w:rsidRDefault="00825E7A">
      <w:pPr>
        <w:rPr>
          <w:rFonts w:asciiTheme="minorHAnsi" w:hAnsiTheme="minorHAnsi" w:cstheme="minorHAnsi"/>
          <w:b/>
          <w:sz w:val="22"/>
          <w:szCs w:val="22"/>
          <w:lang w:eastAsia="en-US"/>
        </w:rPr>
      </w:pPr>
    </w:p>
    <w:p w14:paraId="78D82691" w14:textId="77777777" w:rsidR="00825E7A" w:rsidRDefault="00825E7A">
      <w:pPr>
        <w:rPr>
          <w:rFonts w:asciiTheme="minorHAnsi" w:hAnsiTheme="minorHAnsi" w:cstheme="minorHAnsi"/>
          <w:b/>
          <w:sz w:val="22"/>
          <w:szCs w:val="22"/>
          <w:lang w:eastAsia="en-US"/>
        </w:rPr>
      </w:pPr>
    </w:p>
    <w:p w14:paraId="6CBEE1D5" w14:textId="25606BEB" w:rsidR="00160F40" w:rsidRDefault="00160F40">
      <w:pPr>
        <w:rPr>
          <w:rFonts w:asciiTheme="minorHAnsi" w:hAnsiTheme="minorHAnsi" w:cstheme="minorHAnsi"/>
          <w:b/>
          <w:sz w:val="22"/>
          <w:szCs w:val="22"/>
          <w:lang w:eastAsia="en-US"/>
        </w:rPr>
      </w:pPr>
    </w:p>
    <w:p w14:paraId="29414FCD" w14:textId="4F6B37DA" w:rsidR="00160F40" w:rsidRPr="00E31B34" w:rsidRDefault="00160F40" w:rsidP="00160F40">
      <w:pPr>
        <w:pStyle w:val="CorpotextoMP"/>
        <w:rPr>
          <w:rFonts w:asciiTheme="minorHAnsi" w:hAnsiTheme="minorHAnsi" w:cstheme="minorHAnsi"/>
          <w:b/>
          <w:sz w:val="22"/>
          <w:szCs w:val="22"/>
          <w:lang w:eastAsia="en-US"/>
        </w:rPr>
      </w:pPr>
      <w:r>
        <w:rPr>
          <w:rFonts w:asciiTheme="minorHAnsi" w:hAnsiTheme="minorHAnsi" w:cstheme="minorHAnsi"/>
          <w:b/>
          <w:sz w:val="22"/>
          <w:szCs w:val="22"/>
          <w:lang w:eastAsia="en-US"/>
        </w:rPr>
        <w:lastRenderedPageBreak/>
        <w:t>2</w:t>
      </w:r>
      <w:r w:rsidRPr="00C22B0C">
        <w:rPr>
          <w:rFonts w:asciiTheme="minorHAnsi" w:hAnsiTheme="minorHAnsi" w:cstheme="minorHAnsi"/>
          <w:b/>
          <w:sz w:val="22"/>
          <w:szCs w:val="22"/>
          <w:lang w:eastAsia="en-US"/>
        </w:rPr>
        <w:t xml:space="preserve">. Eficiência operacional e gastos operacionais (previstas no artigo </w:t>
      </w:r>
      <w:r>
        <w:rPr>
          <w:rFonts w:asciiTheme="minorHAnsi" w:hAnsiTheme="minorHAnsi" w:cstheme="minorHAnsi"/>
          <w:b/>
          <w:sz w:val="22"/>
          <w:szCs w:val="22"/>
          <w:lang w:eastAsia="en-US"/>
        </w:rPr>
        <w:t>52.</w:t>
      </w:r>
      <w:r w:rsidRPr="00C22B0C">
        <w:rPr>
          <w:rFonts w:asciiTheme="minorHAnsi" w:hAnsiTheme="minorHAnsi" w:cstheme="minorHAnsi"/>
          <w:b/>
          <w:sz w:val="22"/>
          <w:szCs w:val="22"/>
          <w:lang w:eastAsia="en-US"/>
        </w:rPr>
        <w:t>º do DLEO 202</w:t>
      </w:r>
      <w:r>
        <w:rPr>
          <w:rFonts w:asciiTheme="minorHAnsi" w:hAnsiTheme="minorHAnsi" w:cstheme="minorHAnsi"/>
          <w:b/>
          <w:sz w:val="22"/>
          <w:szCs w:val="22"/>
          <w:lang w:eastAsia="en-US"/>
        </w:rPr>
        <w:t>5</w:t>
      </w:r>
      <w:r w:rsidRPr="00C22B0C">
        <w:rPr>
          <w:rFonts w:asciiTheme="minorHAnsi" w:hAnsiTheme="minorHAnsi" w:cstheme="minorHAnsi"/>
          <w:b/>
          <w:sz w:val="22"/>
          <w:szCs w:val="22"/>
          <w:lang w:eastAsia="en-US"/>
        </w:rPr>
        <w:t>)</w:t>
      </w:r>
      <w:r>
        <w:rPr>
          <w:rFonts w:asciiTheme="minorHAnsi" w:hAnsiTheme="minorHAnsi" w:cstheme="minorHAnsi"/>
          <w:b/>
          <w:sz w:val="22"/>
          <w:szCs w:val="22"/>
          <w:lang w:eastAsia="en-US"/>
        </w:rPr>
        <w:t xml:space="preserve"> </w:t>
      </w:r>
    </w:p>
    <w:p w14:paraId="499F2A43" w14:textId="77777777" w:rsidR="00160F40" w:rsidRDefault="00160F40" w:rsidP="00160F40">
      <w:pPr>
        <w:jc w:val="both"/>
        <w:rPr>
          <w:noProof/>
        </w:rPr>
      </w:pPr>
    </w:p>
    <w:p w14:paraId="6E51385E" w14:textId="77777777" w:rsidR="007C2A81" w:rsidRDefault="007C2A81" w:rsidP="00160F40">
      <w:pPr>
        <w:jc w:val="both"/>
        <w:rPr>
          <w:noProof/>
        </w:rPr>
      </w:pPr>
    </w:p>
    <w:p w14:paraId="7A252E6B" w14:textId="340942BA" w:rsidR="00160F40" w:rsidRDefault="007C2A81" w:rsidP="00160F40">
      <w:pPr>
        <w:jc w:val="both"/>
        <w:rPr>
          <w:rFonts w:asciiTheme="minorHAnsi" w:hAnsiTheme="minorHAnsi" w:cstheme="minorHAnsi"/>
          <w:noProof/>
          <w:sz w:val="20"/>
          <w:szCs w:val="20"/>
          <w:lang w:eastAsia="en-US"/>
        </w:rPr>
      </w:pPr>
      <w:r w:rsidRPr="007C2A81">
        <w:rPr>
          <w:noProof/>
        </w:rPr>
        <w:drawing>
          <wp:inline distT="0" distB="0" distL="0" distR="0" wp14:anchorId="7669FD16" wp14:editId="5CB741B8">
            <wp:extent cx="5311140" cy="5692775"/>
            <wp:effectExtent l="0" t="0" r="3810" b="3175"/>
            <wp:docPr id="3805890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311140" cy="5692775"/>
                    </a:xfrm>
                    <a:prstGeom prst="rect">
                      <a:avLst/>
                    </a:prstGeom>
                    <a:noFill/>
                    <a:ln>
                      <a:noFill/>
                    </a:ln>
                  </pic:spPr>
                </pic:pic>
              </a:graphicData>
            </a:graphic>
          </wp:inline>
        </w:drawing>
      </w:r>
    </w:p>
    <w:p w14:paraId="31ADD12F" w14:textId="77777777" w:rsidR="007029D0" w:rsidRDefault="007029D0">
      <w:pPr>
        <w:rPr>
          <w:rFonts w:asciiTheme="minorHAnsi" w:hAnsiTheme="minorHAnsi" w:cstheme="minorHAnsi"/>
          <w:b/>
          <w:sz w:val="22"/>
          <w:szCs w:val="22"/>
          <w:lang w:eastAsia="en-US"/>
        </w:rPr>
      </w:pPr>
    </w:p>
    <w:p w14:paraId="12C4EBD4" w14:textId="77777777" w:rsidR="00235F50" w:rsidRDefault="00235F50">
      <w:pPr>
        <w:rPr>
          <w:rFonts w:asciiTheme="minorHAnsi" w:hAnsiTheme="minorHAnsi" w:cstheme="minorHAnsi"/>
          <w:b/>
          <w:sz w:val="22"/>
          <w:szCs w:val="22"/>
          <w:lang w:eastAsia="en-US"/>
        </w:rPr>
      </w:pPr>
      <w:r>
        <w:rPr>
          <w:rFonts w:asciiTheme="minorHAnsi" w:hAnsiTheme="minorHAnsi" w:cstheme="minorHAnsi"/>
          <w:b/>
          <w:sz w:val="22"/>
          <w:szCs w:val="22"/>
          <w:lang w:eastAsia="en-US"/>
        </w:rPr>
        <w:br w:type="page"/>
      </w:r>
    </w:p>
    <w:p w14:paraId="1C9DAB52" w14:textId="2CFA20B1" w:rsidR="007029D0" w:rsidRDefault="007029D0" w:rsidP="007029D0">
      <w:pPr>
        <w:rPr>
          <w:rFonts w:asciiTheme="minorHAnsi" w:hAnsiTheme="minorHAnsi" w:cstheme="minorHAnsi"/>
          <w:b/>
          <w:sz w:val="22"/>
          <w:szCs w:val="22"/>
          <w:lang w:eastAsia="en-US"/>
        </w:rPr>
      </w:pPr>
      <w:r>
        <w:rPr>
          <w:rFonts w:asciiTheme="minorHAnsi" w:hAnsiTheme="minorHAnsi" w:cstheme="minorHAnsi"/>
          <w:b/>
          <w:sz w:val="22"/>
          <w:szCs w:val="22"/>
          <w:lang w:eastAsia="en-US"/>
        </w:rPr>
        <w:lastRenderedPageBreak/>
        <w:t>3. Recursos humanos e massa salarial (artigo 138º e 139º do DLEO 2025)</w:t>
      </w:r>
    </w:p>
    <w:tbl>
      <w:tblPr>
        <w:tblW w:w="8364" w:type="dxa"/>
        <w:tblLayout w:type="fixed"/>
        <w:tblCellMar>
          <w:left w:w="70" w:type="dxa"/>
          <w:right w:w="70" w:type="dxa"/>
        </w:tblCellMar>
        <w:tblLook w:val="04A0" w:firstRow="1" w:lastRow="0" w:firstColumn="1" w:lastColumn="0" w:noHBand="0" w:noVBand="1"/>
      </w:tblPr>
      <w:tblGrid>
        <w:gridCol w:w="1985"/>
        <w:gridCol w:w="874"/>
        <w:gridCol w:w="402"/>
        <w:gridCol w:w="332"/>
        <w:gridCol w:w="684"/>
        <w:gridCol w:w="309"/>
        <w:gridCol w:w="684"/>
        <w:gridCol w:w="166"/>
        <w:gridCol w:w="801"/>
        <w:gridCol w:w="25"/>
        <w:gridCol w:w="850"/>
        <w:gridCol w:w="259"/>
        <w:gridCol w:w="734"/>
        <w:gridCol w:w="259"/>
      </w:tblGrid>
      <w:tr w:rsidR="007029D0" w14:paraId="1DF8D69A" w14:textId="77777777" w:rsidTr="00235F50">
        <w:trPr>
          <w:gridAfter w:val="1"/>
          <w:wAfter w:w="259" w:type="dxa"/>
          <w:trHeight w:val="240"/>
        </w:trPr>
        <w:tc>
          <w:tcPr>
            <w:tcW w:w="3261" w:type="dxa"/>
            <w:gridSpan w:val="3"/>
            <w:tcBorders>
              <w:top w:val="nil"/>
              <w:left w:val="nil"/>
              <w:bottom w:val="nil"/>
              <w:right w:val="nil"/>
            </w:tcBorders>
            <w:noWrap/>
            <w:vAlign w:val="bottom"/>
            <w:hideMark/>
          </w:tcPr>
          <w:p w14:paraId="67C23C42" w14:textId="77777777" w:rsidR="007029D0" w:rsidRDefault="007029D0" w:rsidP="00F53A31">
            <w:pPr>
              <w:rPr>
                <w:sz w:val="20"/>
                <w:szCs w:val="20"/>
              </w:rPr>
            </w:pPr>
          </w:p>
        </w:tc>
        <w:tc>
          <w:tcPr>
            <w:tcW w:w="1016" w:type="dxa"/>
            <w:gridSpan w:val="2"/>
            <w:tcBorders>
              <w:top w:val="nil"/>
              <w:left w:val="nil"/>
              <w:bottom w:val="nil"/>
              <w:right w:val="nil"/>
            </w:tcBorders>
            <w:noWrap/>
            <w:vAlign w:val="bottom"/>
            <w:hideMark/>
          </w:tcPr>
          <w:p w14:paraId="218E9728" w14:textId="77777777" w:rsidR="007029D0" w:rsidRDefault="007029D0" w:rsidP="00F53A31">
            <w:pPr>
              <w:rPr>
                <w:sz w:val="20"/>
                <w:szCs w:val="20"/>
              </w:rPr>
            </w:pPr>
          </w:p>
        </w:tc>
        <w:tc>
          <w:tcPr>
            <w:tcW w:w="993" w:type="dxa"/>
            <w:gridSpan w:val="2"/>
            <w:tcBorders>
              <w:top w:val="nil"/>
              <w:left w:val="nil"/>
              <w:bottom w:val="nil"/>
              <w:right w:val="nil"/>
            </w:tcBorders>
            <w:noWrap/>
            <w:vAlign w:val="bottom"/>
            <w:hideMark/>
          </w:tcPr>
          <w:p w14:paraId="76499193" w14:textId="77777777" w:rsidR="007029D0" w:rsidRDefault="007029D0" w:rsidP="00F53A31">
            <w:pPr>
              <w:rPr>
                <w:sz w:val="20"/>
                <w:szCs w:val="20"/>
              </w:rPr>
            </w:pPr>
          </w:p>
        </w:tc>
        <w:tc>
          <w:tcPr>
            <w:tcW w:w="992" w:type="dxa"/>
            <w:gridSpan w:val="3"/>
            <w:tcBorders>
              <w:top w:val="nil"/>
              <w:left w:val="nil"/>
              <w:bottom w:val="nil"/>
              <w:right w:val="nil"/>
            </w:tcBorders>
            <w:noWrap/>
            <w:vAlign w:val="bottom"/>
            <w:hideMark/>
          </w:tcPr>
          <w:p w14:paraId="7F62AF82" w14:textId="77777777" w:rsidR="007029D0" w:rsidRDefault="007029D0" w:rsidP="00F53A31">
            <w:pPr>
              <w:rPr>
                <w:sz w:val="20"/>
                <w:szCs w:val="20"/>
              </w:rPr>
            </w:pPr>
          </w:p>
        </w:tc>
        <w:tc>
          <w:tcPr>
            <w:tcW w:w="850" w:type="dxa"/>
            <w:tcBorders>
              <w:top w:val="nil"/>
              <w:left w:val="nil"/>
              <w:bottom w:val="nil"/>
              <w:right w:val="nil"/>
            </w:tcBorders>
            <w:noWrap/>
            <w:vAlign w:val="bottom"/>
            <w:hideMark/>
          </w:tcPr>
          <w:p w14:paraId="07F3F8DA" w14:textId="77777777" w:rsidR="007029D0" w:rsidRDefault="007029D0" w:rsidP="00F53A31">
            <w:pPr>
              <w:rPr>
                <w:sz w:val="20"/>
                <w:szCs w:val="20"/>
              </w:rPr>
            </w:pPr>
          </w:p>
        </w:tc>
        <w:tc>
          <w:tcPr>
            <w:tcW w:w="993" w:type="dxa"/>
            <w:gridSpan w:val="2"/>
            <w:tcBorders>
              <w:top w:val="nil"/>
              <w:left w:val="nil"/>
              <w:bottom w:val="nil"/>
              <w:right w:val="nil"/>
            </w:tcBorders>
            <w:noWrap/>
            <w:vAlign w:val="bottom"/>
            <w:hideMark/>
          </w:tcPr>
          <w:p w14:paraId="359E88F4" w14:textId="77777777" w:rsidR="007029D0" w:rsidRDefault="007029D0" w:rsidP="00F53A31">
            <w:pPr>
              <w:rPr>
                <w:sz w:val="20"/>
                <w:szCs w:val="20"/>
              </w:rPr>
            </w:pPr>
          </w:p>
        </w:tc>
      </w:tr>
      <w:tr w:rsidR="007029D0" w14:paraId="07F81ADC" w14:textId="77777777" w:rsidTr="00235F50">
        <w:trPr>
          <w:trHeight w:val="201"/>
        </w:trPr>
        <w:tc>
          <w:tcPr>
            <w:tcW w:w="1985" w:type="dxa"/>
            <w:tcBorders>
              <w:top w:val="nil"/>
              <w:left w:val="nil"/>
              <w:right w:val="nil"/>
            </w:tcBorders>
            <w:noWrap/>
            <w:vAlign w:val="bottom"/>
            <w:hideMark/>
          </w:tcPr>
          <w:p w14:paraId="43ADCCC0" w14:textId="77777777" w:rsidR="007029D0" w:rsidRDefault="007029D0" w:rsidP="00F53A31">
            <w:pPr>
              <w:rPr>
                <w:sz w:val="20"/>
                <w:szCs w:val="20"/>
              </w:rPr>
            </w:pPr>
          </w:p>
        </w:tc>
        <w:tc>
          <w:tcPr>
            <w:tcW w:w="874" w:type="dxa"/>
            <w:tcBorders>
              <w:top w:val="nil"/>
              <w:left w:val="nil"/>
              <w:right w:val="nil"/>
            </w:tcBorders>
            <w:noWrap/>
            <w:vAlign w:val="bottom"/>
            <w:hideMark/>
          </w:tcPr>
          <w:p w14:paraId="7D94C434" w14:textId="77777777" w:rsidR="007029D0" w:rsidRDefault="007029D0" w:rsidP="00F53A31">
            <w:pPr>
              <w:rPr>
                <w:sz w:val="20"/>
                <w:szCs w:val="20"/>
              </w:rPr>
            </w:pPr>
          </w:p>
        </w:tc>
        <w:tc>
          <w:tcPr>
            <w:tcW w:w="734" w:type="dxa"/>
            <w:gridSpan w:val="2"/>
            <w:tcBorders>
              <w:top w:val="nil"/>
              <w:left w:val="nil"/>
              <w:right w:val="nil"/>
            </w:tcBorders>
            <w:noWrap/>
            <w:vAlign w:val="bottom"/>
            <w:hideMark/>
          </w:tcPr>
          <w:p w14:paraId="4F37F2A7" w14:textId="77777777" w:rsidR="007029D0" w:rsidRDefault="007029D0" w:rsidP="00F53A31">
            <w:pPr>
              <w:rPr>
                <w:sz w:val="20"/>
                <w:szCs w:val="20"/>
              </w:rPr>
            </w:pPr>
          </w:p>
        </w:tc>
        <w:tc>
          <w:tcPr>
            <w:tcW w:w="993" w:type="dxa"/>
            <w:gridSpan w:val="2"/>
            <w:tcBorders>
              <w:top w:val="nil"/>
              <w:left w:val="nil"/>
              <w:right w:val="nil"/>
            </w:tcBorders>
            <w:noWrap/>
            <w:vAlign w:val="bottom"/>
            <w:hideMark/>
          </w:tcPr>
          <w:p w14:paraId="3064E2EF" w14:textId="77777777" w:rsidR="007029D0" w:rsidRDefault="007029D0" w:rsidP="00F53A31">
            <w:pPr>
              <w:rPr>
                <w:sz w:val="20"/>
                <w:szCs w:val="20"/>
              </w:rPr>
            </w:pPr>
          </w:p>
        </w:tc>
        <w:tc>
          <w:tcPr>
            <w:tcW w:w="850" w:type="dxa"/>
            <w:gridSpan w:val="2"/>
            <w:tcBorders>
              <w:top w:val="nil"/>
              <w:left w:val="nil"/>
              <w:right w:val="nil"/>
            </w:tcBorders>
            <w:noWrap/>
            <w:vAlign w:val="bottom"/>
            <w:hideMark/>
          </w:tcPr>
          <w:p w14:paraId="2962C4BD" w14:textId="77777777" w:rsidR="007029D0" w:rsidRDefault="007029D0" w:rsidP="00F53A31">
            <w:pPr>
              <w:rPr>
                <w:sz w:val="20"/>
                <w:szCs w:val="20"/>
              </w:rPr>
            </w:pPr>
          </w:p>
        </w:tc>
        <w:tc>
          <w:tcPr>
            <w:tcW w:w="801" w:type="dxa"/>
            <w:tcBorders>
              <w:top w:val="nil"/>
              <w:left w:val="nil"/>
              <w:right w:val="nil"/>
            </w:tcBorders>
            <w:noWrap/>
            <w:vAlign w:val="bottom"/>
            <w:hideMark/>
          </w:tcPr>
          <w:p w14:paraId="4D225F4D" w14:textId="77777777" w:rsidR="007029D0" w:rsidRDefault="007029D0" w:rsidP="00F53A31">
            <w:pPr>
              <w:rPr>
                <w:sz w:val="20"/>
                <w:szCs w:val="20"/>
              </w:rPr>
            </w:pPr>
          </w:p>
        </w:tc>
        <w:tc>
          <w:tcPr>
            <w:tcW w:w="1134" w:type="dxa"/>
            <w:gridSpan w:val="3"/>
            <w:tcBorders>
              <w:top w:val="nil"/>
              <w:left w:val="nil"/>
              <w:right w:val="nil"/>
            </w:tcBorders>
            <w:noWrap/>
            <w:vAlign w:val="bottom"/>
            <w:hideMark/>
          </w:tcPr>
          <w:p w14:paraId="3AAEE23E" w14:textId="77777777" w:rsidR="007029D0" w:rsidRDefault="007029D0" w:rsidP="00F53A31">
            <w:pPr>
              <w:rPr>
                <w:sz w:val="20"/>
                <w:szCs w:val="20"/>
              </w:rPr>
            </w:pPr>
          </w:p>
        </w:tc>
        <w:tc>
          <w:tcPr>
            <w:tcW w:w="993" w:type="dxa"/>
            <w:gridSpan w:val="2"/>
            <w:tcBorders>
              <w:top w:val="nil"/>
              <w:left w:val="nil"/>
              <w:right w:val="nil"/>
            </w:tcBorders>
            <w:noWrap/>
            <w:vAlign w:val="bottom"/>
            <w:hideMark/>
          </w:tcPr>
          <w:p w14:paraId="622A331F" w14:textId="77777777" w:rsidR="007029D0" w:rsidRDefault="007029D0" w:rsidP="00F53A31">
            <w:pPr>
              <w:rPr>
                <w:sz w:val="20"/>
                <w:szCs w:val="20"/>
              </w:rPr>
            </w:pPr>
          </w:p>
        </w:tc>
      </w:tr>
      <w:tr w:rsidR="007029D0" w14:paraId="78C71828" w14:textId="77777777" w:rsidTr="00235F50">
        <w:trPr>
          <w:trHeight w:val="216"/>
        </w:trPr>
        <w:tc>
          <w:tcPr>
            <w:tcW w:w="1985" w:type="dxa"/>
            <w:vMerge w:val="restart"/>
            <w:tcBorders>
              <w:top w:val="nil"/>
              <w:left w:val="nil"/>
              <w:bottom w:val="single" w:sz="4" w:space="0" w:color="FFFFFF"/>
              <w:right w:val="nil"/>
            </w:tcBorders>
            <w:shd w:val="clear" w:color="000000" w:fill="8EA9DB"/>
            <w:noWrap/>
            <w:vAlign w:val="center"/>
            <w:hideMark/>
          </w:tcPr>
          <w:p w14:paraId="542B214B" w14:textId="77777777" w:rsidR="007029D0" w:rsidRDefault="007029D0" w:rsidP="00F53A31">
            <w:pPr>
              <w:jc w:val="center"/>
              <w:rPr>
                <w:rFonts w:ascii="Calibri" w:hAnsi="Calibri" w:cs="Calibri"/>
                <w:b/>
                <w:bCs/>
                <w:sz w:val="14"/>
                <w:szCs w:val="14"/>
              </w:rPr>
            </w:pPr>
            <w:r>
              <w:rPr>
                <w:rFonts w:ascii="Calibri" w:hAnsi="Calibri" w:cs="Calibri"/>
                <w:b/>
                <w:bCs/>
                <w:sz w:val="14"/>
                <w:szCs w:val="14"/>
              </w:rPr>
              <w:t>Grupo Profissional</w:t>
            </w:r>
          </w:p>
        </w:tc>
        <w:tc>
          <w:tcPr>
            <w:tcW w:w="874" w:type="dxa"/>
            <w:vMerge w:val="restart"/>
            <w:tcBorders>
              <w:top w:val="nil"/>
              <w:left w:val="single" w:sz="4" w:space="0" w:color="FFFFFF"/>
              <w:bottom w:val="single" w:sz="4" w:space="0" w:color="FFFFFF"/>
              <w:right w:val="single" w:sz="4" w:space="0" w:color="FFFFFF"/>
            </w:tcBorders>
            <w:shd w:val="clear" w:color="000000" w:fill="8EA9DB"/>
            <w:vAlign w:val="center"/>
            <w:hideMark/>
          </w:tcPr>
          <w:p w14:paraId="15A91D01" w14:textId="62666F04" w:rsidR="007029D0" w:rsidRDefault="007029D0" w:rsidP="00F53A31">
            <w:pPr>
              <w:jc w:val="center"/>
              <w:rPr>
                <w:rFonts w:ascii="Calibri" w:hAnsi="Calibri" w:cs="Calibri"/>
                <w:b/>
                <w:bCs/>
                <w:sz w:val="14"/>
                <w:szCs w:val="14"/>
              </w:rPr>
            </w:pPr>
            <w:r>
              <w:rPr>
                <w:rFonts w:ascii="Calibri" w:hAnsi="Calibri" w:cs="Calibri"/>
                <w:b/>
                <w:bCs/>
                <w:sz w:val="14"/>
                <w:szCs w:val="14"/>
              </w:rPr>
              <w:t>Situação a 31/12/202</w:t>
            </w:r>
            <w:r w:rsidR="007A2D6D">
              <w:rPr>
                <w:rFonts w:ascii="Calibri" w:hAnsi="Calibri" w:cs="Calibri"/>
                <w:b/>
                <w:bCs/>
                <w:sz w:val="14"/>
                <w:szCs w:val="14"/>
              </w:rPr>
              <w:t>4</w:t>
            </w:r>
          </w:p>
        </w:tc>
        <w:tc>
          <w:tcPr>
            <w:tcW w:w="4512" w:type="dxa"/>
            <w:gridSpan w:val="10"/>
            <w:tcBorders>
              <w:top w:val="nil"/>
              <w:left w:val="nil"/>
              <w:bottom w:val="single" w:sz="4" w:space="0" w:color="FFFFFF"/>
              <w:right w:val="single" w:sz="4" w:space="0" w:color="FFFFFF"/>
            </w:tcBorders>
            <w:shd w:val="clear" w:color="000000" w:fill="8EA9DB"/>
            <w:noWrap/>
            <w:vAlign w:val="center"/>
            <w:hideMark/>
          </w:tcPr>
          <w:p w14:paraId="13CA7247" w14:textId="49644372" w:rsidR="007029D0" w:rsidRDefault="007029D0" w:rsidP="00F53A31">
            <w:pPr>
              <w:jc w:val="center"/>
              <w:rPr>
                <w:rFonts w:ascii="Calibri" w:hAnsi="Calibri" w:cs="Calibri"/>
                <w:b/>
                <w:bCs/>
                <w:sz w:val="14"/>
                <w:szCs w:val="14"/>
              </w:rPr>
            </w:pPr>
            <w:r>
              <w:rPr>
                <w:rFonts w:ascii="Calibri" w:hAnsi="Calibri" w:cs="Calibri"/>
                <w:b/>
                <w:bCs/>
                <w:sz w:val="14"/>
                <w:szCs w:val="14"/>
              </w:rPr>
              <w:t>Movimentos de Pessoal em 202</w:t>
            </w:r>
            <w:r w:rsidR="007A2D6D">
              <w:rPr>
                <w:rFonts w:ascii="Calibri" w:hAnsi="Calibri" w:cs="Calibri"/>
                <w:b/>
                <w:bCs/>
                <w:sz w:val="14"/>
                <w:szCs w:val="14"/>
              </w:rPr>
              <w:t>5</w:t>
            </w:r>
          </w:p>
        </w:tc>
        <w:tc>
          <w:tcPr>
            <w:tcW w:w="993" w:type="dxa"/>
            <w:gridSpan w:val="2"/>
            <w:vMerge w:val="restart"/>
            <w:tcBorders>
              <w:top w:val="nil"/>
              <w:left w:val="single" w:sz="4" w:space="0" w:color="FFFFFF"/>
              <w:bottom w:val="single" w:sz="4" w:space="0" w:color="FFFFFF" w:themeColor="background1"/>
              <w:right w:val="single" w:sz="4" w:space="0" w:color="FFFFFF"/>
            </w:tcBorders>
            <w:shd w:val="clear" w:color="000000" w:fill="8EA9DB"/>
            <w:vAlign w:val="center"/>
            <w:hideMark/>
          </w:tcPr>
          <w:p w14:paraId="588EC923" w14:textId="08695FBF" w:rsidR="007029D0" w:rsidRPr="00B234B9" w:rsidRDefault="007029D0" w:rsidP="00F53A31">
            <w:pPr>
              <w:jc w:val="center"/>
              <w:rPr>
                <w:rFonts w:ascii="Calibri" w:hAnsi="Calibri" w:cs="Calibri"/>
                <w:b/>
                <w:bCs/>
                <w:sz w:val="14"/>
                <w:szCs w:val="14"/>
              </w:rPr>
            </w:pPr>
            <w:r w:rsidRPr="00B234B9">
              <w:rPr>
                <w:rFonts w:ascii="Calibri" w:hAnsi="Calibri" w:cs="Calibri"/>
                <w:b/>
                <w:bCs/>
                <w:sz w:val="14"/>
                <w:szCs w:val="14"/>
              </w:rPr>
              <w:t>Situação a 31/12/202</w:t>
            </w:r>
            <w:r w:rsidR="007A2D6D" w:rsidRPr="00B234B9">
              <w:rPr>
                <w:rFonts w:ascii="Calibri" w:hAnsi="Calibri" w:cs="Calibri"/>
                <w:b/>
                <w:bCs/>
                <w:sz w:val="14"/>
                <w:szCs w:val="14"/>
              </w:rPr>
              <w:t>5</w:t>
            </w:r>
          </w:p>
        </w:tc>
      </w:tr>
      <w:tr w:rsidR="007029D0" w14:paraId="7F987070" w14:textId="77777777" w:rsidTr="00235F50">
        <w:trPr>
          <w:trHeight w:val="1134"/>
        </w:trPr>
        <w:tc>
          <w:tcPr>
            <w:tcW w:w="1985" w:type="dxa"/>
            <w:vMerge/>
            <w:tcBorders>
              <w:top w:val="single" w:sz="4" w:space="0" w:color="FFFFFF"/>
              <w:left w:val="nil"/>
              <w:bottom w:val="single" w:sz="4" w:space="0" w:color="FFFFFF"/>
              <w:right w:val="nil"/>
            </w:tcBorders>
            <w:vAlign w:val="center"/>
            <w:hideMark/>
          </w:tcPr>
          <w:p w14:paraId="08F6AB93" w14:textId="77777777" w:rsidR="007029D0" w:rsidRDefault="007029D0" w:rsidP="00F53A31">
            <w:pPr>
              <w:rPr>
                <w:rFonts w:ascii="Calibri" w:hAnsi="Calibri" w:cs="Calibri"/>
                <w:b/>
                <w:bCs/>
                <w:sz w:val="14"/>
                <w:szCs w:val="14"/>
              </w:rPr>
            </w:pPr>
          </w:p>
        </w:tc>
        <w:tc>
          <w:tcPr>
            <w:tcW w:w="874" w:type="dxa"/>
            <w:vMerge/>
            <w:tcBorders>
              <w:top w:val="single" w:sz="4" w:space="0" w:color="FFFFFF"/>
              <w:left w:val="single" w:sz="4" w:space="0" w:color="FFFFFF"/>
              <w:bottom w:val="single" w:sz="4" w:space="0" w:color="FFFFFF"/>
              <w:right w:val="single" w:sz="4" w:space="0" w:color="FFFFFF"/>
            </w:tcBorders>
            <w:vAlign w:val="center"/>
            <w:hideMark/>
          </w:tcPr>
          <w:p w14:paraId="7A20CF63" w14:textId="77777777" w:rsidR="007029D0" w:rsidRDefault="007029D0" w:rsidP="00F53A31">
            <w:pPr>
              <w:rPr>
                <w:rFonts w:ascii="Calibri" w:hAnsi="Calibri" w:cs="Calibri"/>
                <w:b/>
                <w:bCs/>
                <w:sz w:val="14"/>
                <w:szCs w:val="14"/>
              </w:rPr>
            </w:pPr>
          </w:p>
        </w:tc>
        <w:tc>
          <w:tcPr>
            <w:tcW w:w="734" w:type="dxa"/>
            <w:gridSpan w:val="2"/>
            <w:tcBorders>
              <w:top w:val="single" w:sz="4" w:space="0" w:color="FFFFFF"/>
              <w:left w:val="nil"/>
              <w:bottom w:val="nil"/>
              <w:right w:val="nil"/>
            </w:tcBorders>
            <w:shd w:val="clear" w:color="000000" w:fill="8EA9DB"/>
            <w:vAlign w:val="center"/>
            <w:hideMark/>
          </w:tcPr>
          <w:p w14:paraId="57C0F084" w14:textId="77777777" w:rsidR="007029D0" w:rsidRDefault="007029D0" w:rsidP="00F53A31">
            <w:pPr>
              <w:jc w:val="center"/>
              <w:rPr>
                <w:rFonts w:ascii="Calibri" w:hAnsi="Calibri" w:cs="Calibri"/>
                <w:b/>
                <w:bCs/>
                <w:sz w:val="14"/>
                <w:szCs w:val="14"/>
              </w:rPr>
            </w:pPr>
            <w:r>
              <w:rPr>
                <w:rFonts w:ascii="Calibri" w:hAnsi="Calibri" w:cs="Calibri"/>
                <w:b/>
                <w:bCs/>
                <w:sz w:val="14"/>
                <w:szCs w:val="14"/>
              </w:rPr>
              <w:t>Saídas (reformas/outros)</w:t>
            </w:r>
          </w:p>
        </w:tc>
        <w:tc>
          <w:tcPr>
            <w:tcW w:w="993" w:type="dxa"/>
            <w:gridSpan w:val="2"/>
            <w:tcBorders>
              <w:top w:val="single" w:sz="4" w:space="0" w:color="FFFFFF"/>
              <w:left w:val="single" w:sz="4" w:space="0" w:color="FFFFFF"/>
              <w:bottom w:val="nil"/>
              <w:right w:val="single" w:sz="4" w:space="0" w:color="FFFFFF"/>
            </w:tcBorders>
            <w:shd w:val="clear" w:color="000000" w:fill="8EA9DB"/>
            <w:vAlign w:val="center"/>
            <w:hideMark/>
          </w:tcPr>
          <w:p w14:paraId="1FD7D2FE" w14:textId="77777777" w:rsidR="007029D0" w:rsidRDefault="007029D0" w:rsidP="00F53A31">
            <w:pPr>
              <w:jc w:val="center"/>
              <w:rPr>
                <w:rFonts w:ascii="Calibri" w:hAnsi="Calibri" w:cs="Calibri"/>
                <w:b/>
                <w:bCs/>
                <w:sz w:val="14"/>
                <w:szCs w:val="14"/>
              </w:rPr>
            </w:pPr>
            <w:r>
              <w:rPr>
                <w:rFonts w:ascii="Calibri" w:hAnsi="Calibri" w:cs="Calibri"/>
                <w:b/>
                <w:bCs/>
                <w:sz w:val="14"/>
                <w:szCs w:val="14"/>
              </w:rPr>
              <w:t>Trabalhadores ausentes por mobilidade/</w:t>
            </w:r>
            <w:r>
              <w:rPr>
                <w:rFonts w:ascii="Calibri" w:hAnsi="Calibri" w:cs="Calibri"/>
                <w:b/>
                <w:bCs/>
                <w:sz w:val="14"/>
                <w:szCs w:val="14"/>
              </w:rPr>
              <w:br/>
              <w:t>cedência/licença</w:t>
            </w:r>
          </w:p>
        </w:tc>
        <w:tc>
          <w:tcPr>
            <w:tcW w:w="850" w:type="dxa"/>
            <w:gridSpan w:val="2"/>
            <w:tcBorders>
              <w:top w:val="single" w:sz="4" w:space="0" w:color="FFFFFF"/>
              <w:left w:val="nil"/>
              <w:bottom w:val="nil"/>
              <w:right w:val="nil"/>
            </w:tcBorders>
            <w:shd w:val="clear" w:color="000000" w:fill="8EA9DB"/>
            <w:vAlign w:val="center"/>
            <w:hideMark/>
          </w:tcPr>
          <w:p w14:paraId="35C6285A" w14:textId="77777777" w:rsidR="007029D0" w:rsidRDefault="007029D0" w:rsidP="00F53A31">
            <w:pPr>
              <w:jc w:val="center"/>
              <w:rPr>
                <w:rFonts w:ascii="Calibri" w:hAnsi="Calibri" w:cs="Calibri"/>
                <w:b/>
                <w:bCs/>
                <w:sz w:val="14"/>
                <w:szCs w:val="14"/>
              </w:rPr>
            </w:pPr>
            <w:r>
              <w:rPr>
                <w:rFonts w:ascii="Calibri" w:hAnsi="Calibri" w:cs="Calibri"/>
                <w:b/>
                <w:bCs/>
                <w:sz w:val="14"/>
                <w:szCs w:val="14"/>
              </w:rPr>
              <w:t xml:space="preserve">Contratações para substituição de saídas </w:t>
            </w:r>
          </w:p>
        </w:tc>
        <w:tc>
          <w:tcPr>
            <w:tcW w:w="801" w:type="dxa"/>
            <w:tcBorders>
              <w:top w:val="single" w:sz="4" w:space="0" w:color="FFFFFF"/>
              <w:left w:val="single" w:sz="4" w:space="0" w:color="FFFFFF"/>
              <w:bottom w:val="nil"/>
              <w:right w:val="single" w:sz="4" w:space="0" w:color="FFFFFF"/>
            </w:tcBorders>
            <w:shd w:val="clear" w:color="000000" w:fill="8EA9DB"/>
            <w:vAlign w:val="center"/>
            <w:hideMark/>
          </w:tcPr>
          <w:p w14:paraId="0E06C284" w14:textId="77777777" w:rsidR="007029D0" w:rsidRDefault="007029D0" w:rsidP="00F53A31">
            <w:pPr>
              <w:jc w:val="center"/>
              <w:rPr>
                <w:rFonts w:ascii="Calibri" w:hAnsi="Calibri" w:cs="Calibri"/>
                <w:b/>
                <w:bCs/>
                <w:sz w:val="14"/>
                <w:szCs w:val="14"/>
              </w:rPr>
            </w:pPr>
            <w:r>
              <w:rPr>
                <w:rFonts w:ascii="Calibri" w:hAnsi="Calibri" w:cs="Calibri"/>
                <w:b/>
                <w:bCs/>
                <w:sz w:val="14"/>
                <w:szCs w:val="14"/>
              </w:rPr>
              <w:t>Novas contratações*</w:t>
            </w:r>
          </w:p>
        </w:tc>
        <w:tc>
          <w:tcPr>
            <w:tcW w:w="1134" w:type="dxa"/>
            <w:gridSpan w:val="3"/>
            <w:tcBorders>
              <w:top w:val="single" w:sz="4" w:space="0" w:color="FFFFFF"/>
              <w:left w:val="nil"/>
              <w:bottom w:val="nil"/>
              <w:right w:val="nil"/>
            </w:tcBorders>
            <w:shd w:val="clear" w:color="000000" w:fill="8EA9DB"/>
            <w:vAlign w:val="center"/>
            <w:hideMark/>
          </w:tcPr>
          <w:p w14:paraId="3460EFCF" w14:textId="77777777" w:rsidR="007029D0" w:rsidRDefault="007029D0" w:rsidP="00F53A31">
            <w:pPr>
              <w:jc w:val="center"/>
              <w:rPr>
                <w:rFonts w:ascii="Calibri" w:hAnsi="Calibri" w:cs="Calibri"/>
                <w:b/>
                <w:bCs/>
                <w:sz w:val="14"/>
                <w:szCs w:val="14"/>
              </w:rPr>
            </w:pPr>
            <w:r>
              <w:rPr>
                <w:rFonts w:ascii="Calibri" w:hAnsi="Calibri" w:cs="Calibri"/>
                <w:b/>
                <w:bCs/>
                <w:sz w:val="14"/>
                <w:szCs w:val="14"/>
              </w:rPr>
              <w:t xml:space="preserve">Entradas ao abrigo do … (normativo legal, despacho, </w:t>
            </w:r>
            <w:proofErr w:type="gramStart"/>
            <w:r>
              <w:rPr>
                <w:rFonts w:ascii="Calibri" w:hAnsi="Calibri" w:cs="Calibri"/>
                <w:b/>
                <w:bCs/>
                <w:sz w:val="14"/>
                <w:szCs w:val="14"/>
              </w:rPr>
              <w:t>etc.)*</w:t>
            </w:r>
            <w:proofErr w:type="gramEnd"/>
            <w:r>
              <w:rPr>
                <w:rFonts w:ascii="Calibri" w:hAnsi="Calibri" w:cs="Calibri"/>
                <w:b/>
                <w:bCs/>
                <w:sz w:val="14"/>
                <w:szCs w:val="14"/>
              </w:rPr>
              <w:t>*</w:t>
            </w:r>
          </w:p>
        </w:tc>
        <w:tc>
          <w:tcPr>
            <w:tcW w:w="993" w:type="dxa"/>
            <w:gridSpan w:val="2"/>
            <w:vMerge/>
            <w:tcBorders>
              <w:top w:val="single" w:sz="4" w:space="0" w:color="FFFFFF"/>
              <w:left w:val="single" w:sz="4" w:space="0" w:color="FFFFFF"/>
              <w:bottom w:val="single" w:sz="4" w:space="0" w:color="FFFFFF" w:themeColor="background1"/>
              <w:right w:val="single" w:sz="4" w:space="0" w:color="FFFFFF"/>
            </w:tcBorders>
            <w:vAlign w:val="center"/>
            <w:hideMark/>
          </w:tcPr>
          <w:p w14:paraId="05DCB856" w14:textId="77777777" w:rsidR="007029D0" w:rsidRPr="00B234B9" w:rsidRDefault="007029D0" w:rsidP="00F53A31">
            <w:pPr>
              <w:rPr>
                <w:rFonts w:ascii="Calibri" w:hAnsi="Calibri" w:cs="Calibri"/>
                <w:b/>
                <w:bCs/>
                <w:sz w:val="14"/>
                <w:szCs w:val="14"/>
              </w:rPr>
            </w:pPr>
          </w:p>
        </w:tc>
      </w:tr>
      <w:tr w:rsidR="007029D0" w:rsidRPr="007A2D6D" w14:paraId="33471A45" w14:textId="77777777" w:rsidTr="00B234B9">
        <w:trPr>
          <w:trHeight w:val="216"/>
        </w:trPr>
        <w:tc>
          <w:tcPr>
            <w:tcW w:w="1985" w:type="dxa"/>
            <w:tcBorders>
              <w:top w:val="single" w:sz="4" w:space="0" w:color="FFFFFF"/>
              <w:left w:val="nil"/>
              <w:bottom w:val="single" w:sz="4" w:space="0" w:color="FFFFFF"/>
              <w:right w:val="single" w:sz="4" w:space="0" w:color="FFFFFF"/>
            </w:tcBorders>
            <w:shd w:val="clear" w:color="000000" w:fill="D9E1F2"/>
            <w:vAlign w:val="center"/>
            <w:hideMark/>
          </w:tcPr>
          <w:p w14:paraId="161E778B" w14:textId="77777777" w:rsidR="007029D0" w:rsidRPr="002E23B0" w:rsidRDefault="007029D0" w:rsidP="00F53A31">
            <w:pPr>
              <w:rPr>
                <w:rFonts w:ascii="Calibri" w:hAnsi="Calibri" w:cs="Calibri"/>
                <w:color w:val="000000"/>
                <w:sz w:val="18"/>
                <w:szCs w:val="18"/>
              </w:rPr>
            </w:pPr>
            <w:r w:rsidRPr="002E23B0">
              <w:rPr>
                <w:rFonts w:ascii="Calibri" w:hAnsi="Calibri" w:cs="Calibri"/>
                <w:color w:val="000000"/>
                <w:sz w:val="18"/>
                <w:szCs w:val="18"/>
              </w:rPr>
              <w:t>Órgãos Sociais (OS)</w:t>
            </w:r>
          </w:p>
        </w:tc>
        <w:tc>
          <w:tcPr>
            <w:tcW w:w="874" w:type="dxa"/>
            <w:tcBorders>
              <w:top w:val="single" w:sz="4" w:space="0" w:color="FFFFFF"/>
              <w:left w:val="nil"/>
              <w:bottom w:val="single" w:sz="4" w:space="0" w:color="FFFFFF"/>
              <w:right w:val="single" w:sz="4" w:space="0" w:color="FFFFFF"/>
            </w:tcBorders>
            <w:shd w:val="clear" w:color="000000" w:fill="D9E1F2"/>
            <w:noWrap/>
            <w:vAlign w:val="center"/>
            <w:hideMark/>
          </w:tcPr>
          <w:p w14:paraId="29DCD6E8" w14:textId="52C45CB4" w:rsidR="007029D0" w:rsidRPr="002E23B0" w:rsidRDefault="00B234B9" w:rsidP="00F53A31">
            <w:pPr>
              <w:jc w:val="right"/>
              <w:rPr>
                <w:rFonts w:ascii="Calibri" w:hAnsi="Calibri" w:cs="Calibri"/>
                <w:color w:val="000000"/>
                <w:sz w:val="18"/>
                <w:szCs w:val="18"/>
              </w:rPr>
            </w:pPr>
            <w:r>
              <w:rPr>
                <w:rFonts w:ascii="Calibri" w:hAnsi="Calibri" w:cs="Calibri"/>
                <w:color w:val="000000"/>
                <w:sz w:val="18"/>
                <w:szCs w:val="18"/>
              </w:rPr>
              <w:t>8</w:t>
            </w:r>
            <w:r w:rsidR="007029D0" w:rsidRPr="002E23B0">
              <w:rPr>
                <w:rFonts w:ascii="Calibri" w:hAnsi="Calibri" w:cs="Calibri"/>
                <w:color w:val="000000"/>
                <w:sz w:val="18"/>
                <w:szCs w:val="18"/>
              </w:rPr>
              <w:t xml:space="preserve"> </w:t>
            </w:r>
          </w:p>
        </w:tc>
        <w:tc>
          <w:tcPr>
            <w:tcW w:w="734" w:type="dxa"/>
            <w:gridSpan w:val="2"/>
            <w:tcBorders>
              <w:top w:val="nil"/>
              <w:left w:val="nil"/>
              <w:bottom w:val="single" w:sz="4" w:space="0" w:color="FFFFFF"/>
              <w:right w:val="single" w:sz="4" w:space="0" w:color="FFFFFF"/>
            </w:tcBorders>
            <w:shd w:val="clear" w:color="000000" w:fill="D9E1F2"/>
            <w:noWrap/>
            <w:vAlign w:val="center"/>
          </w:tcPr>
          <w:p w14:paraId="182D39BB" w14:textId="3EA15E1E" w:rsidR="007029D0" w:rsidRPr="007A2D6D" w:rsidRDefault="007029D0" w:rsidP="007A2D6D">
            <w:pPr>
              <w:jc w:val="right"/>
              <w:rPr>
                <w:rFonts w:ascii="Calibri" w:hAnsi="Calibri" w:cs="Calibri"/>
                <w:color w:val="000000"/>
                <w:sz w:val="18"/>
                <w:szCs w:val="18"/>
                <w:highlight w:val="yellow"/>
              </w:rPr>
            </w:pPr>
          </w:p>
        </w:tc>
        <w:tc>
          <w:tcPr>
            <w:tcW w:w="993" w:type="dxa"/>
            <w:gridSpan w:val="2"/>
            <w:tcBorders>
              <w:top w:val="nil"/>
              <w:left w:val="nil"/>
              <w:bottom w:val="single" w:sz="4" w:space="0" w:color="FFFFFF"/>
              <w:right w:val="single" w:sz="4" w:space="0" w:color="FFFFFF"/>
            </w:tcBorders>
            <w:shd w:val="clear" w:color="000000" w:fill="D9E1F2"/>
            <w:noWrap/>
            <w:vAlign w:val="center"/>
          </w:tcPr>
          <w:p w14:paraId="1A0C7E4C" w14:textId="2DE4D3E2" w:rsidR="007029D0" w:rsidRPr="007A2D6D" w:rsidRDefault="007029D0" w:rsidP="00F53A31">
            <w:pPr>
              <w:rPr>
                <w:rFonts w:ascii="Calibri" w:hAnsi="Calibri" w:cs="Calibri"/>
                <w:color w:val="000000"/>
                <w:sz w:val="18"/>
                <w:szCs w:val="18"/>
              </w:rPr>
            </w:pPr>
          </w:p>
        </w:tc>
        <w:tc>
          <w:tcPr>
            <w:tcW w:w="850" w:type="dxa"/>
            <w:gridSpan w:val="2"/>
            <w:tcBorders>
              <w:top w:val="nil"/>
              <w:left w:val="nil"/>
              <w:bottom w:val="single" w:sz="4" w:space="0" w:color="FFFFFF"/>
              <w:right w:val="single" w:sz="4" w:space="0" w:color="FFFFFF"/>
            </w:tcBorders>
            <w:shd w:val="clear" w:color="000000" w:fill="D9E1F2"/>
            <w:noWrap/>
            <w:vAlign w:val="center"/>
          </w:tcPr>
          <w:p w14:paraId="6C55E866" w14:textId="46470703" w:rsidR="007029D0" w:rsidRPr="007A2D6D" w:rsidRDefault="007029D0" w:rsidP="007A2D6D">
            <w:pPr>
              <w:jc w:val="right"/>
              <w:rPr>
                <w:rFonts w:ascii="Calibri" w:hAnsi="Calibri" w:cs="Calibri"/>
                <w:color w:val="000000"/>
                <w:sz w:val="18"/>
                <w:szCs w:val="18"/>
                <w:highlight w:val="yellow"/>
              </w:rPr>
            </w:pPr>
          </w:p>
        </w:tc>
        <w:tc>
          <w:tcPr>
            <w:tcW w:w="801" w:type="dxa"/>
            <w:tcBorders>
              <w:top w:val="nil"/>
              <w:left w:val="nil"/>
              <w:bottom w:val="single" w:sz="4" w:space="0" w:color="FFFFFF"/>
              <w:right w:val="single" w:sz="4" w:space="0" w:color="FFFFFF"/>
            </w:tcBorders>
            <w:shd w:val="clear" w:color="000000" w:fill="D9E1F2"/>
            <w:noWrap/>
            <w:vAlign w:val="center"/>
            <w:hideMark/>
          </w:tcPr>
          <w:p w14:paraId="36C17323" w14:textId="77777777" w:rsidR="007029D0" w:rsidRPr="002E23B0" w:rsidRDefault="007029D0" w:rsidP="00F53A31">
            <w:pPr>
              <w:rPr>
                <w:rFonts w:ascii="Calibri" w:hAnsi="Calibri" w:cs="Calibri"/>
                <w:color w:val="000000"/>
                <w:sz w:val="18"/>
                <w:szCs w:val="18"/>
              </w:rPr>
            </w:pPr>
            <w:r w:rsidRPr="002E23B0">
              <w:rPr>
                <w:rFonts w:ascii="Calibri" w:hAnsi="Calibri" w:cs="Calibri"/>
                <w:color w:val="000000"/>
                <w:sz w:val="18"/>
                <w:szCs w:val="18"/>
              </w:rPr>
              <w:t> </w:t>
            </w:r>
          </w:p>
        </w:tc>
        <w:tc>
          <w:tcPr>
            <w:tcW w:w="1134" w:type="dxa"/>
            <w:gridSpan w:val="3"/>
            <w:tcBorders>
              <w:top w:val="nil"/>
              <w:left w:val="nil"/>
              <w:bottom w:val="single" w:sz="4" w:space="0" w:color="FFFFFF"/>
              <w:right w:val="single" w:sz="4" w:space="0" w:color="FFFFFF"/>
            </w:tcBorders>
            <w:shd w:val="clear" w:color="000000" w:fill="D9E1F2"/>
            <w:noWrap/>
            <w:vAlign w:val="center"/>
            <w:hideMark/>
          </w:tcPr>
          <w:p w14:paraId="366AD6B7" w14:textId="77777777" w:rsidR="007029D0" w:rsidRPr="002E23B0" w:rsidRDefault="007029D0" w:rsidP="00F53A31">
            <w:pPr>
              <w:rPr>
                <w:rFonts w:ascii="Calibri" w:hAnsi="Calibri" w:cs="Calibri"/>
                <w:color w:val="000000"/>
                <w:sz w:val="18"/>
                <w:szCs w:val="18"/>
              </w:rPr>
            </w:pPr>
            <w:r w:rsidRPr="002E23B0">
              <w:rPr>
                <w:rFonts w:ascii="Calibri" w:hAnsi="Calibri" w:cs="Calibri"/>
                <w:color w:val="000000"/>
                <w:sz w:val="18"/>
                <w:szCs w:val="18"/>
              </w:rPr>
              <w:t> </w:t>
            </w:r>
          </w:p>
        </w:tc>
        <w:tc>
          <w:tcPr>
            <w:tcW w:w="993" w:type="dxa"/>
            <w:gridSpan w:val="2"/>
            <w:tcBorders>
              <w:top w:val="single" w:sz="4" w:space="0" w:color="FFFFFF" w:themeColor="background1"/>
              <w:left w:val="nil"/>
              <w:bottom w:val="single" w:sz="4" w:space="0" w:color="FFFFFF"/>
              <w:right w:val="single" w:sz="4" w:space="0" w:color="FFFFFF"/>
            </w:tcBorders>
            <w:shd w:val="clear" w:color="000000" w:fill="D9E1F2"/>
            <w:noWrap/>
            <w:vAlign w:val="center"/>
            <w:hideMark/>
          </w:tcPr>
          <w:p w14:paraId="3BBBEB85" w14:textId="7A310984" w:rsidR="007029D0" w:rsidRPr="00B234B9" w:rsidRDefault="00B234B9" w:rsidP="00F53A31">
            <w:pPr>
              <w:jc w:val="right"/>
              <w:rPr>
                <w:rFonts w:ascii="Calibri" w:hAnsi="Calibri" w:cs="Calibri"/>
                <w:color w:val="000000"/>
                <w:sz w:val="18"/>
                <w:szCs w:val="18"/>
              </w:rPr>
            </w:pPr>
            <w:r w:rsidRPr="00B234B9">
              <w:rPr>
                <w:rFonts w:ascii="Calibri" w:hAnsi="Calibri" w:cs="Calibri"/>
                <w:color w:val="000000"/>
                <w:sz w:val="18"/>
                <w:szCs w:val="18"/>
              </w:rPr>
              <w:t>8</w:t>
            </w:r>
            <w:r w:rsidR="007029D0" w:rsidRPr="00B234B9">
              <w:rPr>
                <w:rFonts w:ascii="Calibri" w:hAnsi="Calibri" w:cs="Calibri"/>
                <w:color w:val="000000"/>
                <w:sz w:val="18"/>
                <w:szCs w:val="18"/>
              </w:rPr>
              <w:t xml:space="preserve"> </w:t>
            </w:r>
          </w:p>
        </w:tc>
      </w:tr>
      <w:tr w:rsidR="00235F50" w14:paraId="5426D170" w14:textId="77777777" w:rsidTr="00235F50">
        <w:trPr>
          <w:trHeight w:val="216"/>
        </w:trPr>
        <w:tc>
          <w:tcPr>
            <w:tcW w:w="1985" w:type="dxa"/>
            <w:tcBorders>
              <w:top w:val="nil"/>
              <w:left w:val="nil"/>
              <w:bottom w:val="single" w:sz="4" w:space="0" w:color="FFFFFF"/>
              <w:right w:val="single" w:sz="4" w:space="0" w:color="FFFFFF"/>
            </w:tcBorders>
            <w:shd w:val="clear" w:color="000000" w:fill="D9E1F2"/>
            <w:vAlign w:val="center"/>
            <w:hideMark/>
          </w:tcPr>
          <w:p w14:paraId="49C79172" w14:textId="77777777" w:rsidR="00235F50" w:rsidRDefault="00235F50" w:rsidP="00235F50">
            <w:pPr>
              <w:rPr>
                <w:rFonts w:ascii="Calibri" w:hAnsi="Calibri" w:cs="Calibri"/>
                <w:color w:val="000000"/>
                <w:sz w:val="18"/>
                <w:szCs w:val="18"/>
              </w:rPr>
            </w:pPr>
            <w:r>
              <w:rPr>
                <w:rFonts w:ascii="Calibri" w:hAnsi="Calibri" w:cs="Calibri"/>
                <w:color w:val="000000"/>
                <w:sz w:val="18"/>
                <w:szCs w:val="18"/>
              </w:rPr>
              <w:t>Cargos de direção (s/ OS)</w:t>
            </w:r>
          </w:p>
        </w:tc>
        <w:tc>
          <w:tcPr>
            <w:tcW w:w="874" w:type="dxa"/>
            <w:tcBorders>
              <w:top w:val="nil"/>
              <w:left w:val="nil"/>
              <w:bottom w:val="single" w:sz="4" w:space="0" w:color="FFFFFF"/>
              <w:right w:val="single" w:sz="4" w:space="0" w:color="FFFFFF"/>
            </w:tcBorders>
            <w:shd w:val="clear" w:color="000000" w:fill="D9E1F2"/>
            <w:noWrap/>
            <w:vAlign w:val="center"/>
            <w:hideMark/>
          </w:tcPr>
          <w:p w14:paraId="0823AE17" w14:textId="77777777" w:rsidR="00235F50" w:rsidRDefault="00235F50" w:rsidP="00235F50">
            <w:pPr>
              <w:jc w:val="right"/>
              <w:rPr>
                <w:rFonts w:ascii="Calibri" w:hAnsi="Calibri" w:cs="Calibri"/>
                <w:color w:val="000000"/>
                <w:sz w:val="18"/>
                <w:szCs w:val="18"/>
              </w:rPr>
            </w:pPr>
            <w:r>
              <w:rPr>
                <w:rFonts w:ascii="Calibri" w:hAnsi="Calibri" w:cs="Calibri"/>
                <w:color w:val="000000"/>
                <w:sz w:val="18"/>
                <w:szCs w:val="18"/>
              </w:rPr>
              <w:t xml:space="preserve">10 </w:t>
            </w:r>
          </w:p>
        </w:tc>
        <w:tc>
          <w:tcPr>
            <w:tcW w:w="734" w:type="dxa"/>
            <w:gridSpan w:val="2"/>
            <w:tcBorders>
              <w:top w:val="nil"/>
              <w:left w:val="nil"/>
              <w:bottom w:val="single" w:sz="4" w:space="0" w:color="FFFFFF"/>
              <w:right w:val="single" w:sz="4" w:space="0" w:color="FFFFFF"/>
            </w:tcBorders>
            <w:shd w:val="clear" w:color="000000" w:fill="D9E1F2"/>
            <w:noWrap/>
            <w:vAlign w:val="center"/>
          </w:tcPr>
          <w:p w14:paraId="5BDA5C81" w14:textId="4F88180A" w:rsidR="00235F50" w:rsidRPr="00A80339" w:rsidRDefault="00235F50" w:rsidP="00235F50">
            <w:pPr>
              <w:jc w:val="right"/>
              <w:rPr>
                <w:rFonts w:ascii="Calibri" w:hAnsi="Calibri" w:cs="Calibri"/>
                <w:color w:val="000000"/>
                <w:sz w:val="18"/>
                <w:szCs w:val="18"/>
                <w:highlight w:val="yellow"/>
              </w:rPr>
            </w:pPr>
          </w:p>
        </w:tc>
        <w:tc>
          <w:tcPr>
            <w:tcW w:w="993" w:type="dxa"/>
            <w:gridSpan w:val="2"/>
            <w:tcBorders>
              <w:top w:val="nil"/>
              <w:left w:val="nil"/>
              <w:bottom w:val="single" w:sz="4" w:space="0" w:color="FFFFFF"/>
              <w:right w:val="single" w:sz="4" w:space="0" w:color="FFFFFF"/>
            </w:tcBorders>
            <w:shd w:val="clear" w:color="000000" w:fill="D9E1F2"/>
            <w:noWrap/>
            <w:vAlign w:val="center"/>
            <w:hideMark/>
          </w:tcPr>
          <w:p w14:paraId="631BAAE3" w14:textId="77777777" w:rsidR="00235F50" w:rsidRDefault="00235F50" w:rsidP="00235F50">
            <w:pPr>
              <w:rPr>
                <w:rFonts w:ascii="Calibri" w:hAnsi="Calibri" w:cs="Calibri"/>
                <w:color w:val="000000"/>
                <w:sz w:val="18"/>
                <w:szCs w:val="18"/>
              </w:rPr>
            </w:pPr>
            <w:r>
              <w:rPr>
                <w:rFonts w:ascii="Calibri" w:hAnsi="Calibri" w:cs="Calibri"/>
                <w:color w:val="000000"/>
                <w:sz w:val="18"/>
                <w:szCs w:val="18"/>
              </w:rPr>
              <w:t> </w:t>
            </w:r>
          </w:p>
        </w:tc>
        <w:tc>
          <w:tcPr>
            <w:tcW w:w="850" w:type="dxa"/>
            <w:gridSpan w:val="2"/>
            <w:tcBorders>
              <w:top w:val="nil"/>
              <w:left w:val="nil"/>
              <w:bottom w:val="single" w:sz="4" w:space="0" w:color="FFFFFF"/>
              <w:right w:val="single" w:sz="4" w:space="0" w:color="FFFFFF"/>
            </w:tcBorders>
            <w:shd w:val="clear" w:color="000000" w:fill="D9E1F2"/>
            <w:noWrap/>
            <w:vAlign w:val="center"/>
            <w:hideMark/>
          </w:tcPr>
          <w:p w14:paraId="3777A121" w14:textId="14030B95" w:rsidR="00235F50" w:rsidRPr="00B234B9" w:rsidRDefault="00235F50" w:rsidP="00235F50">
            <w:pPr>
              <w:jc w:val="right"/>
              <w:rPr>
                <w:rFonts w:ascii="Calibri" w:hAnsi="Calibri" w:cs="Calibri"/>
                <w:color w:val="000000"/>
                <w:sz w:val="18"/>
                <w:szCs w:val="18"/>
              </w:rPr>
            </w:pPr>
            <w:r w:rsidRPr="00B234B9">
              <w:rPr>
                <w:rFonts w:ascii="Calibri" w:hAnsi="Calibri" w:cs="Calibri"/>
                <w:color w:val="000000"/>
                <w:sz w:val="18"/>
                <w:szCs w:val="18"/>
              </w:rPr>
              <w:t> (1)</w:t>
            </w:r>
          </w:p>
        </w:tc>
        <w:tc>
          <w:tcPr>
            <w:tcW w:w="801" w:type="dxa"/>
            <w:tcBorders>
              <w:top w:val="nil"/>
              <w:left w:val="nil"/>
              <w:bottom w:val="single" w:sz="4" w:space="0" w:color="FFFFFF"/>
              <w:right w:val="single" w:sz="4" w:space="0" w:color="FFFFFF"/>
            </w:tcBorders>
            <w:shd w:val="clear" w:color="000000" w:fill="D9E1F2"/>
            <w:noWrap/>
            <w:vAlign w:val="center"/>
            <w:hideMark/>
          </w:tcPr>
          <w:p w14:paraId="036D4097" w14:textId="77777777" w:rsidR="00235F50" w:rsidRPr="00B234B9" w:rsidRDefault="00235F50" w:rsidP="00235F50">
            <w:pPr>
              <w:rPr>
                <w:rFonts w:ascii="Calibri" w:hAnsi="Calibri" w:cs="Calibri"/>
                <w:color w:val="000000"/>
                <w:sz w:val="18"/>
                <w:szCs w:val="18"/>
              </w:rPr>
            </w:pPr>
            <w:r w:rsidRPr="00B234B9">
              <w:rPr>
                <w:rFonts w:ascii="Calibri" w:hAnsi="Calibri" w:cs="Calibri"/>
                <w:color w:val="000000"/>
                <w:sz w:val="18"/>
                <w:szCs w:val="18"/>
              </w:rPr>
              <w:t> </w:t>
            </w:r>
          </w:p>
        </w:tc>
        <w:tc>
          <w:tcPr>
            <w:tcW w:w="1134" w:type="dxa"/>
            <w:gridSpan w:val="3"/>
            <w:tcBorders>
              <w:top w:val="nil"/>
              <w:left w:val="nil"/>
              <w:bottom w:val="single" w:sz="4" w:space="0" w:color="FFFFFF"/>
              <w:right w:val="single" w:sz="4" w:space="0" w:color="FFFFFF"/>
            </w:tcBorders>
            <w:shd w:val="clear" w:color="000000" w:fill="D9E1F2"/>
            <w:noWrap/>
            <w:vAlign w:val="center"/>
            <w:hideMark/>
          </w:tcPr>
          <w:p w14:paraId="11538CEB" w14:textId="77777777" w:rsidR="00235F50" w:rsidRDefault="00235F50" w:rsidP="00235F50">
            <w:pPr>
              <w:rPr>
                <w:rFonts w:ascii="Calibri" w:hAnsi="Calibri" w:cs="Calibri"/>
                <w:color w:val="000000"/>
                <w:sz w:val="18"/>
                <w:szCs w:val="18"/>
              </w:rPr>
            </w:pPr>
            <w:r>
              <w:rPr>
                <w:rFonts w:ascii="Calibri" w:hAnsi="Calibri" w:cs="Calibri"/>
                <w:color w:val="000000"/>
                <w:sz w:val="18"/>
                <w:szCs w:val="18"/>
              </w:rPr>
              <w:t> </w:t>
            </w:r>
          </w:p>
        </w:tc>
        <w:tc>
          <w:tcPr>
            <w:tcW w:w="993" w:type="dxa"/>
            <w:gridSpan w:val="2"/>
            <w:tcBorders>
              <w:top w:val="nil"/>
              <w:left w:val="nil"/>
              <w:bottom w:val="single" w:sz="4" w:space="0" w:color="FFFFFF"/>
              <w:right w:val="single" w:sz="4" w:space="0" w:color="FFFFFF"/>
            </w:tcBorders>
            <w:shd w:val="clear" w:color="000000" w:fill="D9E1F2"/>
            <w:noWrap/>
            <w:vAlign w:val="center"/>
            <w:hideMark/>
          </w:tcPr>
          <w:p w14:paraId="4D51BF5B" w14:textId="0E91660C" w:rsidR="00235F50" w:rsidRPr="00B234B9" w:rsidRDefault="00235F50" w:rsidP="00235F50">
            <w:pPr>
              <w:jc w:val="right"/>
              <w:rPr>
                <w:rFonts w:ascii="Calibri" w:hAnsi="Calibri" w:cs="Calibri"/>
                <w:color w:val="000000"/>
                <w:sz w:val="18"/>
                <w:szCs w:val="18"/>
              </w:rPr>
            </w:pPr>
            <w:r w:rsidRPr="00B234B9">
              <w:rPr>
                <w:rFonts w:ascii="Calibri" w:hAnsi="Calibri" w:cs="Calibri"/>
                <w:color w:val="000000"/>
                <w:sz w:val="18"/>
                <w:szCs w:val="18"/>
              </w:rPr>
              <w:t xml:space="preserve">9 </w:t>
            </w:r>
          </w:p>
        </w:tc>
      </w:tr>
      <w:tr w:rsidR="00235F50" w14:paraId="05995683" w14:textId="77777777" w:rsidTr="00235F50">
        <w:trPr>
          <w:trHeight w:val="216"/>
        </w:trPr>
        <w:tc>
          <w:tcPr>
            <w:tcW w:w="1985" w:type="dxa"/>
            <w:tcBorders>
              <w:top w:val="nil"/>
              <w:left w:val="nil"/>
              <w:bottom w:val="single" w:sz="4" w:space="0" w:color="FFFFFF"/>
              <w:right w:val="single" w:sz="4" w:space="0" w:color="FFFFFF"/>
            </w:tcBorders>
            <w:shd w:val="clear" w:color="000000" w:fill="D9E1F2"/>
            <w:vAlign w:val="center"/>
            <w:hideMark/>
          </w:tcPr>
          <w:p w14:paraId="703D852F" w14:textId="77777777" w:rsidR="00235F50" w:rsidRDefault="00235F50" w:rsidP="00235F50">
            <w:pPr>
              <w:rPr>
                <w:rFonts w:ascii="Calibri" w:hAnsi="Calibri" w:cs="Calibri"/>
                <w:color w:val="000000"/>
                <w:sz w:val="18"/>
                <w:szCs w:val="18"/>
              </w:rPr>
            </w:pPr>
            <w:r>
              <w:rPr>
                <w:rFonts w:ascii="Calibri" w:hAnsi="Calibri" w:cs="Calibri"/>
                <w:color w:val="000000"/>
                <w:sz w:val="18"/>
                <w:szCs w:val="18"/>
              </w:rPr>
              <w:t>Trabalhadores</w:t>
            </w:r>
          </w:p>
        </w:tc>
        <w:tc>
          <w:tcPr>
            <w:tcW w:w="874" w:type="dxa"/>
            <w:tcBorders>
              <w:top w:val="nil"/>
              <w:left w:val="nil"/>
              <w:bottom w:val="single" w:sz="4" w:space="0" w:color="FFFFFF"/>
              <w:right w:val="single" w:sz="4" w:space="0" w:color="FFFFFF"/>
            </w:tcBorders>
            <w:shd w:val="clear" w:color="000000" w:fill="D9E1F2"/>
            <w:noWrap/>
            <w:vAlign w:val="center"/>
            <w:hideMark/>
          </w:tcPr>
          <w:p w14:paraId="032B5191" w14:textId="086D7022" w:rsidR="00235F50" w:rsidRDefault="00235F50" w:rsidP="00235F50">
            <w:pPr>
              <w:jc w:val="right"/>
              <w:rPr>
                <w:rFonts w:ascii="Calibri" w:hAnsi="Calibri" w:cs="Calibri"/>
                <w:color w:val="000000"/>
                <w:sz w:val="18"/>
                <w:szCs w:val="18"/>
              </w:rPr>
            </w:pPr>
            <w:r>
              <w:rPr>
                <w:rFonts w:ascii="Calibri" w:hAnsi="Calibri" w:cs="Calibri"/>
                <w:color w:val="000000"/>
                <w:sz w:val="18"/>
                <w:szCs w:val="18"/>
              </w:rPr>
              <w:t xml:space="preserve">70 </w:t>
            </w:r>
          </w:p>
        </w:tc>
        <w:tc>
          <w:tcPr>
            <w:tcW w:w="734" w:type="dxa"/>
            <w:gridSpan w:val="2"/>
            <w:tcBorders>
              <w:top w:val="nil"/>
              <w:left w:val="nil"/>
              <w:bottom w:val="single" w:sz="4" w:space="0" w:color="FFFFFF"/>
              <w:right w:val="single" w:sz="4" w:space="0" w:color="FFFFFF"/>
            </w:tcBorders>
            <w:shd w:val="clear" w:color="000000" w:fill="D9E1F2"/>
            <w:noWrap/>
            <w:vAlign w:val="center"/>
            <w:hideMark/>
          </w:tcPr>
          <w:p w14:paraId="2FE4D3F6" w14:textId="4E993366" w:rsidR="00235F50" w:rsidRDefault="00235F50" w:rsidP="00235F50">
            <w:pPr>
              <w:jc w:val="right"/>
              <w:rPr>
                <w:rFonts w:ascii="Calibri" w:hAnsi="Calibri" w:cs="Calibri"/>
                <w:color w:val="000000"/>
                <w:sz w:val="18"/>
                <w:szCs w:val="18"/>
              </w:rPr>
            </w:pPr>
            <w:r>
              <w:rPr>
                <w:rFonts w:ascii="Calibri" w:hAnsi="Calibri" w:cs="Calibri"/>
                <w:color w:val="000000"/>
                <w:sz w:val="18"/>
                <w:szCs w:val="18"/>
              </w:rPr>
              <w:t>(1)</w:t>
            </w:r>
          </w:p>
        </w:tc>
        <w:tc>
          <w:tcPr>
            <w:tcW w:w="993" w:type="dxa"/>
            <w:gridSpan w:val="2"/>
            <w:tcBorders>
              <w:top w:val="nil"/>
              <w:left w:val="nil"/>
              <w:bottom w:val="single" w:sz="4" w:space="0" w:color="FFFFFF"/>
              <w:right w:val="single" w:sz="4" w:space="0" w:color="FFFFFF"/>
            </w:tcBorders>
            <w:shd w:val="clear" w:color="000000" w:fill="D9E1F2"/>
            <w:noWrap/>
            <w:vAlign w:val="center"/>
            <w:hideMark/>
          </w:tcPr>
          <w:p w14:paraId="78A44541" w14:textId="77777777" w:rsidR="00235F50" w:rsidRDefault="00235F50" w:rsidP="00235F50">
            <w:pPr>
              <w:rPr>
                <w:rFonts w:ascii="Calibri" w:hAnsi="Calibri" w:cs="Calibri"/>
                <w:color w:val="000000"/>
                <w:sz w:val="18"/>
                <w:szCs w:val="18"/>
              </w:rPr>
            </w:pPr>
            <w:r>
              <w:rPr>
                <w:rFonts w:ascii="Calibri" w:hAnsi="Calibri" w:cs="Calibri"/>
                <w:color w:val="000000"/>
                <w:sz w:val="18"/>
                <w:szCs w:val="18"/>
              </w:rPr>
              <w:t> </w:t>
            </w:r>
          </w:p>
        </w:tc>
        <w:tc>
          <w:tcPr>
            <w:tcW w:w="850" w:type="dxa"/>
            <w:gridSpan w:val="2"/>
            <w:tcBorders>
              <w:top w:val="nil"/>
              <w:left w:val="nil"/>
              <w:bottom w:val="single" w:sz="4" w:space="0" w:color="FFFFFF"/>
              <w:right w:val="single" w:sz="4" w:space="0" w:color="FFFFFF"/>
            </w:tcBorders>
            <w:shd w:val="clear" w:color="000000" w:fill="D9E1F2"/>
            <w:noWrap/>
            <w:vAlign w:val="center"/>
            <w:hideMark/>
          </w:tcPr>
          <w:p w14:paraId="5101CAFE" w14:textId="77777777" w:rsidR="00235F50" w:rsidRDefault="00235F50" w:rsidP="00235F50">
            <w:pPr>
              <w:rPr>
                <w:rFonts w:ascii="Calibri" w:hAnsi="Calibri" w:cs="Calibri"/>
                <w:color w:val="000000"/>
                <w:sz w:val="18"/>
                <w:szCs w:val="18"/>
              </w:rPr>
            </w:pPr>
            <w:r>
              <w:rPr>
                <w:rFonts w:ascii="Calibri" w:hAnsi="Calibri" w:cs="Calibri"/>
                <w:color w:val="000000"/>
                <w:sz w:val="18"/>
                <w:szCs w:val="18"/>
              </w:rPr>
              <w:t> </w:t>
            </w:r>
          </w:p>
        </w:tc>
        <w:tc>
          <w:tcPr>
            <w:tcW w:w="801" w:type="dxa"/>
            <w:tcBorders>
              <w:top w:val="nil"/>
              <w:left w:val="nil"/>
              <w:bottom w:val="single" w:sz="4" w:space="0" w:color="FFFFFF"/>
              <w:right w:val="single" w:sz="4" w:space="0" w:color="FFFFFF"/>
            </w:tcBorders>
            <w:shd w:val="clear" w:color="000000" w:fill="D9E1F2"/>
            <w:noWrap/>
            <w:vAlign w:val="center"/>
            <w:hideMark/>
          </w:tcPr>
          <w:p w14:paraId="4CD56031" w14:textId="77777777" w:rsidR="00235F50" w:rsidRDefault="00235F50" w:rsidP="00235F50">
            <w:pPr>
              <w:rPr>
                <w:rFonts w:ascii="Calibri" w:hAnsi="Calibri" w:cs="Calibri"/>
                <w:color w:val="000000"/>
                <w:sz w:val="18"/>
                <w:szCs w:val="18"/>
              </w:rPr>
            </w:pPr>
            <w:r>
              <w:rPr>
                <w:rFonts w:ascii="Calibri" w:hAnsi="Calibri" w:cs="Calibri"/>
                <w:color w:val="000000"/>
                <w:sz w:val="18"/>
                <w:szCs w:val="18"/>
              </w:rPr>
              <w:t> </w:t>
            </w:r>
          </w:p>
        </w:tc>
        <w:tc>
          <w:tcPr>
            <w:tcW w:w="1134" w:type="dxa"/>
            <w:gridSpan w:val="3"/>
            <w:tcBorders>
              <w:top w:val="nil"/>
              <w:left w:val="nil"/>
              <w:bottom w:val="single" w:sz="4" w:space="0" w:color="FFFFFF"/>
              <w:right w:val="single" w:sz="4" w:space="0" w:color="FFFFFF"/>
            </w:tcBorders>
            <w:shd w:val="clear" w:color="000000" w:fill="D9E1F2"/>
            <w:noWrap/>
            <w:vAlign w:val="center"/>
            <w:hideMark/>
          </w:tcPr>
          <w:p w14:paraId="30D8238D" w14:textId="77777777" w:rsidR="00235F50" w:rsidRDefault="00235F50" w:rsidP="00235F50">
            <w:pPr>
              <w:rPr>
                <w:rFonts w:ascii="Calibri" w:hAnsi="Calibri" w:cs="Calibri"/>
                <w:color w:val="000000"/>
                <w:sz w:val="18"/>
                <w:szCs w:val="18"/>
              </w:rPr>
            </w:pPr>
            <w:r>
              <w:rPr>
                <w:rFonts w:ascii="Calibri" w:hAnsi="Calibri" w:cs="Calibri"/>
                <w:color w:val="000000"/>
                <w:sz w:val="18"/>
                <w:szCs w:val="18"/>
              </w:rPr>
              <w:t> </w:t>
            </w:r>
          </w:p>
        </w:tc>
        <w:tc>
          <w:tcPr>
            <w:tcW w:w="993" w:type="dxa"/>
            <w:gridSpan w:val="2"/>
            <w:tcBorders>
              <w:top w:val="nil"/>
              <w:left w:val="nil"/>
              <w:bottom w:val="single" w:sz="4" w:space="0" w:color="FFFFFF"/>
              <w:right w:val="single" w:sz="4" w:space="0" w:color="FFFFFF"/>
            </w:tcBorders>
            <w:shd w:val="clear" w:color="000000" w:fill="D9E1F2"/>
            <w:noWrap/>
            <w:vAlign w:val="center"/>
            <w:hideMark/>
          </w:tcPr>
          <w:p w14:paraId="6ED89357" w14:textId="632139FF" w:rsidR="00235F50" w:rsidRPr="00B234B9" w:rsidRDefault="00235F50" w:rsidP="00235F50">
            <w:pPr>
              <w:jc w:val="right"/>
              <w:rPr>
                <w:rFonts w:ascii="Calibri" w:hAnsi="Calibri" w:cs="Calibri"/>
                <w:color w:val="000000"/>
                <w:sz w:val="18"/>
                <w:szCs w:val="18"/>
              </w:rPr>
            </w:pPr>
            <w:r w:rsidRPr="00B234B9">
              <w:rPr>
                <w:rFonts w:ascii="Calibri" w:hAnsi="Calibri" w:cs="Calibri"/>
                <w:color w:val="000000"/>
                <w:sz w:val="18"/>
                <w:szCs w:val="18"/>
              </w:rPr>
              <w:t xml:space="preserve">69 </w:t>
            </w:r>
          </w:p>
        </w:tc>
      </w:tr>
      <w:tr w:rsidR="00235F50" w14:paraId="65CCF6E1" w14:textId="77777777" w:rsidTr="00235F50">
        <w:trPr>
          <w:trHeight w:val="216"/>
        </w:trPr>
        <w:tc>
          <w:tcPr>
            <w:tcW w:w="1985" w:type="dxa"/>
            <w:tcBorders>
              <w:top w:val="nil"/>
              <w:left w:val="single" w:sz="4" w:space="0" w:color="FFFFFF"/>
              <w:bottom w:val="single" w:sz="4" w:space="0" w:color="FFFFFF"/>
              <w:right w:val="single" w:sz="4" w:space="0" w:color="FFFFFF"/>
            </w:tcBorders>
            <w:shd w:val="clear" w:color="000000" w:fill="D9E1F2"/>
            <w:vAlign w:val="center"/>
            <w:hideMark/>
          </w:tcPr>
          <w:p w14:paraId="66989443" w14:textId="77777777" w:rsidR="00235F50" w:rsidRDefault="00235F50" w:rsidP="00235F50">
            <w:pPr>
              <w:rPr>
                <w:rFonts w:ascii="Calibri" w:hAnsi="Calibri" w:cs="Calibri"/>
                <w:color w:val="000000"/>
                <w:sz w:val="18"/>
                <w:szCs w:val="18"/>
              </w:rPr>
            </w:pPr>
            <w:r>
              <w:rPr>
                <w:rFonts w:ascii="Calibri" w:hAnsi="Calibri" w:cs="Calibri"/>
                <w:color w:val="000000"/>
                <w:sz w:val="18"/>
                <w:szCs w:val="18"/>
              </w:rPr>
              <w:t>Total (</w:t>
            </w:r>
            <w:proofErr w:type="spellStart"/>
            <w:r>
              <w:rPr>
                <w:rFonts w:ascii="Calibri" w:hAnsi="Calibri" w:cs="Calibri"/>
                <w:color w:val="000000"/>
                <w:sz w:val="18"/>
                <w:szCs w:val="18"/>
              </w:rPr>
              <w:t>OS+CD+Trabalhadores</w:t>
            </w:r>
            <w:proofErr w:type="spellEnd"/>
            <w:r>
              <w:rPr>
                <w:rFonts w:ascii="Calibri" w:hAnsi="Calibri" w:cs="Calibri"/>
                <w:color w:val="000000"/>
                <w:sz w:val="18"/>
                <w:szCs w:val="18"/>
              </w:rPr>
              <w:t>)</w:t>
            </w:r>
          </w:p>
        </w:tc>
        <w:tc>
          <w:tcPr>
            <w:tcW w:w="874" w:type="dxa"/>
            <w:tcBorders>
              <w:top w:val="nil"/>
              <w:left w:val="nil"/>
              <w:bottom w:val="single" w:sz="4" w:space="0" w:color="FFFFFF"/>
              <w:right w:val="single" w:sz="4" w:space="0" w:color="FFFFFF"/>
            </w:tcBorders>
            <w:shd w:val="clear" w:color="000000" w:fill="D9E1F2"/>
            <w:noWrap/>
            <w:vAlign w:val="center"/>
            <w:hideMark/>
          </w:tcPr>
          <w:p w14:paraId="067CC2C8" w14:textId="42904940" w:rsidR="00235F50" w:rsidRDefault="00235F50" w:rsidP="00235F50">
            <w:pPr>
              <w:jc w:val="right"/>
              <w:rPr>
                <w:rFonts w:ascii="Calibri" w:hAnsi="Calibri" w:cs="Calibri"/>
                <w:color w:val="000000"/>
                <w:sz w:val="18"/>
                <w:szCs w:val="18"/>
              </w:rPr>
            </w:pPr>
            <w:r>
              <w:rPr>
                <w:rFonts w:ascii="Calibri" w:hAnsi="Calibri" w:cs="Calibri"/>
                <w:color w:val="000000"/>
                <w:sz w:val="18"/>
                <w:szCs w:val="18"/>
              </w:rPr>
              <w:t>8</w:t>
            </w:r>
            <w:r w:rsidR="00B234B9">
              <w:rPr>
                <w:rFonts w:ascii="Calibri" w:hAnsi="Calibri" w:cs="Calibri"/>
                <w:color w:val="000000"/>
                <w:sz w:val="18"/>
                <w:szCs w:val="18"/>
              </w:rPr>
              <w:t>8</w:t>
            </w:r>
            <w:r>
              <w:rPr>
                <w:rFonts w:ascii="Calibri" w:hAnsi="Calibri" w:cs="Calibri"/>
                <w:color w:val="000000"/>
                <w:sz w:val="18"/>
                <w:szCs w:val="18"/>
              </w:rPr>
              <w:t xml:space="preserve"> </w:t>
            </w:r>
          </w:p>
        </w:tc>
        <w:tc>
          <w:tcPr>
            <w:tcW w:w="734" w:type="dxa"/>
            <w:gridSpan w:val="2"/>
            <w:tcBorders>
              <w:top w:val="nil"/>
              <w:left w:val="nil"/>
              <w:bottom w:val="single" w:sz="4" w:space="0" w:color="FFFFFF"/>
              <w:right w:val="single" w:sz="4" w:space="0" w:color="FFFFFF"/>
            </w:tcBorders>
            <w:shd w:val="clear" w:color="000000" w:fill="D9E1F2"/>
            <w:noWrap/>
            <w:vAlign w:val="center"/>
            <w:hideMark/>
          </w:tcPr>
          <w:p w14:paraId="7B493078" w14:textId="1346E0A1" w:rsidR="00235F50" w:rsidRDefault="00235F50" w:rsidP="00235F50">
            <w:pPr>
              <w:jc w:val="right"/>
              <w:rPr>
                <w:rFonts w:ascii="Calibri" w:hAnsi="Calibri" w:cs="Calibri"/>
                <w:color w:val="000000"/>
                <w:sz w:val="18"/>
                <w:szCs w:val="18"/>
              </w:rPr>
            </w:pPr>
            <w:r>
              <w:rPr>
                <w:rFonts w:ascii="Calibri" w:hAnsi="Calibri" w:cs="Calibri"/>
                <w:color w:val="000000"/>
                <w:sz w:val="18"/>
                <w:szCs w:val="18"/>
              </w:rPr>
              <w:t>(</w:t>
            </w:r>
            <w:r w:rsidR="00B234B9">
              <w:rPr>
                <w:rFonts w:ascii="Calibri" w:hAnsi="Calibri" w:cs="Calibri"/>
                <w:color w:val="000000"/>
                <w:sz w:val="18"/>
                <w:szCs w:val="18"/>
              </w:rPr>
              <w:t>1</w:t>
            </w:r>
            <w:r>
              <w:rPr>
                <w:rFonts w:ascii="Calibri" w:hAnsi="Calibri" w:cs="Calibri"/>
                <w:color w:val="000000"/>
                <w:sz w:val="18"/>
                <w:szCs w:val="18"/>
              </w:rPr>
              <w:t>)</w:t>
            </w:r>
          </w:p>
        </w:tc>
        <w:tc>
          <w:tcPr>
            <w:tcW w:w="993" w:type="dxa"/>
            <w:gridSpan w:val="2"/>
            <w:tcBorders>
              <w:top w:val="nil"/>
              <w:left w:val="nil"/>
              <w:bottom w:val="single" w:sz="4" w:space="0" w:color="FFFFFF"/>
              <w:right w:val="single" w:sz="4" w:space="0" w:color="FFFFFF"/>
            </w:tcBorders>
            <w:shd w:val="clear" w:color="000000" w:fill="D9E1F2"/>
            <w:noWrap/>
            <w:vAlign w:val="center"/>
            <w:hideMark/>
          </w:tcPr>
          <w:p w14:paraId="41D5662D" w14:textId="77777777" w:rsidR="00235F50" w:rsidRDefault="00235F50" w:rsidP="00235F50">
            <w:pPr>
              <w:jc w:val="right"/>
              <w:rPr>
                <w:rFonts w:ascii="Calibri" w:hAnsi="Calibri" w:cs="Calibri"/>
                <w:color w:val="000000"/>
                <w:sz w:val="18"/>
                <w:szCs w:val="18"/>
              </w:rPr>
            </w:pPr>
            <w:r>
              <w:rPr>
                <w:rFonts w:ascii="Calibri" w:hAnsi="Calibri" w:cs="Calibri"/>
                <w:color w:val="000000"/>
                <w:sz w:val="18"/>
                <w:szCs w:val="18"/>
              </w:rPr>
              <w:t xml:space="preserve">- </w:t>
            </w:r>
          </w:p>
        </w:tc>
        <w:tc>
          <w:tcPr>
            <w:tcW w:w="850" w:type="dxa"/>
            <w:gridSpan w:val="2"/>
            <w:tcBorders>
              <w:top w:val="nil"/>
              <w:left w:val="nil"/>
              <w:bottom w:val="single" w:sz="4" w:space="0" w:color="FFFFFF"/>
              <w:right w:val="single" w:sz="4" w:space="0" w:color="FFFFFF"/>
            </w:tcBorders>
            <w:shd w:val="clear" w:color="000000" w:fill="D9E1F2"/>
            <w:noWrap/>
            <w:vAlign w:val="center"/>
            <w:hideMark/>
          </w:tcPr>
          <w:p w14:paraId="32BDAC7B" w14:textId="21EAD701" w:rsidR="00235F50" w:rsidRDefault="00B234B9" w:rsidP="00235F50">
            <w:pPr>
              <w:jc w:val="right"/>
              <w:rPr>
                <w:rFonts w:ascii="Calibri" w:hAnsi="Calibri" w:cs="Calibri"/>
                <w:color w:val="000000"/>
                <w:sz w:val="18"/>
                <w:szCs w:val="18"/>
              </w:rPr>
            </w:pPr>
            <w:r>
              <w:rPr>
                <w:rFonts w:ascii="Calibri" w:hAnsi="Calibri" w:cs="Calibri"/>
                <w:color w:val="000000"/>
                <w:sz w:val="18"/>
                <w:szCs w:val="18"/>
              </w:rPr>
              <w:t>(1)</w:t>
            </w:r>
          </w:p>
        </w:tc>
        <w:tc>
          <w:tcPr>
            <w:tcW w:w="801" w:type="dxa"/>
            <w:tcBorders>
              <w:top w:val="nil"/>
              <w:left w:val="nil"/>
              <w:bottom w:val="single" w:sz="4" w:space="0" w:color="FFFFFF"/>
              <w:right w:val="single" w:sz="4" w:space="0" w:color="FFFFFF"/>
            </w:tcBorders>
            <w:shd w:val="clear" w:color="000000" w:fill="D9E1F2"/>
            <w:noWrap/>
            <w:vAlign w:val="center"/>
            <w:hideMark/>
          </w:tcPr>
          <w:p w14:paraId="318EC63F" w14:textId="77777777" w:rsidR="00235F50" w:rsidRDefault="00235F50" w:rsidP="00235F50">
            <w:pPr>
              <w:jc w:val="right"/>
              <w:rPr>
                <w:rFonts w:ascii="Calibri" w:hAnsi="Calibri" w:cs="Calibri"/>
                <w:color w:val="000000"/>
                <w:sz w:val="18"/>
                <w:szCs w:val="18"/>
              </w:rPr>
            </w:pPr>
            <w:r>
              <w:rPr>
                <w:rFonts w:ascii="Calibri" w:hAnsi="Calibri" w:cs="Calibri"/>
                <w:color w:val="000000"/>
                <w:sz w:val="18"/>
                <w:szCs w:val="18"/>
              </w:rPr>
              <w:t xml:space="preserve">- </w:t>
            </w:r>
          </w:p>
        </w:tc>
        <w:tc>
          <w:tcPr>
            <w:tcW w:w="1134" w:type="dxa"/>
            <w:gridSpan w:val="3"/>
            <w:tcBorders>
              <w:top w:val="nil"/>
              <w:left w:val="nil"/>
              <w:bottom w:val="single" w:sz="4" w:space="0" w:color="FFFFFF"/>
              <w:right w:val="single" w:sz="4" w:space="0" w:color="FFFFFF"/>
            </w:tcBorders>
            <w:shd w:val="clear" w:color="000000" w:fill="D9E1F2"/>
            <w:noWrap/>
            <w:vAlign w:val="center"/>
            <w:hideMark/>
          </w:tcPr>
          <w:p w14:paraId="4D583760" w14:textId="77777777" w:rsidR="00235F50" w:rsidRDefault="00235F50" w:rsidP="00235F50">
            <w:pPr>
              <w:jc w:val="right"/>
              <w:rPr>
                <w:rFonts w:ascii="Calibri" w:hAnsi="Calibri" w:cs="Calibri"/>
                <w:color w:val="000000"/>
                <w:sz w:val="18"/>
                <w:szCs w:val="18"/>
              </w:rPr>
            </w:pPr>
            <w:r>
              <w:rPr>
                <w:rFonts w:ascii="Calibri" w:hAnsi="Calibri" w:cs="Calibri"/>
                <w:color w:val="000000"/>
                <w:sz w:val="18"/>
                <w:szCs w:val="18"/>
              </w:rPr>
              <w:t xml:space="preserve">- </w:t>
            </w:r>
          </w:p>
        </w:tc>
        <w:tc>
          <w:tcPr>
            <w:tcW w:w="993" w:type="dxa"/>
            <w:gridSpan w:val="2"/>
            <w:tcBorders>
              <w:top w:val="nil"/>
              <w:left w:val="nil"/>
              <w:bottom w:val="single" w:sz="4" w:space="0" w:color="FFFFFF"/>
              <w:right w:val="single" w:sz="4" w:space="0" w:color="FFFFFF"/>
            </w:tcBorders>
            <w:shd w:val="clear" w:color="000000" w:fill="D9E1F2"/>
            <w:noWrap/>
            <w:vAlign w:val="center"/>
            <w:hideMark/>
          </w:tcPr>
          <w:p w14:paraId="4C514B92" w14:textId="087BF2E6" w:rsidR="00235F50" w:rsidRDefault="00235F50" w:rsidP="00235F50">
            <w:pPr>
              <w:jc w:val="right"/>
              <w:rPr>
                <w:rFonts w:ascii="Calibri" w:hAnsi="Calibri" w:cs="Calibri"/>
                <w:color w:val="000000"/>
                <w:sz w:val="18"/>
                <w:szCs w:val="18"/>
              </w:rPr>
            </w:pPr>
            <w:r>
              <w:rPr>
                <w:rFonts w:ascii="Calibri" w:hAnsi="Calibri" w:cs="Calibri"/>
                <w:color w:val="000000"/>
                <w:sz w:val="18"/>
                <w:szCs w:val="18"/>
              </w:rPr>
              <w:t>8</w:t>
            </w:r>
            <w:r w:rsidR="00B234B9">
              <w:rPr>
                <w:rFonts w:ascii="Calibri" w:hAnsi="Calibri" w:cs="Calibri"/>
                <w:color w:val="000000"/>
                <w:sz w:val="18"/>
                <w:szCs w:val="18"/>
              </w:rPr>
              <w:t>6</w:t>
            </w:r>
            <w:r>
              <w:rPr>
                <w:rFonts w:ascii="Calibri" w:hAnsi="Calibri" w:cs="Calibri"/>
                <w:color w:val="000000"/>
                <w:sz w:val="18"/>
                <w:szCs w:val="18"/>
              </w:rPr>
              <w:t xml:space="preserve"> </w:t>
            </w:r>
          </w:p>
        </w:tc>
      </w:tr>
      <w:tr w:rsidR="00235F50" w14:paraId="1ED537BE" w14:textId="77777777" w:rsidTr="00235F50">
        <w:trPr>
          <w:trHeight w:val="216"/>
        </w:trPr>
        <w:tc>
          <w:tcPr>
            <w:tcW w:w="1985" w:type="dxa"/>
            <w:tcBorders>
              <w:top w:val="nil"/>
              <w:left w:val="single" w:sz="4" w:space="0" w:color="FFFFFF"/>
              <w:bottom w:val="single" w:sz="4" w:space="0" w:color="FFFFFF"/>
              <w:right w:val="single" w:sz="4" w:space="0" w:color="FFFFFF"/>
            </w:tcBorders>
            <w:shd w:val="clear" w:color="000000" w:fill="D9E1F2"/>
            <w:vAlign w:val="center"/>
            <w:hideMark/>
          </w:tcPr>
          <w:p w14:paraId="03280396" w14:textId="77777777" w:rsidR="00235F50" w:rsidRDefault="00235F50" w:rsidP="00235F50">
            <w:pPr>
              <w:rPr>
                <w:rFonts w:ascii="Calibri" w:hAnsi="Calibri" w:cs="Calibri"/>
                <w:sz w:val="18"/>
                <w:szCs w:val="18"/>
              </w:rPr>
            </w:pPr>
            <w:r>
              <w:rPr>
                <w:rFonts w:ascii="Calibri" w:hAnsi="Calibri" w:cs="Calibri"/>
                <w:sz w:val="18"/>
                <w:szCs w:val="18"/>
              </w:rPr>
              <w:t>Impacto nos gastos com pessoal</w:t>
            </w:r>
          </w:p>
        </w:tc>
        <w:tc>
          <w:tcPr>
            <w:tcW w:w="874" w:type="dxa"/>
            <w:tcBorders>
              <w:top w:val="nil"/>
              <w:left w:val="nil"/>
              <w:bottom w:val="single" w:sz="4" w:space="0" w:color="FFFFFF"/>
              <w:right w:val="single" w:sz="4" w:space="0" w:color="FFFFFF"/>
            </w:tcBorders>
            <w:shd w:val="clear" w:color="000000" w:fill="D9E1F2"/>
            <w:noWrap/>
            <w:vAlign w:val="center"/>
            <w:hideMark/>
          </w:tcPr>
          <w:p w14:paraId="311E4FE9" w14:textId="77777777" w:rsidR="00235F50" w:rsidRDefault="00235F50" w:rsidP="00235F50">
            <w:pPr>
              <w:rPr>
                <w:rFonts w:ascii="Calibri" w:hAnsi="Calibri" w:cs="Calibri"/>
                <w:color w:val="000000"/>
                <w:sz w:val="18"/>
                <w:szCs w:val="18"/>
              </w:rPr>
            </w:pPr>
            <w:r>
              <w:rPr>
                <w:rFonts w:ascii="Calibri" w:hAnsi="Calibri" w:cs="Calibri"/>
                <w:color w:val="000000"/>
                <w:sz w:val="18"/>
                <w:szCs w:val="18"/>
              </w:rPr>
              <w:t> </w:t>
            </w:r>
          </w:p>
        </w:tc>
        <w:tc>
          <w:tcPr>
            <w:tcW w:w="734" w:type="dxa"/>
            <w:gridSpan w:val="2"/>
            <w:tcBorders>
              <w:top w:val="nil"/>
              <w:left w:val="nil"/>
              <w:bottom w:val="single" w:sz="4" w:space="0" w:color="FFFFFF"/>
              <w:right w:val="single" w:sz="4" w:space="0" w:color="FFFFFF"/>
            </w:tcBorders>
            <w:shd w:val="clear" w:color="000000" w:fill="D9E1F2"/>
            <w:noWrap/>
            <w:vAlign w:val="center"/>
            <w:hideMark/>
          </w:tcPr>
          <w:p w14:paraId="72EC5CE2" w14:textId="77777777" w:rsidR="00235F50" w:rsidRDefault="00235F50" w:rsidP="00235F50">
            <w:pPr>
              <w:rPr>
                <w:rFonts w:ascii="Calibri" w:hAnsi="Calibri" w:cs="Calibri"/>
                <w:color w:val="000000"/>
                <w:sz w:val="18"/>
                <w:szCs w:val="18"/>
              </w:rPr>
            </w:pPr>
            <w:r>
              <w:rPr>
                <w:rFonts w:ascii="Calibri" w:hAnsi="Calibri" w:cs="Calibri"/>
                <w:color w:val="000000"/>
                <w:sz w:val="18"/>
                <w:szCs w:val="18"/>
              </w:rPr>
              <w:t> </w:t>
            </w:r>
          </w:p>
        </w:tc>
        <w:tc>
          <w:tcPr>
            <w:tcW w:w="993" w:type="dxa"/>
            <w:gridSpan w:val="2"/>
            <w:tcBorders>
              <w:top w:val="nil"/>
              <w:left w:val="nil"/>
              <w:bottom w:val="single" w:sz="4" w:space="0" w:color="FFFFFF"/>
              <w:right w:val="single" w:sz="4" w:space="0" w:color="FFFFFF"/>
            </w:tcBorders>
            <w:shd w:val="clear" w:color="000000" w:fill="D9E1F2"/>
            <w:noWrap/>
            <w:vAlign w:val="center"/>
            <w:hideMark/>
          </w:tcPr>
          <w:p w14:paraId="70B446A1" w14:textId="77777777" w:rsidR="00235F50" w:rsidRDefault="00235F50" w:rsidP="00235F50">
            <w:pPr>
              <w:rPr>
                <w:rFonts w:ascii="Calibri" w:hAnsi="Calibri" w:cs="Calibri"/>
                <w:color w:val="000000"/>
                <w:sz w:val="18"/>
                <w:szCs w:val="18"/>
              </w:rPr>
            </w:pPr>
            <w:r>
              <w:rPr>
                <w:rFonts w:ascii="Calibri" w:hAnsi="Calibri" w:cs="Calibri"/>
                <w:color w:val="000000"/>
                <w:sz w:val="18"/>
                <w:szCs w:val="18"/>
              </w:rPr>
              <w:t> </w:t>
            </w:r>
          </w:p>
        </w:tc>
        <w:tc>
          <w:tcPr>
            <w:tcW w:w="850" w:type="dxa"/>
            <w:gridSpan w:val="2"/>
            <w:tcBorders>
              <w:top w:val="nil"/>
              <w:left w:val="nil"/>
              <w:bottom w:val="single" w:sz="4" w:space="0" w:color="FFFFFF"/>
              <w:right w:val="single" w:sz="4" w:space="0" w:color="FFFFFF"/>
            </w:tcBorders>
            <w:shd w:val="clear" w:color="000000" w:fill="D9E1F2"/>
            <w:noWrap/>
            <w:vAlign w:val="center"/>
            <w:hideMark/>
          </w:tcPr>
          <w:p w14:paraId="4F068A7E" w14:textId="77777777" w:rsidR="00235F50" w:rsidRDefault="00235F50" w:rsidP="00235F50">
            <w:pPr>
              <w:rPr>
                <w:rFonts w:ascii="Calibri" w:hAnsi="Calibri" w:cs="Calibri"/>
                <w:color w:val="000000"/>
                <w:sz w:val="18"/>
                <w:szCs w:val="18"/>
              </w:rPr>
            </w:pPr>
            <w:r>
              <w:rPr>
                <w:rFonts w:ascii="Calibri" w:hAnsi="Calibri" w:cs="Calibri"/>
                <w:color w:val="000000"/>
                <w:sz w:val="18"/>
                <w:szCs w:val="18"/>
              </w:rPr>
              <w:t> </w:t>
            </w:r>
          </w:p>
        </w:tc>
        <w:tc>
          <w:tcPr>
            <w:tcW w:w="801" w:type="dxa"/>
            <w:tcBorders>
              <w:top w:val="nil"/>
              <w:left w:val="nil"/>
              <w:bottom w:val="single" w:sz="4" w:space="0" w:color="FFFFFF"/>
              <w:right w:val="single" w:sz="4" w:space="0" w:color="FFFFFF"/>
            </w:tcBorders>
            <w:shd w:val="clear" w:color="000000" w:fill="D9E1F2"/>
            <w:noWrap/>
            <w:vAlign w:val="center"/>
            <w:hideMark/>
          </w:tcPr>
          <w:p w14:paraId="48FBF54A" w14:textId="77777777" w:rsidR="00235F50" w:rsidRDefault="00235F50" w:rsidP="00235F50">
            <w:pPr>
              <w:rPr>
                <w:rFonts w:ascii="Calibri" w:hAnsi="Calibri" w:cs="Calibri"/>
                <w:color w:val="000000"/>
                <w:sz w:val="18"/>
                <w:szCs w:val="18"/>
              </w:rPr>
            </w:pPr>
            <w:r>
              <w:rPr>
                <w:rFonts w:ascii="Calibri" w:hAnsi="Calibri" w:cs="Calibri"/>
                <w:color w:val="000000"/>
                <w:sz w:val="18"/>
                <w:szCs w:val="18"/>
              </w:rPr>
              <w:t> </w:t>
            </w:r>
          </w:p>
        </w:tc>
        <w:tc>
          <w:tcPr>
            <w:tcW w:w="1134" w:type="dxa"/>
            <w:gridSpan w:val="3"/>
            <w:tcBorders>
              <w:top w:val="nil"/>
              <w:left w:val="nil"/>
              <w:bottom w:val="single" w:sz="4" w:space="0" w:color="FFFFFF"/>
              <w:right w:val="single" w:sz="4" w:space="0" w:color="FFFFFF"/>
            </w:tcBorders>
            <w:shd w:val="clear" w:color="000000" w:fill="D9E1F2"/>
            <w:noWrap/>
            <w:vAlign w:val="center"/>
            <w:hideMark/>
          </w:tcPr>
          <w:p w14:paraId="04FDF8D8" w14:textId="77777777" w:rsidR="00235F50" w:rsidRDefault="00235F50" w:rsidP="00235F50">
            <w:pPr>
              <w:rPr>
                <w:rFonts w:ascii="Calibri" w:hAnsi="Calibri" w:cs="Calibri"/>
                <w:color w:val="000000"/>
                <w:sz w:val="18"/>
                <w:szCs w:val="18"/>
              </w:rPr>
            </w:pPr>
            <w:r>
              <w:rPr>
                <w:rFonts w:ascii="Calibri" w:hAnsi="Calibri" w:cs="Calibri"/>
                <w:color w:val="000000"/>
                <w:sz w:val="18"/>
                <w:szCs w:val="18"/>
              </w:rPr>
              <w:t> </w:t>
            </w:r>
          </w:p>
        </w:tc>
        <w:tc>
          <w:tcPr>
            <w:tcW w:w="993" w:type="dxa"/>
            <w:gridSpan w:val="2"/>
            <w:tcBorders>
              <w:top w:val="nil"/>
              <w:left w:val="nil"/>
              <w:bottom w:val="single" w:sz="4" w:space="0" w:color="FFFFFF"/>
              <w:right w:val="single" w:sz="4" w:space="0" w:color="FFFFFF"/>
            </w:tcBorders>
            <w:shd w:val="clear" w:color="000000" w:fill="D9E1F2"/>
            <w:noWrap/>
            <w:vAlign w:val="center"/>
            <w:hideMark/>
          </w:tcPr>
          <w:p w14:paraId="1E402B98" w14:textId="77777777" w:rsidR="00235F50" w:rsidRDefault="00235F50" w:rsidP="00235F50">
            <w:pPr>
              <w:rPr>
                <w:rFonts w:ascii="Calibri" w:hAnsi="Calibri" w:cs="Calibri"/>
                <w:color w:val="000000"/>
                <w:sz w:val="18"/>
                <w:szCs w:val="18"/>
              </w:rPr>
            </w:pPr>
            <w:r>
              <w:rPr>
                <w:rFonts w:ascii="Calibri" w:hAnsi="Calibri" w:cs="Calibri"/>
                <w:color w:val="000000"/>
                <w:sz w:val="18"/>
                <w:szCs w:val="18"/>
              </w:rPr>
              <w:t> </w:t>
            </w:r>
          </w:p>
        </w:tc>
      </w:tr>
      <w:tr w:rsidR="00235F50" w14:paraId="1CA96D8A" w14:textId="77777777" w:rsidTr="00235F50">
        <w:trPr>
          <w:trHeight w:val="201"/>
        </w:trPr>
        <w:tc>
          <w:tcPr>
            <w:tcW w:w="7371" w:type="dxa"/>
            <w:gridSpan w:val="12"/>
            <w:tcBorders>
              <w:top w:val="nil"/>
              <w:left w:val="nil"/>
              <w:bottom w:val="nil"/>
              <w:right w:val="nil"/>
            </w:tcBorders>
            <w:shd w:val="clear" w:color="000000" w:fill="FFFFFF"/>
            <w:noWrap/>
            <w:vAlign w:val="bottom"/>
            <w:hideMark/>
          </w:tcPr>
          <w:p w14:paraId="74C83F79" w14:textId="77777777" w:rsidR="00235F50" w:rsidRDefault="00235F50" w:rsidP="00235F50">
            <w:pPr>
              <w:rPr>
                <w:sz w:val="20"/>
                <w:szCs w:val="20"/>
              </w:rPr>
            </w:pPr>
            <w:r>
              <w:rPr>
                <w:rFonts w:ascii="Calibri" w:hAnsi="Calibri" w:cs="Calibri"/>
                <w:color w:val="000000"/>
                <w:sz w:val="12"/>
                <w:szCs w:val="12"/>
              </w:rPr>
              <w:t>*) Indicar o Despacho autorizador.</w:t>
            </w:r>
          </w:p>
        </w:tc>
        <w:tc>
          <w:tcPr>
            <w:tcW w:w="993" w:type="dxa"/>
            <w:gridSpan w:val="2"/>
            <w:tcBorders>
              <w:top w:val="nil"/>
              <w:left w:val="nil"/>
              <w:bottom w:val="nil"/>
              <w:right w:val="nil"/>
            </w:tcBorders>
            <w:noWrap/>
            <w:vAlign w:val="bottom"/>
            <w:hideMark/>
          </w:tcPr>
          <w:p w14:paraId="413801CA" w14:textId="77777777" w:rsidR="00235F50" w:rsidRDefault="00235F50" w:rsidP="00235F50">
            <w:pPr>
              <w:rPr>
                <w:sz w:val="20"/>
                <w:szCs w:val="20"/>
              </w:rPr>
            </w:pPr>
          </w:p>
        </w:tc>
      </w:tr>
      <w:tr w:rsidR="00235F50" w14:paraId="0C8C4755" w14:textId="77777777" w:rsidTr="00235F50">
        <w:trPr>
          <w:trHeight w:val="201"/>
        </w:trPr>
        <w:tc>
          <w:tcPr>
            <w:tcW w:w="1985" w:type="dxa"/>
            <w:tcBorders>
              <w:top w:val="nil"/>
              <w:left w:val="nil"/>
              <w:bottom w:val="nil"/>
              <w:right w:val="nil"/>
            </w:tcBorders>
            <w:shd w:val="clear" w:color="000000" w:fill="FFFFFF"/>
            <w:noWrap/>
            <w:vAlign w:val="bottom"/>
            <w:hideMark/>
          </w:tcPr>
          <w:p w14:paraId="2ADC01BA" w14:textId="77777777" w:rsidR="00235F50" w:rsidRDefault="00235F50" w:rsidP="00235F50">
            <w:pPr>
              <w:rPr>
                <w:rFonts w:ascii="Calibri" w:hAnsi="Calibri" w:cs="Calibri"/>
                <w:color w:val="000000"/>
                <w:sz w:val="12"/>
                <w:szCs w:val="12"/>
              </w:rPr>
            </w:pPr>
            <w:r>
              <w:rPr>
                <w:rFonts w:ascii="Calibri" w:hAnsi="Calibri" w:cs="Calibri"/>
                <w:color w:val="000000"/>
                <w:sz w:val="12"/>
                <w:szCs w:val="12"/>
              </w:rPr>
              <w:t>**) Especificar</w:t>
            </w:r>
          </w:p>
        </w:tc>
        <w:tc>
          <w:tcPr>
            <w:tcW w:w="874" w:type="dxa"/>
            <w:tcBorders>
              <w:top w:val="nil"/>
              <w:left w:val="nil"/>
              <w:bottom w:val="nil"/>
              <w:right w:val="nil"/>
            </w:tcBorders>
            <w:noWrap/>
            <w:vAlign w:val="bottom"/>
            <w:hideMark/>
          </w:tcPr>
          <w:p w14:paraId="553B180F" w14:textId="77777777" w:rsidR="00235F50" w:rsidRDefault="00235F50" w:rsidP="00235F50">
            <w:pPr>
              <w:rPr>
                <w:rFonts w:ascii="Calibri" w:hAnsi="Calibri" w:cs="Calibri"/>
                <w:color w:val="000000"/>
                <w:sz w:val="12"/>
                <w:szCs w:val="12"/>
              </w:rPr>
            </w:pPr>
          </w:p>
        </w:tc>
        <w:tc>
          <w:tcPr>
            <w:tcW w:w="734" w:type="dxa"/>
            <w:gridSpan w:val="2"/>
            <w:tcBorders>
              <w:top w:val="nil"/>
              <w:left w:val="nil"/>
              <w:bottom w:val="nil"/>
              <w:right w:val="nil"/>
            </w:tcBorders>
            <w:noWrap/>
            <w:vAlign w:val="bottom"/>
            <w:hideMark/>
          </w:tcPr>
          <w:p w14:paraId="5716C8F8" w14:textId="77777777" w:rsidR="00235F50" w:rsidRDefault="00235F50" w:rsidP="00235F50">
            <w:pPr>
              <w:rPr>
                <w:sz w:val="20"/>
                <w:szCs w:val="20"/>
              </w:rPr>
            </w:pPr>
          </w:p>
        </w:tc>
        <w:tc>
          <w:tcPr>
            <w:tcW w:w="993" w:type="dxa"/>
            <w:gridSpan w:val="2"/>
            <w:tcBorders>
              <w:top w:val="nil"/>
              <w:left w:val="nil"/>
              <w:bottom w:val="nil"/>
              <w:right w:val="nil"/>
            </w:tcBorders>
            <w:noWrap/>
            <w:vAlign w:val="bottom"/>
            <w:hideMark/>
          </w:tcPr>
          <w:p w14:paraId="2028C3E9" w14:textId="77777777" w:rsidR="00235F50" w:rsidRDefault="00235F50" w:rsidP="00235F50">
            <w:pPr>
              <w:rPr>
                <w:sz w:val="20"/>
                <w:szCs w:val="20"/>
              </w:rPr>
            </w:pPr>
          </w:p>
        </w:tc>
        <w:tc>
          <w:tcPr>
            <w:tcW w:w="850" w:type="dxa"/>
            <w:gridSpan w:val="2"/>
            <w:tcBorders>
              <w:top w:val="nil"/>
              <w:left w:val="nil"/>
              <w:bottom w:val="nil"/>
              <w:right w:val="nil"/>
            </w:tcBorders>
            <w:noWrap/>
            <w:vAlign w:val="bottom"/>
            <w:hideMark/>
          </w:tcPr>
          <w:p w14:paraId="56F0981C" w14:textId="77777777" w:rsidR="00235F50" w:rsidRDefault="00235F50" w:rsidP="00235F50">
            <w:pPr>
              <w:rPr>
                <w:sz w:val="20"/>
                <w:szCs w:val="20"/>
              </w:rPr>
            </w:pPr>
          </w:p>
        </w:tc>
        <w:tc>
          <w:tcPr>
            <w:tcW w:w="801" w:type="dxa"/>
            <w:tcBorders>
              <w:top w:val="nil"/>
              <w:left w:val="nil"/>
              <w:bottom w:val="nil"/>
              <w:right w:val="nil"/>
            </w:tcBorders>
            <w:noWrap/>
            <w:vAlign w:val="bottom"/>
            <w:hideMark/>
          </w:tcPr>
          <w:p w14:paraId="67085B89" w14:textId="77777777" w:rsidR="00235F50" w:rsidRDefault="00235F50" w:rsidP="00235F50">
            <w:pPr>
              <w:rPr>
                <w:sz w:val="20"/>
                <w:szCs w:val="20"/>
              </w:rPr>
            </w:pPr>
          </w:p>
        </w:tc>
        <w:tc>
          <w:tcPr>
            <w:tcW w:w="1134" w:type="dxa"/>
            <w:gridSpan w:val="3"/>
            <w:tcBorders>
              <w:top w:val="nil"/>
              <w:left w:val="nil"/>
              <w:bottom w:val="nil"/>
              <w:right w:val="nil"/>
            </w:tcBorders>
            <w:noWrap/>
            <w:vAlign w:val="bottom"/>
            <w:hideMark/>
          </w:tcPr>
          <w:p w14:paraId="46AC9027" w14:textId="77777777" w:rsidR="00235F50" w:rsidRDefault="00235F50" w:rsidP="00235F50">
            <w:pPr>
              <w:rPr>
                <w:sz w:val="20"/>
                <w:szCs w:val="20"/>
              </w:rPr>
            </w:pPr>
          </w:p>
        </w:tc>
        <w:tc>
          <w:tcPr>
            <w:tcW w:w="993" w:type="dxa"/>
            <w:gridSpan w:val="2"/>
            <w:tcBorders>
              <w:top w:val="nil"/>
              <w:left w:val="nil"/>
              <w:bottom w:val="nil"/>
              <w:right w:val="nil"/>
            </w:tcBorders>
            <w:noWrap/>
            <w:vAlign w:val="bottom"/>
            <w:hideMark/>
          </w:tcPr>
          <w:p w14:paraId="65230BE5" w14:textId="77777777" w:rsidR="00235F50" w:rsidRDefault="00235F50" w:rsidP="00235F50">
            <w:pPr>
              <w:rPr>
                <w:sz w:val="20"/>
                <w:szCs w:val="20"/>
              </w:rPr>
            </w:pPr>
          </w:p>
        </w:tc>
      </w:tr>
    </w:tbl>
    <w:p w14:paraId="65585E69" w14:textId="77777777" w:rsidR="00235F50" w:rsidRDefault="00235F50" w:rsidP="00235F50">
      <w:pPr>
        <w:rPr>
          <w:rFonts w:asciiTheme="minorHAnsi" w:hAnsiTheme="minorHAnsi" w:cstheme="minorHAnsi"/>
          <w:bCs/>
          <w:sz w:val="22"/>
          <w:szCs w:val="22"/>
          <w:highlight w:val="yellow"/>
          <w:lang w:eastAsia="en-US"/>
        </w:rPr>
      </w:pPr>
    </w:p>
    <w:p w14:paraId="4E79401E" w14:textId="77777777" w:rsidR="007029D0" w:rsidRDefault="007029D0">
      <w:pPr>
        <w:rPr>
          <w:rFonts w:asciiTheme="minorHAnsi" w:hAnsiTheme="minorHAnsi" w:cstheme="minorHAnsi"/>
          <w:b/>
          <w:sz w:val="22"/>
          <w:szCs w:val="22"/>
          <w:lang w:eastAsia="en-US"/>
        </w:rPr>
      </w:pPr>
    </w:p>
    <w:tbl>
      <w:tblPr>
        <w:tblW w:w="8359" w:type="dxa"/>
        <w:tblLayout w:type="fixed"/>
        <w:tblCellMar>
          <w:left w:w="70" w:type="dxa"/>
          <w:right w:w="70" w:type="dxa"/>
        </w:tblCellMar>
        <w:tblLook w:val="04A0" w:firstRow="1" w:lastRow="0" w:firstColumn="1" w:lastColumn="0" w:noHBand="0" w:noVBand="1"/>
      </w:tblPr>
      <w:tblGrid>
        <w:gridCol w:w="3539"/>
        <w:gridCol w:w="1134"/>
        <w:gridCol w:w="992"/>
        <w:gridCol w:w="993"/>
        <w:gridCol w:w="850"/>
        <w:gridCol w:w="851"/>
      </w:tblGrid>
      <w:tr w:rsidR="007A2D6D" w14:paraId="52E2731B" w14:textId="77777777" w:rsidTr="00D17AF1">
        <w:trPr>
          <w:trHeight w:val="408"/>
          <w:tblHeader/>
        </w:trPr>
        <w:tc>
          <w:tcPr>
            <w:tcW w:w="3539" w:type="dxa"/>
            <w:vMerge w:val="restart"/>
            <w:tcBorders>
              <w:top w:val="single" w:sz="4" w:space="0" w:color="FFFFFF"/>
              <w:left w:val="single" w:sz="4" w:space="0" w:color="FFFFFF"/>
              <w:bottom w:val="single" w:sz="4" w:space="0" w:color="FFFFFF"/>
              <w:right w:val="single" w:sz="4" w:space="0" w:color="FFFFFF"/>
            </w:tcBorders>
            <w:shd w:val="clear" w:color="000000" w:fill="8EA9DB"/>
            <w:vAlign w:val="center"/>
            <w:hideMark/>
          </w:tcPr>
          <w:p w14:paraId="1F30BCCE" w14:textId="77777777" w:rsidR="007A2D6D" w:rsidRDefault="007A2D6D" w:rsidP="00F53A31">
            <w:pPr>
              <w:jc w:val="center"/>
              <w:rPr>
                <w:rFonts w:ascii="Calibri" w:hAnsi="Calibri" w:cs="Calibri"/>
                <w:b/>
                <w:bCs/>
                <w:color w:val="000000"/>
                <w:sz w:val="18"/>
                <w:szCs w:val="18"/>
              </w:rPr>
            </w:pPr>
            <w:r>
              <w:rPr>
                <w:rFonts w:ascii="Calibri" w:hAnsi="Calibri" w:cs="Calibri"/>
                <w:b/>
                <w:bCs/>
                <w:color w:val="000000"/>
                <w:sz w:val="18"/>
                <w:szCs w:val="18"/>
              </w:rPr>
              <w:t>PRC</w:t>
            </w:r>
          </w:p>
        </w:tc>
        <w:tc>
          <w:tcPr>
            <w:tcW w:w="1134" w:type="dxa"/>
            <w:vMerge w:val="restart"/>
            <w:tcBorders>
              <w:top w:val="single" w:sz="4" w:space="0" w:color="FFFFFF"/>
              <w:left w:val="single" w:sz="4" w:space="0" w:color="FFFFFF"/>
              <w:bottom w:val="single" w:sz="4" w:space="0" w:color="FFFFFF"/>
              <w:right w:val="single" w:sz="4" w:space="0" w:color="FFFFFF"/>
            </w:tcBorders>
            <w:shd w:val="clear" w:color="000000" w:fill="8EA9DB"/>
            <w:vAlign w:val="center"/>
            <w:hideMark/>
          </w:tcPr>
          <w:p w14:paraId="2BC7E80E" w14:textId="5A8106A0" w:rsidR="007A2D6D" w:rsidRDefault="007A2D6D" w:rsidP="00F53A31">
            <w:pPr>
              <w:jc w:val="center"/>
              <w:rPr>
                <w:rFonts w:ascii="Calibri" w:hAnsi="Calibri" w:cs="Calibri"/>
                <w:b/>
                <w:bCs/>
                <w:color w:val="000000"/>
                <w:sz w:val="18"/>
                <w:szCs w:val="18"/>
              </w:rPr>
            </w:pPr>
            <w:r>
              <w:rPr>
                <w:rFonts w:ascii="Calibri" w:hAnsi="Calibri" w:cs="Calibri"/>
                <w:b/>
                <w:bCs/>
                <w:color w:val="000000"/>
                <w:sz w:val="18"/>
                <w:szCs w:val="18"/>
              </w:rPr>
              <w:t>2025</w:t>
            </w:r>
            <w:r>
              <w:rPr>
                <w:rFonts w:ascii="Calibri" w:hAnsi="Calibri" w:cs="Calibri"/>
                <w:b/>
                <w:bCs/>
                <w:color w:val="000000"/>
                <w:sz w:val="18"/>
                <w:szCs w:val="18"/>
              </w:rPr>
              <w:br/>
            </w:r>
            <w:proofErr w:type="spellStart"/>
            <w:r>
              <w:rPr>
                <w:rFonts w:ascii="Calibri" w:hAnsi="Calibri" w:cs="Calibri"/>
                <w:b/>
                <w:bCs/>
                <w:color w:val="000000"/>
                <w:sz w:val="18"/>
                <w:szCs w:val="18"/>
              </w:rPr>
              <w:t>Exec</w:t>
            </w:r>
            <w:proofErr w:type="spellEnd"/>
            <w:r>
              <w:rPr>
                <w:rFonts w:ascii="Calibri" w:hAnsi="Calibri" w:cs="Calibri"/>
                <w:b/>
                <w:bCs/>
                <w:color w:val="000000"/>
                <w:sz w:val="18"/>
                <w:szCs w:val="18"/>
              </w:rPr>
              <w:t>.</w:t>
            </w:r>
          </w:p>
        </w:tc>
        <w:tc>
          <w:tcPr>
            <w:tcW w:w="992" w:type="dxa"/>
            <w:vMerge w:val="restart"/>
            <w:tcBorders>
              <w:top w:val="single" w:sz="4" w:space="0" w:color="FFFFFF"/>
              <w:left w:val="single" w:sz="4" w:space="0" w:color="FFFFFF"/>
              <w:bottom w:val="single" w:sz="4" w:space="0" w:color="FFFFFF"/>
              <w:right w:val="single" w:sz="4" w:space="0" w:color="FFFFFF"/>
            </w:tcBorders>
            <w:shd w:val="clear" w:color="000000" w:fill="8EA9DB"/>
            <w:vAlign w:val="center"/>
            <w:hideMark/>
          </w:tcPr>
          <w:p w14:paraId="2F1E2F6D" w14:textId="3B917C08" w:rsidR="007A2D6D" w:rsidRDefault="007A2D6D" w:rsidP="00F53A31">
            <w:pPr>
              <w:jc w:val="center"/>
              <w:rPr>
                <w:rFonts w:ascii="Calibri" w:hAnsi="Calibri" w:cs="Calibri"/>
                <w:b/>
                <w:bCs/>
                <w:color w:val="000000"/>
                <w:sz w:val="18"/>
                <w:szCs w:val="18"/>
              </w:rPr>
            </w:pPr>
            <w:r>
              <w:rPr>
                <w:rFonts w:ascii="Calibri" w:hAnsi="Calibri" w:cs="Calibri"/>
                <w:b/>
                <w:bCs/>
                <w:color w:val="000000"/>
                <w:sz w:val="18"/>
                <w:szCs w:val="18"/>
              </w:rPr>
              <w:t>2025</w:t>
            </w:r>
            <w:r>
              <w:rPr>
                <w:rFonts w:ascii="Calibri" w:hAnsi="Calibri" w:cs="Calibri"/>
                <w:b/>
                <w:bCs/>
                <w:color w:val="000000"/>
                <w:sz w:val="18"/>
                <w:szCs w:val="18"/>
              </w:rPr>
              <w:br/>
            </w:r>
            <w:proofErr w:type="spellStart"/>
            <w:r>
              <w:rPr>
                <w:rFonts w:ascii="Calibri" w:hAnsi="Calibri" w:cs="Calibri"/>
                <w:b/>
                <w:bCs/>
                <w:color w:val="000000"/>
                <w:sz w:val="18"/>
                <w:szCs w:val="18"/>
              </w:rPr>
              <w:t>Orç</w:t>
            </w:r>
            <w:proofErr w:type="spellEnd"/>
            <w:r>
              <w:rPr>
                <w:rFonts w:ascii="Calibri" w:hAnsi="Calibri" w:cs="Calibri"/>
                <w:b/>
                <w:bCs/>
                <w:color w:val="000000"/>
                <w:sz w:val="18"/>
                <w:szCs w:val="18"/>
              </w:rPr>
              <w:t>.</w:t>
            </w:r>
          </w:p>
        </w:tc>
        <w:tc>
          <w:tcPr>
            <w:tcW w:w="993" w:type="dxa"/>
            <w:vMerge w:val="restart"/>
            <w:tcBorders>
              <w:top w:val="single" w:sz="4" w:space="0" w:color="FFFFFF"/>
              <w:left w:val="single" w:sz="4" w:space="0" w:color="FFFFFF"/>
              <w:bottom w:val="single" w:sz="4" w:space="0" w:color="FFFFFF"/>
              <w:right w:val="single" w:sz="4" w:space="0" w:color="FFFFFF"/>
            </w:tcBorders>
            <w:shd w:val="clear" w:color="000000" w:fill="8EA9DB"/>
            <w:vAlign w:val="center"/>
            <w:hideMark/>
          </w:tcPr>
          <w:p w14:paraId="340E2B9F" w14:textId="33657081" w:rsidR="007A2D6D" w:rsidRDefault="007A2D6D" w:rsidP="00F53A31">
            <w:pPr>
              <w:jc w:val="center"/>
              <w:rPr>
                <w:rFonts w:ascii="Calibri" w:hAnsi="Calibri" w:cs="Calibri"/>
                <w:b/>
                <w:bCs/>
                <w:color w:val="000000"/>
                <w:sz w:val="18"/>
                <w:szCs w:val="18"/>
              </w:rPr>
            </w:pPr>
            <w:r>
              <w:rPr>
                <w:rFonts w:ascii="Calibri" w:hAnsi="Calibri" w:cs="Calibri"/>
                <w:b/>
                <w:bCs/>
                <w:color w:val="000000"/>
                <w:sz w:val="18"/>
                <w:szCs w:val="18"/>
              </w:rPr>
              <w:t>2024</w:t>
            </w:r>
            <w:r>
              <w:rPr>
                <w:rFonts w:ascii="Calibri" w:hAnsi="Calibri" w:cs="Calibri"/>
                <w:b/>
                <w:bCs/>
                <w:color w:val="000000"/>
                <w:sz w:val="18"/>
                <w:szCs w:val="18"/>
              </w:rPr>
              <w:br/>
            </w:r>
            <w:proofErr w:type="spellStart"/>
            <w:r>
              <w:rPr>
                <w:rFonts w:ascii="Calibri" w:hAnsi="Calibri" w:cs="Calibri"/>
                <w:b/>
                <w:bCs/>
                <w:color w:val="000000"/>
                <w:sz w:val="18"/>
                <w:szCs w:val="18"/>
              </w:rPr>
              <w:t>Exec</w:t>
            </w:r>
            <w:proofErr w:type="spellEnd"/>
            <w:r>
              <w:rPr>
                <w:rFonts w:ascii="Calibri" w:hAnsi="Calibri" w:cs="Calibri"/>
                <w:b/>
                <w:bCs/>
                <w:color w:val="000000"/>
                <w:sz w:val="18"/>
                <w:szCs w:val="18"/>
              </w:rPr>
              <w:t xml:space="preserve">. </w:t>
            </w:r>
          </w:p>
        </w:tc>
        <w:tc>
          <w:tcPr>
            <w:tcW w:w="1701" w:type="dxa"/>
            <w:gridSpan w:val="2"/>
            <w:tcBorders>
              <w:top w:val="single" w:sz="4" w:space="0" w:color="FFFFFF"/>
              <w:left w:val="nil"/>
              <w:bottom w:val="single" w:sz="4" w:space="0" w:color="FFFFFF"/>
              <w:right w:val="nil"/>
            </w:tcBorders>
            <w:shd w:val="clear" w:color="000000" w:fill="8EA9DB"/>
            <w:vAlign w:val="center"/>
            <w:hideMark/>
          </w:tcPr>
          <w:p w14:paraId="1EAC4BBE" w14:textId="13AB6B5E" w:rsidR="007A2D6D" w:rsidRDefault="007A2D6D" w:rsidP="00F53A31">
            <w:pPr>
              <w:jc w:val="center"/>
              <w:rPr>
                <w:rFonts w:ascii="Calibri" w:hAnsi="Calibri" w:cs="Calibri"/>
                <w:b/>
                <w:bCs/>
                <w:color w:val="000000"/>
                <w:sz w:val="18"/>
                <w:szCs w:val="18"/>
              </w:rPr>
            </w:pPr>
            <w:r>
              <w:rPr>
                <w:rFonts w:ascii="Calibri" w:hAnsi="Calibri" w:cs="Calibri"/>
                <w:b/>
                <w:bCs/>
                <w:color w:val="000000"/>
                <w:sz w:val="18"/>
                <w:szCs w:val="18"/>
              </w:rPr>
              <w:t>Variação 2025/2024</w:t>
            </w:r>
          </w:p>
        </w:tc>
      </w:tr>
      <w:tr w:rsidR="007A2D6D" w14:paraId="47CC3E69" w14:textId="77777777" w:rsidTr="00D17AF1">
        <w:trPr>
          <w:trHeight w:val="348"/>
          <w:tblHeader/>
        </w:trPr>
        <w:tc>
          <w:tcPr>
            <w:tcW w:w="3539" w:type="dxa"/>
            <w:vMerge/>
            <w:tcBorders>
              <w:top w:val="single" w:sz="4" w:space="0" w:color="FFFFFF"/>
              <w:left w:val="single" w:sz="4" w:space="0" w:color="FFFFFF"/>
              <w:bottom w:val="single" w:sz="4" w:space="0" w:color="FFFFFF"/>
              <w:right w:val="single" w:sz="4" w:space="0" w:color="FFFFFF"/>
            </w:tcBorders>
            <w:vAlign w:val="center"/>
            <w:hideMark/>
          </w:tcPr>
          <w:p w14:paraId="5466A20B" w14:textId="77777777" w:rsidR="007A2D6D" w:rsidRDefault="007A2D6D" w:rsidP="00F53A31">
            <w:pPr>
              <w:rPr>
                <w:rFonts w:ascii="Calibri" w:hAnsi="Calibri" w:cs="Calibri"/>
                <w:b/>
                <w:bCs/>
                <w:color w:val="000000"/>
                <w:sz w:val="18"/>
                <w:szCs w:val="18"/>
              </w:rPr>
            </w:pPr>
          </w:p>
        </w:tc>
        <w:tc>
          <w:tcPr>
            <w:tcW w:w="1134" w:type="dxa"/>
            <w:vMerge/>
            <w:tcBorders>
              <w:top w:val="single" w:sz="4" w:space="0" w:color="FFFFFF"/>
              <w:left w:val="single" w:sz="4" w:space="0" w:color="FFFFFF"/>
              <w:bottom w:val="single" w:sz="4" w:space="0" w:color="FFFFFF"/>
              <w:right w:val="single" w:sz="4" w:space="0" w:color="FFFFFF"/>
            </w:tcBorders>
            <w:vAlign w:val="center"/>
            <w:hideMark/>
          </w:tcPr>
          <w:p w14:paraId="0063703E" w14:textId="77777777" w:rsidR="007A2D6D" w:rsidRDefault="007A2D6D" w:rsidP="00F53A31">
            <w:pPr>
              <w:rPr>
                <w:rFonts w:ascii="Calibri" w:hAnsi="Calibri" w:cs="Calibri"/>
                <w:b/>
                <w:bCs/>
                <w:color w:val="000000"/>
                <w:sz w:val="18"/>
                <w:szCs w:val="18"/>
              </w:rPr>
            </w:pPr>
          </w:p>
        </w:tc>
        <w:tc>
          <w:tcPr>
            <w:tcW w:w="992" w:type="dxa"/>
            <w:vMerge/>
            <w:tcBorders>
              <w:top w:val="single" w:sz="4" w:space="0" w:color="FFFFFF"/>
              <w:left w:val="single" w:sz="4" w:space="0" w:color="FFFFFF"/>
              <w:bottom w:val="single" w:sz="4" w:space="0" w:color="FFFFFF"/>
              <w:right w:val="single" w:sz="4" w:space="0" w:color="FFFFFF"/>
            </w:tcBorders>
            <w:vAlign w:val="center"/>
            <w:hideMark/>
          </w:tcPr>
          <w:p w14:paraId="01D5B1C0" w14:textId="77777777" w:rsidR="007A2D6D" w:rsidRDefault="007A2D6D" w:rsidP="00F53A31">
            <w:pPr>
              <w:rPr>
                <w:rFonts w:ascii="Calibri" w:hAnsi="Calibri" w:cs="Calibri"/>
                <w:b/>
                <w:bCs/>
                <w:color w:val="000000"/>
                <w:sz w:val="18"/>
                <w:szCs w:val="18"/>
              </w:rPr>
            </w:pPr>
          </w:p>
        </w:tc>
        <w:tc>
          <w:tcPr>
            <w:tcW w:w="993" w:type="dxa"/>
            <w:vMerge/>
            <w:tcBorders>
              <w:top w:val="single" w:sz="4" w:space="0" w:color="FFFFFF"/>
              <w:left w:val="single" w:sz="4" w:space="0" w:color="FFFFFF"/>
              <w:bottom w:val="single" w:sz="4" w:space="0" w:color="FFFFFF"/>
              <w:right w:val="single" w:sz="4" w:space="0" w:color="FFFFFF"/>
            </w:tcBorders>
            <w:vAlign w:val="center"/>
            <w:hideMark/>
          </w:tcPr>
          <w:p w14:paraId="7E10C134" w14:textId="77777777" w:rsidR="007A2D6D" w:rsidRDefault="007A2D6D" w:rsidP="00F53A31">
            <w:pPr>
              <w:rPr>
                <w:rFonts w:ascii="Calibri" w:hAnsi="Calibri" w:cs="Calibri"/>
                <w:b/>
                <w:bCs/>
                <w:color w:val="000000"/>
                <w:sz w:val="18"/>
                <w:szCs w:val="18"/>
              </w:rPr>
            </w:pPr>
          </w:p>
        </w:tc>
        <w:tc>
          <w:tcPr>
            <w:tcW w:w="850" w:type="dxa"/>
            <w:tcBorders>
              <w:top w:val="nil"/>
              <w:left w:val="nil"/>
              <w:bottom w:val="single" w:sz="4" w:space="0" w:color="FFFFFF"/>
              <w:right w:val="nil"/>
            </w:tcBorders>
            <w:shd w:val="clear" w:color="000000" w:fill="8EA9DB"/>
            <w:vAlign w:val="center"/>
            <w:hideMark/>
          </w:tcPr>
          <w:p w14:paraId="63D0E7C8" w14:textId="77777777" w:rsidR="007A2D6D" w:rsidRDefault="007A2D6D" w:rsidP="00F53A31">
            <w:pPr>
              <w:jc w:val="center"/>
              <w:rPr>
                <w:rFonts w:ascii="Calibri" w:hAnsi="Calibri" w:cs="Calibri"/>
                <w:b/>
                <w:bCs/>
                <w:color w:val="000000"/>
                <w:sz w:val="18"/>
                <w:szCs w:val="18"/>
              </w:rPr>
            </w:pPr>
            <w:r>
              <w:rPr>
                <w:rFonts w:ascii="Calibri" w:hAnsi="Calibri" w:cs="Calibri"/>
                <w:b/>
                <w:bCs/>
                <w:color w:val="000000"/>
                <w:sz w:val="18"/>
                <w:szCs w:val="18"/>
              </w:rPr>
              <w:t>Absoluta</w:t>
            </w:r>
          </w:p>
        </w:tc>
        <w:tc>
          <w:tcPr>
            <w:tcW w:w="851" w:type="dxa"/>
            <w:tcBorders>
              <w:top w:val="nil"/>
              <w:left w:val="single" w:sz="4" w:space="0" w:color="FFFFFF"/>
              <w:bottom w:val="single" w:sz="4" w:space="0" w:color="FFFFFF"/>
              <w:right w:val="nil"/>
            </w:tcBorders>
            <w:shd w:val="clear" w:color="000000" w:fill="8EA9DB"/>
            <w:vAlign w:val="center"/>
            <w:hideMark/>
          </w:tcPr>
          <w:p w14:paraId="6058C00B" w14:textId="77777777" w:rsidR="007A2D6D" w:rsidRDefault="007A2D6D" w:rsidP="00F53A31">
            <w:pPr>
              <w:jc w:val="center"/>
              <w:rPr>
                <w:rFonts w:ascii="Calibri" w:hAnsi="Calibri" w:cs="Calibri"/>
                <w:b/>
                <w:bCs/>
                <w:color w:val="000000"/>
                <w:sz w:val="18"/>
                <w:szCs w:val="18"/>
              </w:rPr>
            </w:pPr>
            <w:r>
              <w:rPr>
                <w:rFonts w:ascii="Calibri" w:hAnsi="Calibri" w:cs="Calibri"/>
                <w:b/>
                <w:bCs/>
                <w:color w:val="000000"/>
                <w:sz w:val="18"/>
                <w:szCs w:val="18"/>
              </w:rPr>
              <w:t>%</w:t>
            </w:r>
          </w:p>
        </w:tc>
      </w:tr>
      <w:tr w:rsidR="00B234B9" w14:paraId="67598099" w14:textId="77777777" w:rsidTr="00D17AF1">
        <w:trPr>
          <w:trHeight w:val="288"/>
        </w:trPr>
        <w:tc>
          <w:tcPr>
            <w:tcW w:w="3539" w:type="dxa"/>
            <w:tcBorders>
              <w:top w:val="nil"/>
              <w:left w:val="nil"/>
              <w:bottom w:val="single" w:sz="4" w:space="0" w:color="FFFFFF"/>
              <w:right w:val="single" w:sz="4" w:space="0" w:color="FFFFFF"/>
            </w:tcBorders>
            <w:shd w:val="clear" w:color="000000" w:fill="D9E1F2"/>
            <w:vAlign w:val="center"/>
            <w:hideMark/>
          </w:tcPr>
          <w:p w14:paraId="018328E0" w14:textId="77777777" w:rsidR="00B234B9" w:rsidRPr="002E23B0" w:rsidRDefault="00B234B9" w:rsidP="00B234B9">
            <w:pPr>
              <w:rPr>
                <w:rFonts w:ascii="Calibri" w:hAnsi="Calibri" w:cs="Calibri"/>
                <w:color w:val="000000"/>
                <w:sz w:val="18"/>
                <w:szCs w:val="18"/>
              </w:rPr>
            </w:pPr>
            <w:r w:rsidRPr="002E23B0">
              <w:rPr>
                <w:rFonts w:ascii="Calibri" w:hAnsi="Calibri" w:cs="Calibri"/>
                <w:color w:val="000000"/>
                <w:sz w:val="18"/>
                <w:szCs w:val="18"/>
              </w:rPr>
              <w:t>Nº Órgãos Sociais (OS)</w:t>
            </w:r>
          </w:p>
        </w:tc>
        <w:tc>
          <w:tcPr>
            <w:tcW w:w="1134" w:type="dxa"/>
            <w:tcBorders>
              <w:top w:val="nil"/>
              <w:left w:val="nil"/>
              <w:bottom w:val="single" w:sz="4" w:space="0" w:color="FFFFFF"/>
              <w:right w:val="single" w:sz="4" w:space="0" w:color="FFFFFF"/>
            </w:tcBorders>
            <w:shd w:val="clear" w:color="000000" w:fill="D9E1F2"/>
            <w:noWrap/>
            <w:vAlign w:val="center"/>
            <w:hideMark/>
          </w:tcPr>
          <w:p w14:paraId="1FC3CDFA" w14:textId="7454FD23" w:rsidR="00B234B9" w:rsidRPr="00B234B9" w:rsidRDefault="00B234B9" w:rsidP="00B234B9">
            <w:pPr>
              <w:jc w:val="right"/>
              <w:rPr>
                <w:rFonts w:ascii="Calibri" w:hAnsi="Calibri" w:cs="Calibri"/>
                <w:color w:val="000000"/>
                <w:sz w:val="18"/>
                <w:szCs w:val="18"/>
              </w:rPr>
            </w:pPr>
            <w:r>
              <w:rPr>
                <w:rFonts w:ascii="Calibri" w:hAnsi="Calibri" w:cs="Calibri"/>
                <w:color w:val="000000"/>
                <w:sz w:val="18"/>
                <w:szCs w:val="18"/>
              </w:rPr>
              <w:t xml:space="preserve">8 </w:t>
            </w:r>
          </w:p>
        </w:tc>
        <w:tc>
          <w:tcPr>
            <w:tcW w:w="992" w:type="dxa"/>
            <w:tcBorders>
              <w:top w:val="nil"/>
              <w:left w:val="nil"/>
              <w:bottom w:val="single" w:sz="4" w:space="0" w:color="FFFFFF"/>
              <w:right w:val="single" w:sz="4" w:space="0" w:color="FFFFFF"/>
            </w:tcBorders>
            <w:shd w:val="clear" w:color="000000" w:fill="D9E1F2"/>
            <w:noWrap/>
            <w:vAlign w:val="center"/>
          </w:tcPr>
          <w:p w14:paraId="35C1B6EE" w14:textId="7F880888" w:rsidR="00B234B9" w:rsidRPr="00B234B9" w:rsidRDefault="00B234B9" w:rsidP="00B234B9">
            <w:pPr>
              <w:jc w:val="right"/>
              <w:rPr>
                <w:rFonts w:ascii="Calibri" w:hAnsi="Calibri" w:cs="Calibri"/>
                <w:color w:val="000000"/>
                <w:sz w:val="18"/>
                <w:szCs w:val="18"/>
              </w:rPr>
            </w:pPr>
            <w:r>
              <w:rPr>
                <w:rFonts w:ascii="Calibri" w:hAnsi="Calibri" w:cs="Calibri"/>
                <w:color w:val="000000"/>
                <w:sz w:val="18"/>
                <w:szCs w:val="18"/>
              </w:rPr>
              <w:t xml:space="preserve">8 </w:t>
            </w:r>
          </w:p>
        </w:tc>
        <w:tc>
          <w:tcPr>
            <w:tcW w:w="993" w:type="dxa"/>
            <w:tcBorders>
              <w:top w:val="nil"/>
              <w:left w:val="nil"/>
              <w:bottom w:val="single" w:sz="4" w:space="0" w:color="FFFFFF"/>
              <w:right w:val="single" w:sz="4" w:space="0" w:color="FFFFFF"/>
            </w:tcBorders>
            <w:shd w:val="clear" w:color="000000" w:fill="D9E1F2"/>
            <w:noWrap/>
            <w:vAlign w:val="center"/>
            <w:hideMark/>
          </w:tcPr>
          <w:p w14:paraId="639395E6" w14:textId="6F195D2E" w:rsidR="00B234B9" w:rsidRPr="00B234B9" w:rsidRDefault="00B234B9" w:rsidP="00B234B9">
            <w:pPr>
              <w:jc w:val="right"/>
              <w:rPr>
                <w:rFonts w:ascii="Calibri" w:hAnsi="Calibri" w:cs="Calibri"/>
                <w:color w:val="000000"/>
                <w:sz w:val="18"/>
                <w:szCs w:val="18"/>
              </w:rPr>
            </w:pPr>
            <w:r>
              <w:rPr>
                <w:rFonts w:ascii="Calibri" w:hAnsi="Calibri" w:cs="Calibri"/>
                <w:color w:val="000000"/>
                <w:sz w:val="18"/>
                <w:szCs w:val="18"/>
              </w:rPr>
              <w:t xml:space="preserve">8 </w:t>
            </w:r>
          </w:p>
        </w:tc>
        <w:tc>
          <w:tcPr>
            <w:tcW w:w="850" w:type="dxa"/>
            <w:tcBorders>
              <w:top w:val="nil"/>
              <w:left w:val="nil"/>
              <w:bottom w:val="single" w:sz="4" w:space="0" w:color="FFFFFF"/>
              <w:right w:val="single" w:sz="4" w:space="0" w:color="FFFFFF"/>
            </w:tcBorders>
            <w:shd w:val="clear" w:color="000000" w:fill="D9E1F2"/>
            <w:noWrap/>
            <w:vAlign w:val="center"/>
            <w:hideMark/>
          </w:tcPr>
          <w:p w14:paraId="2FEA7B03" w14:textId="3A2B7A7B" w:rsidR="00B234B9" w:rsidRPr="002E23B0" w:rsidRDefault="00B234B9" w:rsidP="00B234B9">
            <w:pPr>
              <w:jc w:val="right"/>
              <w:rPr>
                <w:rFonts w:ascii="Calibri" w:hAnsi="Calibri" w:cs="Calibri"/>
                <w:color w:val="000000"/>
                <w:sz w:val="18"/>
                <w:szCs w:val="18"/>
              </w:rPr>
            </w:pPr>
            <w:r>
              <w:rPr>
                <w:rFonts w:ascii="Calibri" w:hAnsi="Calibri" w:cs="Calibri"/>
                <w:color w:val="000000"/>
                <w:sz w:val="18"/>
                <w:szCs w:val="18"/>
              </w:rPr>
              <w:t xml:space="preserve">- </w:t>
            </w:r>
          </w:p>
        </w:tc>
        <w:tc>
          <w:tcPr>
            <w:tcW w:w="851" w:type="dxa"/>
            <w:tcBorders>
              <w:top w:val="nil"/>
              <w:left w:val="nil"/>
              <w:bottom w:val="single" w:sz="4" w:space="0" w:color="FFFFFF"/>
              <w:right w:val="nil"/>
            </w:tcBorders>
            <w:shd w:val="clear" w:color="000000" w:fill="D9E1F2"/>
            <w:noWrap/>
            <w:vAlign w:val="center"/>
            <w:hideMark/>
          </w:tcPr>
          <w:p w14:paraId="517DEF7D" w14:textId="644C04E5" w:rsidR="00B234B9" w:rsidRDefault="00B234B9" w:rsidP="00B234B9">
            <w:pPr>
              <w:jc w:val="right"/>
              <w:rPr>
                <w:rFonts w:ascii="Calibri" w:hAnsi="Calibri" w:cs="Calibri"/>
                <w:color w:val="000000"/>
                <w:sz w:val="18"/>
                <w:szCs w:val="18"/>
              </w:rPr>
            </w:pPr>
            <w:r>
              <w:rPr>
                <w:rFonts w:ascii="Calibri" w:hAnsi="Calibri" w:cs="Calibri"/>
                <w:color w:val="000000"/>
                <w:sz w:val="18"/>
                <w:szCs w:val="18"/>
              </w:rPr>
              <w:t>0,0%</w:t>
            </w:r>
          </w:p>
        </w:tc>
      </w:tr>
      <w:tr w:rsidR="00B234B9" w14:paraId="2399B168" w14:textId="77777777" w:rsidTr="00D17AF1">
        <w:trPr>
          <w:trHeight w:val="288"/>
        </w:trPr>
        <w:tc>
          <w:tcPr>
            <w:tcW w:w="3539" w:type="dxa"/>
            <w:tcBorders>
              <w:top w:val="nil"/>
              <w:left w:val="nil"/>
              <w:bottom w:val="single" w:sz="4" w:space="0" w:color="FFFFFF"/>
              <w:right w:val="single" w:sz="4" w:space="0" w:color="FFFFFF"/>
            </w:tcBorders>
            <w:shd w:val="clear" w:color="000000" w:fill="D9E1F2"/>
            <w:vAlign w:val="center"/>
            <w:hideMark/>
          </w:tcPr>
          <w:p w14:paraId="6FA766E3" w14:textId="77777777" w:rsidR="00B234B9" w:rsidRDefault="00B234B9" w:rsidP="00B234B9">
            <w:pPr>
              <w:rPr>
                <w:rFonts w:ascii="Calibri" w:hAnsi="Calibri" w:cs="Calibri"/>
                <w:color w:val="000000"/>
                <w:sz w:val="18"/>
                <w:szCs w:val="18"/>
              </w:rPr>
            </w:pPr>
            <w:r>
              <w:rPr>
                <w:rFonts w:ascii="Calibri" w:hAnsi="Calibri" w:cs="Calibri"/>
                <w:color w:val="000000"/>
                <w:sz w:val="18"/>
                <w:szCs w:val="18"/>
              </w:rPr>
              <w:t>Nº Cargos de Direção (CD)</w:t>
            </w:r>
          </w:p>
        </w:tc>
        <w:tc>
          <w:tcPr>
            <w:tcW w:w="1134" w:type="dxa"/>
            <w:tcBorders>
              <w:top w:val="nil"/>
              <w:left w:val="nil"/>
              <w:bottom w:val="single" w:sz="4" w:space="0" w:color="FFFFFF"/>
              <w:right w:val="single" w:sz="4" w:space="0" w:color="FFFFFF"/>
            </w:tcBorders>
            <w:shd w:val="clear" w:color="000000" w:fill="D9E1F2"/>
            <w:noWrap/>
            <w:vAlign w:val="center"/>
            <w:hideMark/>
          </w:tcPr>
          <w:p w14:paraId="04231598" w14:textId="588E8C8C" w:rsidR="00B234B9" w:rsidRPr="00B234B9" w:rsidRDefault="00B234B9" w:rsidP="00B234B9">
            <w:pPr>
              <w:jc w:val="right"/>
              <w:rPr>
                <w:rFonts w:ascii="Calibri" w:hAnsi="Calibri" w:cs="Calibri"/>
                <w:color w:val="000000"/>
                <w:sz w:val="18"/>
                <w:szCs w:val="18"/>
              </w:rPr>
            </w:pPr>
            <w:r>
              <w:rPr>
                <w:rFonts w:ascii="Calibri" w:hAnsi="Calibri" w:cs="Calibri"/>
                <w:color w:val="000000"/>
                <w:sz w:val="18"/>
                <w:szCs w:val="18"/>
              </w:rPr>
              <w:t xml:space="preserve">9 </w:t>
            </w:r>
          </w:p>
        </w:tc>
        <w:tc>
          <w:tcPr>
            <w:tcW w:w="992" w:type="dxa"/>
            <w:tcBorders>
              <w:top w:val="nil"/>
              <w:left w:val="nil"/>
              <w:bottom w:val="single" w:sz="4" w:space="0" w:color="FFFFFF"/>
              <w:right w:val="single" w:sz="4" w:space="0" w:color="FFFFFF"/>
            </w:tcBorders>
            <w:shd w:val="clear" w:color="000000" w:fill="D9E1F2"/>
            <w:noWrap/>
            <w:vAlign w:val="center"/>
          </w:tcPr>
          <w:p w14:paraId="510016E6" w14:textId="38481123" w:rsidR="00B234B9" w:rsidRPr="00B234B9" w:rsidRDefault="00B234B9" w:rsidP="00B234B9">
            <w:pPr>
              <w:jc w:val="right"/>
              <w:rPr>
                <w:rFonts w:ascii="Calibri" w:hAnsi="Calibri" w:cs="Calibri"/>
                <w:color w:val="000000"/>
                <w:sz w:val="18"/>
                <w:szCs w:val="18"/>
              </w:rPr>
            </w:pPr>
            <w:r>
              <w:rPr>
                <w:rFonts w:ascii="Calibri" w:hAnsi="Calibri" w:cs="Calibri"/>
                <w:color w:val="000000"/>
                <w:sz w:val="18"/>
                <w:szCs w:val="18"/>
              </w:rPr>
              <w:t xml:space="preserve">10 </w:t>
            </w:r>
          </w:p>
        </w:tc>
        <w:tc>
          <w:tcPr>
            <w:tcW w:w="993" w:type="dxa"/>
            <w:tcBorders>
              <w:top w:val="nil"/>
              <w:left w:val="nil"/>
              <w:bottom w:val="single" w:sz="4" w:space="0" w:color="FFFFFF"/>
              <w:right w:val="single" w:sz="4" w:space="0" w:color="FFFFFF"/>
            </w:tcBorders>
            <w:shd w:val="clear" w:color="000000" w:fill="D9E1F2"/>
            <w:noWrap/>
            <w:vAlign w:val="center"/>
            <w:hideMark/>
          </w:tcPr>
          <w:p w14:paraId="0B7B559E" w14:textId="313C8EBB" w:rsidR="00B234B9" w:rsidRPr="00B234B9" w:rsidRDefault="00B234B9" w:rsidP="00B234B9">
            <w:pPr>
              <w:jc w:val="right"/>
              <w:rPr>
                <w:rFonts w:ascii="Calibri" w:hAnsi="Calibri" w:cs="Calibri"/>
                <w:color w:val="000000"/>
                <w:sz w:val="18"/>
                <w:szCs w:val="18"/>
              </w:rPr>
            </w:pPr>
            <w:r>
              <w:rPr>
                <w:rFonts w:ascii="Calibri" w:hAnsi="Calibri" w:cs="Calibri"/>
                <w:color w:val="000000"/>
                <w:sz w:val="18"/>
                <w:szCs w:val="18"/>
              </w:rPr>
              <w:t xml:space="preserve">10 </w:t>
            </w:r>
          </w:p>
        </w:tc>
        <w:tc>
          <w:tcPr>
            <w:tcW w:w="850" w:type="dxa"/>
            <w:tcBorders>
              <w:top w:val="nil"/>
              <w:left w:val="nil"/>
              <w:bottom w:val="single" w:sz="4" w:space="0" w:color="FFFFFF"/>
              <w:right w:val="single" w:sz="4" w:space="0" w:color="FFFFFF"/>
            </w:tcBorders>
            <w:shd w:val="clear" w:color="000000" w:fill="D9E1F2"/>
            <w:noWrap/>
            <w:vAlign w:val="center"/>
            <w:hideMark/>
          </w:tcPr>
          <w:p w14:paraId="15903CA2" w14:textId="555D2E31" w:rsidR="00B234B9" w:rsidRDefault="00B234B9" w:rsidP="00B234B9">
            <w:pPr>
              <w:jc w:val="right"/>
              <w:rPr>
                <w:rFonts w:ascii="Calibri" w:hAnsi="Calibri" w:cs="Calibri"/>
                <w:color w:val="000000"/>
                <w:sz w:val="18"/>
                <w:szCs w:val="18"/>
              </w:rPr>
            </w:pPr>
            <w:r>
              <w:rPr>
                <w:rFonts w:ascii="Calibri" w:hAnsi="Calibri" w:cs="Calibri"/>
                <w:color w:val="000000"/>
                <w:sz w:val="18"/>
                <w:szCs w:val="18"/>
              </w:rPr>
              <w:t>(1)</w:t>
            </w:r>
          </w:p>
        </w:tc>
        <w:tc>
          <w:tcPr>
            <w:tcW w:w="851" w:type="dxa"/>
            <w:tcBorders>
              <w:top w:val="nil"/>
              <w:left w:val="nil"/>
              <w:bottom w:val="single" w:sz="4" w:space="0" w:color="FFFFFF"/>
              <w:right w:val="nil"/>
            </w:tcBorders>
            <w:shd w:val="clear" w:color="000000" w:fill="D9E1F2"/>
            <w:noWrap/>
            <w:vAlign w:val="center"/>
            <w:hideMark/>
          </w:tcPr>
          <w:p w14:paraId="5972C919" w14:textId="16E2AD98" w:rsidR="00B234B9" w:rsidRDefault="00B234B9" w:rsidP="00B234B9">
            <w:pPr>
              <w:jc w:val="right"/>
              <w:rPr>
                <w:rFonts w:ascii="Calibri" w:hAnsi="Calibri" w:cs="Calibri"/>
                <w:color w:val="000000"/>
                <w:sz w:val="18"/>
                <w:szCs w:val="18"/>
              </w:rPr>
            </w:pPr>
            <w:r>
              <w:rPr>
                <w:rFonts w:ascii="Calibri" w:hAnsi="Calibri" w:cs="Calibri"/>
                <w:color w:val="000000"/>
                <w:sz w:val="18"/>
                <w:szCs w:val="18"/>
              </w:rPr>
              <w:t>-10,0%</w:t>
            </w:r>
          </w:p>
        </w:tc>
      </w:tr>
      <w:tr w:rsidR="00B234B9" w14:paraId="2B3195D9" w14:textId="77777777" w:rsidTr="00D17AF1">
        <w:trPr>
          <w:trHeight w:val="288"/>
        </w:trPr>
        <w:tc>
          <w:tcPr>
            <w:tcW w:w="3539" w:type="dxa"/>
            <w:tcBorders>
              <w:top w:val="nil"/>
              <w:left w:val="nil"/>
              <w:bottom w:val="single" w:sz="4" w:space="0" w:color="FFFFFF"/>
              <w:right w:val="single" w:sz="4" w:space="0" w:color="FFFFFF"/>
            </w:tcBorders>
            <w:shd w:val="clear" w:color="000000" w:fill="D9E1F2"/>
            <w:vAlign w:val="center"/>
            <w:hideMark/>
          </w:tcPr>
          <w:p w14:paraId="5A3796C8" w14:textId="77777777" w:rsidR="00B234B9" w:rsidRDefault="00B234B9" w:rsidP="00B234B9">
            <w:pPr>
              <w:rPr>
                <w:rFonts w:ascii="Calibri" w:hAnsi="Calibri" w:cs="Calibri"/>
                <w:color w:val="000000"/>
                <w:sz w:val="18"/>
                <w:szCs w:val="18"/>
              </w:rPr>
            </w:pPr>
            <w:r>
              <w:rPr>
                <w:rFonts w:ascii="Calibri" w:hAnsi="Calibri" w:cs="Calibri"/>
                <w:color w:val="000000"/>
                <w:sz w:val="18"/>
                <w:szCs w:val="18"/>
              </w:rPr>
              <w:t>Nº Trabalhadores (sem OS e sem CD)</w:t>
            </w:r>
          </w:p>
        </w:tc>
        <w:tc>
          <w:tcPr>
            <w:tcW w:w="1134" w:type="dxa"/>
            <w:tcBorders>
              <w:top w:val="nil"/>
              <w:left w:val="nil"/>
              <w:bottom w:val="single" w:sz="4" w:space="0" w:color="FFFFFF"/>
              <w:right w:val="single" w:sz="4" w:space="0" w:color="FFFFFF"/>
            </w:tcBorders>
            <w:shd w:val="clear" w:color="000000" w:fill="D9E1F2"/>
            <w:noWrap/>
            <w:vAlign w:val="center"/>
            <w:hideMark/>
          </w:tcPr>
          <w:p w14:paraId="21A052BF" w14:textId="210497E3" w:rsidR="00B234B9" w:rsidRDefault="00B234B9" w:rsidP="00B234B9">
            <w:pPr>
              <w:jc w:val="right"/>
              <w:rPr>
                <w:rFonts w:ascii="Calibri" w:hAnsi="Calibri" w:cs="Calibri"/>
                <w:color w:val="000000"/>
                <w:sz w:val="18"/>
                <w:szCs w:val="18"/>
              </w:rPr>
            </w:pPr>
            <w:r>
              <w:rPr>
                <w:rFonts w:ascii="Calibri" w:hAnsi="Calibri" w:cs="Calibri"/>
                <w:color w:val="000000"/>
                <w:sz w:val="18"/>
                <w:szCs w:val="18"/>
              </w:rPr>
              <w:t xml:space="preserve">69 </w:t>
            </w:r>
          </w:p>
        </w:tc>
        <w:tc>
          <w:tcPr>
            <w:tcW w:w="992" w:type="dxa"/>
            <w:tcBorders>
              <w:top w:val="nil"/>
              <w:left w:val="nil"/>
              <w:bottom w:val="single" w:sz="4" w:space="0" w:color="FFFFFF"/>
              <w:right w:val="single" w:sz="4" w:space="0" w:color="FFFFFF"/>
            </w:tcBorders>
            <w:shd w:val="clear" w:color="000000" w:fill="D9E1F2"/>
            <w:noWrap/>
            <w:vAlign w:val="center"/>
          </w:tcPr>
          <w:p w14:paraId="1E9325EE" w14:textId="681A832A" w:rsidR="00B234B9" w:rsidRDefault="00B234B9" w:rsidP="00B234B9">
            <w:pPr>
              <w:jc w:val="right"/>
              <w:rPr>
                <w:rFonts w:ascii="Calibri" w:hAnsi="Calibri" w:cs="Calibri"/>
                <w:color w:val="000000"/>
                <w:sz w:val="18"/>
                <w:szCs w:val="18"/>
              </w:rPr>
            </w:pPr>
            <w:r>
              <w:rPr>
                <w:rFonts w:ascii="Calibri" w:hAnsi="Calibri" w:cs="Calibri"/>
                <w:color w:val="000000"/>
                <w:sz w:val="18"/>
                <w:szCs w:val="18"/>
              </w:rPr>
              <w:t xml:space="preserve">70 </w:t>
            </w:r>
          </w:p>
        </w:tc>
        <w:tc>
          <w:tcPr>
            <w:tcW w:w="993" w:type="dxa"/>
            <w:tcBorders>
              <w:top w:val="nil"/>
              <w:left w:val="nil"/>
              <w:bottom w:val="single" w:sz="4" w:space="0" w:color="FFFFFF"/>
              <w:right w:val="single" w:sz="4" w:space="0" w:color="FFFFFF"/>
            </w:tcBorders>
            <w:shd w:val="clear" w:color="000000" w:fill="D9E1F2"/>
            <w:noWrap/>
            <w:vAlign w:val="center"/>
            <w:hideMark/>
          </w:tcPr>
          <w:p w14:paraId="0E22EC50" w14:textId="55895710" w:rsidR="00B234B9" w:rsidRDefault="00B234B9" w:rsidP="00B234B9">
            <w:pPr>
              <w:jc w:val="right"/>
              <w:rPr>
                <w:rFonts w:ascii="Calibri" w:hAnsi="Calibri" w:cs="Calibri"/>
                <w:color w:val="000000"/>
                <w:sz w:val="18"/>
                <w:szCs w:val="18"/>
              </w:rPr>
            </w:pPr>
            <w:r>
              <w:rPr>
                <w:rFonts w:ascii="Calibri" w:hAnsi="Calibri" w:cs="Calibri"/>
                <w:color w:val="000000"/>
                <w:sz w:val="18"/>
                <w:szCs w:val="18"/>
              </w:rPr>
              <w:t xml:space="preserve">70 </w:t>
            </w:r>
          </w:p>
        </w:tc>
        <w:tc>
          <w:tcPr>
            <w:tcW w:w="850" w:type="dxa"/>
            <w:tcBorders>
              <w:top w:val="nil"/>
              <w:left w:val="nil"/>
              <w:bottom w:val="single" w:sz="4" w:space="0" w:color="FFFFFF"/>
              <w:right w:val="single" w:sz="4" w:space="0" w:color="FFFFFF"/>
            </w:tcBorders>
            <w:shd w:val="clear" w:color="000000" w:fill="D9E1F2"/>
            <w:noWrap/>
            <w:vAlign w:val="center"/>
            <w:hideMark/>
          </w:tcPr>
          <w:p w14:paraId="6CD06C29" w14:textId="2B9B3903" w:rsidR="00B234B9" w:rsidRDefault="00B234B9" w:rsidP="00B234B9">
            <w:pPr>
              <w:jc w:val="right"/>
              <w:rPr>
                <w:rFonts w:ascii="Calibri" w:hAnsi="Calibri" w:cs="Calibri"/>
                <w:color w:val="000000"/>
                <w:sz w:val="18"/>
                <w:szCs w:val="18"/>
              </w:rPr>
            </w:pPr>
            <w:r>
              <w:rPr>
                <w:rFonts w:ascii="Calibri" w:hAnsi="Calibri" w:cs="Calibri"/>
                <w:color w:val="000000"/>
                <w:sz w:val="18"/>
                <w:szCs w:val="18"/>
              </w:rPr>
              <w:t>(1)</w:t>
            </w:r>
          </w:p>
        </w:tc>
        <w:tc>
          <w:tcPr>
            <w:tcW w:w="851" w:type="dxa"/>
            <w:tcBorders>
              <w:top w:val="nil"/>
              <w:left w:val="nil"/>
              <w:bottom w:val="single" w:sz="4" w:space="0" w:color="FFFFFF"/>
              <w:right w:val="nil"/>
            </w:tcBorders>
            <w:shd w:val="clear" w:color="000000" w:fill="D9E1F2"/>
            <w:noWrap/>
            <w:vAlign w:val="center"/>
            <w:hideMark/>
          </w:tcPr>
          <w:p w14:paraId="12D25C74" w14:textId="42EBF408" w:rsidR="00B234B9" w:rsidRDefault="00B234B9" w:rsidP="00B234B9">
            <w:pPr>
              <w:jc w:val="right"/>
              <w:rPr>
                <w:rFonts w:ascii="Calibri" w:hAnsi="Calibri" w:cs="Calibri"/>
                <w:color w:val="000000"/>
                <w:sz w:val="18"/>
                <w:szCs w:val="18"/>
              </w:rPr>
            </w:pPr>
            <w:r>
              <w:rPr>
                <w:rFonts w:ascii="Calibri" w:hAnsi="Calibri" w:cs="Calibri"/>
                <w:color w:val="000000"/>
                <w:sz w:val="18"/>
                <w:szCs w:val="18"/>
              </w:rPr>
              <w:t>-1,4%</w:t>
            </w:r>
          </w:p>
        </w:tc>
      </w:tr>
      <w:tr w:rsidR="00B234B9" w14:paraId="7387F29A" w14:textId="77777777" w:rsidTr="00D17AF1">
        <w:trPr>
          <w:trHeight w:val="285"/>
        </w:trPr>
        <w:tc>
          <w:tcPr>
            <w:tcW w:w="3539" w:type="dxa"/>
            <w:tcBorders>
              <w:top w:val="nil"/>
              <w:left w:val="nil"/>
              <w:bottom w:val="single" w:sz="4" w:space="0" w:color="FFFFFF"/>
              <w:right w:val="single" w:sz="4" w:space="0" w:color="FFFFFF"/>
            </w:tcBorders>
            <w:shd w:val="clear" w:color="000000" w:fill="D9E1F2"/>
            <w:vAlign w:val="center"/>
            <w:hideMark/>
          </w:tcPr>
          <w:p w14:paraId="284E7927" w14:textId="77777777" w:rsidR="00B234B9" w:rsidRDefault="00B234B9" w:rsidP="00B234B9">
            <w:pPr>
              <w:rPr>
                <w:rFonts w:ascii="Calibri" w:hAnsi="Calibri" w:cs="Calibri"/>
                <w:color w:val="000000"/>
                <w:sz w:val="18"/>
                <w:szCs w:val="18"/>
              </w:rPr>
            </w:pPr>
            <w:r>
              <w:rPr>
                <w:rFonts w:ascii="Calibri" w:hAnsi="Calibri" w:cs="Calibri"/>
                <w:color w:val="000000"/>
                <w:sz w:val="18"/>
                <w:szCs w:val="18"/>
              </w:rPr>
              <w:t>TOTAL</w:t>
            </w:r>
          </w:p>
        </w:tc>
        <w:tc>
          <w:tcPr>
            <w:tcW w:w="1134" w:type="dxa"/>
            <w:tcBorders>
              <w:top w:val="nil"/>
              <w:left w:val="nil"/>
              <w:bottom w:val="single" w:sz="4" w:space="0" w:color="FFFFFF"/>
              <w:right w:val="single" w:sz="4" w:space="0" w:color="FFFFFF"/>
            </w:tcBorders>
            <w:shd w:val="clear" w:color="000000" w:fill="D9E1F2"/>
            <w:noWrap/>
            <w:vAlign w:val="center"/>
            <w:hideMark/>
          </w:tcPr>
          <w:p w14:paraId="658AA668" w14:textId="5160CAD0" w:rsidR="00B234B9" w:rsidRDefault="00B234B9" w:rsidP="00B234B9">
            <w:pPr>
              <w:jc w:val="right"/>
              <w:rPr>
                <w:rFonts w:ascii="Calibri" w:hAnsi="Calibri" w:cs="Calibri"/>
                <w:color w:val="000000"/>
                <w:sz w:val="18"/>
                <w:szCs w:val="18"/>
              </w:rPr>
            </w:pPr>
            <w:r>
              <w:rPr>
                <w:rFonts w:ascii="Calibri" w:hAnsi="Calibri" w:cs="Calibri"/>
                <w:color w:val="000000"/>
                <w:sz w:val="18"/>
                <w:szCs w:val="18"/>
              </w:rPr>
              <w:t xml:space="preserve">86 </w:t>
            </w:r>
          </w:p>
        </w:tc>
        <w:tc>
          <w:tcPr>
            <w:tcW w:w="992" w:type="dxa"/>
            <w:tcBorders>
              <w:top w:val="nil"/>
              <w:left w:val="nil"/>
              <w:bottom w:val="single" w:sz="4" w:space="0" w:color="FFFFFF"/>
              <w:right w:val="single" w:sz="4" w:space="0" w:color="FFFFFF"/>
            </w:tcBorders>
            <w:shd w:val="clear" w:color="000000" w:fill="D9E1F2"/>
            <w:noWrap/>
            <w:vAlign w:val="center"/>
          </w:tcPr>
          <w:p w14:paraId="131ECA70" w14:textId="15EF89F3" w:rsidR="00B234B9" w:rsidRPr="00733969" w:rsidRDefault="00B234B9" w:rsidP="00B234B9">
            <w:pPr>
              <w:jc w:val="right"/>
              <w:rPr>
                <w:rFonts w:ascii="Calibri" w:hAnsi="Calibri" w:cs="Calibri"/>
                <w:color w:val="000000"/>
                <w:sz w:val="18"/>
                <w:szCs w:val="18"/>
              </w:rPr>
            </w:pPr>
            <w:r>
              <w:rPr>
                <w:rFonts w:ascii="Calibri" w:hAnsi="Calibri" w:cs="Calibri"/>
                <w:color w:val="000000"/>
                <w:sz w:val="18"/>
                <w:szCs w:val="18"/>
              </w:rPr>
              <w:t xml:space="preserve">88 </w:t>
            </w:r>
          </w:p>
        </w:tc>
        <w:tc>
          <w:tcPr>
            <w:tcW w:w="993" w:type="dxa"/>
            <w:tcBorders>
              <w:top w:val="nil"/>
              <w:left w:val="nil"/>
              <w:bottom w:val="single" w:sz="4" w:space="0" w:color="FFFFFF"/>
              <w:right w:val="single" w:sz="4" w:space="0" w:color="FFFFFF"/>
            </w:tcBorders>
            <w:shd w:val="clear" w:color="000000" w:fill="D9E1F2"/>
            <w:noWrap/>
            <w:vAlign w:val="center"/>
            <w:hideMark/>
          </w:tcPr>
          <w:p w14:paraId="1F48D852" w14:textId="12246E25" w:rsidR="00B234B9" w:rsidRDefault="00B234B9" w:rsidP="00B234B9">
            <w:pPr>
              <w:jc w:val="right"/>
              <w:rPr>
                <w:rFonts w:ascii="Calibri" w:hAnsi="Calibri" w:cs="Calibri"/>
                <w:color w:val="000000"/>
                <w:sz w:val="18"/>
                <w:szCs w:val="18"/>
              </w:rPr>
            </w:pPr>
            <w:r>
              <w:rPr>
                <w:rFonts w:ascii="Calibri" w:hAnsi="Calibri" w:cs="Calibri"/>
                <w:color w:val="000000"/>
                <w:sz w:val="18"/>
                <w:szCs w:val="18"/>
              </w:rPr>
              <w:t xml:space="preserve">88 </w:t>
            </w:r>
          </w:p>
        </w:tc>
        <w:tc>
          <w:tcPr>
            <w:tcW w:w="850" w:type="dxa"/>
            <w:tcBorders>
              <w:top w:val="nil"/>
              <w:left w:val="nil"/>
              <w:bottom w:val="single" w:sz="4" w:space="0" w:color="FFFFFF"/>
              <w:right w:val="single" w:sz="4" w:space="0" w:color="FFFFFF"/>
            </w:tcBorders>
            <w:shd w:val="clear" w:color="000000" w:fill="D9E1F2"/>
            <w:noWrap/>
            <w:vAlign w:val="center"/>
            <w:hideMark/>
          </w:tcPr>
          <w:p w14:paraId="489F8D04" w14:textId="5E1F52A9" w:rsidR="00B234B9" w:rsidRDefault="00B234B9" w:rsidP="00B234B9">
            <w:pPr>
              <w:jc w:val="right"/>
              <w:rPr>
                <w:rFonts w:ascii="Calibri" w:hAnsi="Calibri" w:cs="Calibri"/>
                <w:color w:val="000000"/>
                <w:sz w:val="18"/>
                <w:szCs w:val="18"/>
              </w:rPr>
            </w:pPr>
            <w:r>
              <w:rPr>
                <w:rFonts w:ascii="Calibri" w:hAnsi="Calibri" w:cs="Calibri"/>
                <w:color w:val="000000"/>
                <w:sz w:val="18"/>
                <w:szCs w:val="18"/>
              </w:rPr>
              <w:t>(2)</w:t>
            </w:r>
          </w:p>
        </w:tc>
        <w:tc>
          <w:tcPr>
            <w:tcW w:w="851" w:type="dxa"/>
            <w:tcBorders>
              <w:top w:val="nil"/>
              <w:left w:val="nil"/>
              <w:bottom w:val="single" w:sz="4" w:space="0" w:color="FFFFFF"/>
              <w:right w:val="nil"/>
            </w:tcBorders>
            <w:shd w:val="clear" w:color="000000" w:fill="D9E1F2"/>
            <w:noWrap/>
            <w:vAlign w:val="center"/>
            <w:hideMark/>
          </w:tcPr>
          <w:p w14:paraId="2BF1BA61" w14:textId="5730C58E" w:rsidR="00B234B9" w:rsidRDefault="00B234B9" w:rsidP="00B234B9">
            <w:pPr>
              <w:jc w:val="right"/>
              <w:rPr>
                <w:rFonts w:ascii="Calibri" w:hAnsi="Calibri" w:cs="Calibri"/>
                <w:color w:val="000000"/>
                <w:sz w:val="18"/>
                <w:szCs w:val="18"/>
              </w:rPr>
            </w:pPr>
            <w:r>
              <w:rPr>
                <w:rFonts w:ascii="Calibri" w:hAnsi="Calibri" w:cs="Calibri"/>
                <w:color w:val="000000"/>
                <w:sz w:val="18"/>
                <w:szCs w:val="18"/>
              </w:rPr>
              <w:t>-2,3%</w:t>
            </w:r>
          </w:p>
        </w:tc>
      </w:tr>
      <w:tr w:rsidR="00B234B9" w14:paraId="22196C91" w14:textId="77777777" w:rsidTr="00D17AF1">
        <w:trPr>
          <w:trHeight w:val="288"/>
        </w:trPr>
        <w:tc>
          <w:tcPr>
            <w:tcW w:w="3539" w:type="dxa"/>
            <w:tcBorders>
              <w:top w:val="nil"/>
              <w:left w:val="single" w:sz="4" w:space="0" w:color="FFFFFF"/>
              <w:bottom w:val="single" w:sz="4" w:space="0" w:color="FFFFFF"/>
              <w:right w:val="single" w:sz="4" w:space="0" w:color="FFFFFF"/>
            </w:tcBorders>
            <w:shd w:val="clear" w:color="000000" w:fill="D9E1F2"/>
            <w:vAlign w:val="center"/>
            <w:hideMark/>
          </w:tcPr>
          <w:p w14:paraId="4172F635" w14:textId="77777777" w:rsidR="00B234B9" w:rsidRDefault="00B234B9" w:rsidP="00B234B9">
            <w:pPr>
              <w:rPr>
                <w:rFonts w:ascii="Calibri" w:hAnsi="Calibri" w:cs="Calibri"/>
                <w:color w:val="000000"/>
                <w:sz w:val="18"/>
                <w:szCs w:val="18"/>
              </w:rPr>
            </w:pPr>
            <w:r>
              <w:rPr>
                <w:rFonts w:ascii="Calibri" w:hAnsi="Calibri" w:cs="Calibri"/>
                <w:color w:val="000000"/>
                <w:sz w:val="18"/>
                <w:szCs w:val="18"/>
              </w:rPr>
              <w:t>Nº Trabalhadores / Nº CD</w:t>
            </w:r>
          </w:p>
        </w:tc>
        <w:tc>
          <w:tcPr>
            <w:tcW w:w="1134" w:type="dxa"/>
            <w:tcBorders>
              <w:top w:val="nil"/>
              <w:left w:val="nil"/>
              <w:bottom w:val="single" w:sz="4" w:space="0" w:color="FFFFFF"/>
              <w:right w:val="single" w:sz="4" w:space="0" w:color="FFFFFF"/>
            </w:tcBorders>
            <w:shd w:val="clear" w:color="000000" w:fill="D9E1F2"/>
            <w:noWrap/>
            <w:vAlign w:val="center"/>
            <w:hideMark/>
          </w:tcPr>
          <w:p w14:paraId="725C1742" w14:textId="789AD779" w:rsidR="00B234B9" w:rsidRDefault="00B234B9" w:rsidP="00B234B9">
            <w:pPr>
              <w:jc w:val="right"/>
              <w:rPr>
                <w:rFonts w:ascii="Calibri" w:hAnsi="Calibri" w:cs="Calibri"/>
                <w:color w:val="000000"/>
                <w:sz w:val="18"/>
                <w:szCs w:val="18"/>
              </w:rPr>
            </w:pPr>
            <w:r>
              <w:rPr>
                <w:rFonts w:ascii="Calibri" w:hAnsi="Calibri" w:cs="Calibri"/>
                <w:color w:val="000000"/>
                <w:sz w:val="18"/>
                <w:szCs w:val="18"/>
              </w:rPr>
              <w:t xml:space="preserve">8 </w:t>
            </w:r>
          </w:p>
        </w:tc>
        <w:tc>
          <w:tcPr>
            <w:tcW w:w="992" w:type="dxa"/>
            <w:tcBorders>
              <w:top w:val="nil"/>
              <w:left w:val="nil"/>
              <w:bottom w:val="single" w:sz="4" w:space="0" w:color="FFFFFF"/>
              <w:right w:val="single" w:sz="4" w:space="0" w:color="FFFFFF"/>
            </w:tcBorders>
            <w:shd w:val="clear" w:color="000000" w:fill="D9E1F2"/>
            <w:noWrap/>
            <w:vAlign w:val="center"/>
          </w:tcPr>
          <w:p w14:paraId="51F52E2B" w14:textId="0090D613" w:rsidR="00B234B9" w:rsidRPr="00733969" w:rsidRDefault="00B234B9" w:rsidP="00B234B9">
            <w:pPr>
              <w:jc w:val="right"/>
              <w:rPr>
                <w:rFonts w:ascii="Calibri" w:hAnsi="Calibri" w:cs="Calibri"/>
                <w:color w:val="000000"/>
                <w:sz w:val="18"/>
                <w:szCs w:val="18"/>
              </w:rPr>
            </w:pPr>
            <w:r>
              <w:rPr>
                <w:rFonts w:ascii="Calibri" w:hAnsi="Calibri" w:cs="Calibri"/>
                <w:color w:val="000000"/>
                <w:sz w:val="18"/>
                <w:szCs w:val="18"/>
              </w:rPr>
              <w:t xml:space="preserve">7 </w:t>
            </w:r>
          </w:p>
        </w:tc>
        <w:tc>
          <w:tcPr>
            <w:tcW w:w="993" w:type="dxa"/>
            <w:tcBorders>
              <w:top w:val="nil"/>
              <w:left w:val="nil"/>
              <w:bottom w:val="single" w:sz="4" w:space="0" w:color="FFFFFF"/>
              <w:right w:val="single" w:sz="4" w:space="0" w:color="FFFFFF"/>
            </w:tcBorders>
            <w:shd w:val="clear" w:color="000000" w:fill="D9E1F2"/>
            <w:noWrap/>
            <w:vAlign w:val="center"/>
            <w:hideMark/>
          </w:tcPr>
          <w:p w14:paraId="45F916BD" w14:textId="49840E4C" w:rsidR="00B234B9" w:rsidRDefault="00B234B9" w:rsidP="00B234B9">
            <w:pPr>
              <w:jc w:val="right"/>
              <w:rPr>
                <w:rFonts w:ascii="Calibri" w:hAnsi="Calibri" w:cs="Calibri"/>
                <w:color w:val="000000"/>
                <w:sz w:val="18"/>
                <w:szCs w:val="18"/>
              </w:rPr>
            </w:pPr>
            <w:r>
              <w:rPr>
                <w:rFonts w:ascii="Calibri" w:hAnsi="Calibri" w:cs="Calibri"/>
                <w:color w:val="000000"/>
                <w:sz w:val="18"/>
                <w:szCs w:val="18"/>
              </w:rPr>
              <w:t xml:space="preserve">7 </w:t>
            </w:r>
          </w:p>
        </w:tc>
        <w:tc>
          <w:tcPr>
            <w:tcW w:w="850" w:type="dxa"/>
            <w:tcBorders>
              <w:top w:val="nil"/>
              <w:left w:val="nil"/>
              <w:bottom w:val="single" w:sz="4" w:space="0" w:color="FFFFFF"/>
              <w:right w:val="single" w:sz="4" w:space="0" w:color="FFFFFF"/>
            </w:tcBorders>
            <w:shd w:val="clear" w:color="000000" w:fill="D9E1F2"/>
            <w:noWrap/>
            <w:vAlign w:val="center"/>
            <w:hideMark/>
          </w:tcPr>
          <w:p w14:paraId="7FEA38CF" w14:textId="35D9AA9F" w:rsidR="00B234B9" w:rsidRDefault="00B234B9" w:rsidP="00B234B9">
            <w:pPr>
              <w:jc w:val="right"/>
              <w:rPr>
                <w:rFonts w:ascii="Calibri" w:hAnsi="Calibri" w:cs="Calibri"/>
                <w:color w:val="000000"/>
                <w:sz w:val="18"/>
                <w:szCs w:val="18"/>
              </w:rPr>
            </w:pPr>
            <w:r>
              <w:rPr>
                <w:rFonts w:ascii="Calibri" w:hAnsi="Calibri" w:cs="Calibri"/>
                <w:color w:val="000000"/>
                <w:sz w:val="18"/>
                <w:szCs w:val="18"/>
              </w:rPr>
              <w:t xml:space="preserve">0,7 </w:t>
            </w:r>
          </w:p>
        </w:tc>
        <w:tc>
          <w:tcPr>
            <w:tcW w:w="851" w:type="dxa"/>
            <w:tcBorders>
              <w:top w:val="nil"/>
              <w:left w:val="nil"/>
              <w:bottom w:val="single" w:sz="4" w:space="0" w:color="FFFFFF"/>
              <w:right w:val="nil"/>
            </w:tcBorders>
            <w:shd w:val="clear" w:color="000000" w:fill="D9E1F2"/>
            <w:noWrap/>
            <w:vAlign w:val="center"/>
            <w:hideMark/>
          </w:tcPr>
          <w:p w14:paraId="57924978" w14:textId="388A8442" w:rsidR="00B234B9" w:rsidRDefault="00B234B9" w:rsidP="00B234B9">
            <w:pPr>
              <w:jc w:val="right"/>
              <w:rPr>
                <w:rFonts w:ascii="Calibri" w:hAnsi="Calibri" w:cs="Calibri"/>
                <w:color w:val="000000"/>
                <w:sz w:val="18"/>
                <w:szCs w:val="18"/>
              </w:rPr>
            </w:pPr>
            <w:r>
              <w:rPr>
                <w:rFonts w:ascii="Calibri" w:hAnsi="Calibri" w:cs="Calibri"/>
                <w:color w:val="000000"/>
                <w:sz w:val="18"/>
                <w:szCs w:val="18"/>
              </w:rPr>
              <w:t>9,5%</w:t>
            </w:r>
          </w:p>
        </w:tc>
      </w:tr>
      <w:tr w:rsidR="001C6FD5" w14:paraId="6C3E50E6" w14:textId="77777777" w:rsidTr="00D17AF1">
        <w:trPr>
          <w:trHeight w:val="288"/>
        </w:trPr>
        <w:tc>
          <w:tcPr>
            <w:tcW w:w="3539" w:type="dxa"/>
            <w:tcBorders>
              <w:top w:val="nil"/>
              <w:left w:val="single" w:sz="4" w:space="0" w:color="FFFFFF"/>
              <w:bottom w:val="single" w:sz="4" w:space="0" w:color="FFFFFF"/>
              <w:right w:val="single" w:sz="4" w:space="0" w:color="FFFFFF"/>
            </w:tcBorders>
            <w:shd w:val="clear" w:color="000000" w:fill="D9E1F2"/>
            <w:vAlign w:val="center"/>
            <w:hideMark/>
          </w:tcPr>
          <w:p w14:paraId="4466C6B3" w14:textId="77777777" w:rsidR="001C6FD5" w:rsidRDefault="001C6FD5" w:rsidP="001C6FD5">
            <w:pPr>
              <w:rPr>
                <w:rFonts w:ascii="Calibri" w:hAnsi="Calibri" w:cs="Calibri"/>
                <w:color w:val="000000"/>
                <w:sz w:val="18"/>
                <w:szCs w:val="18"/>
              </w:rPr>
            </w:pPr>
            <w:r>
              <w:rPr>
                <w:rFonts w:ascii="Calibri" w:hAnsi="Calibri" w:cs="Calibri"/>
                <w:color w:val="000000"/>
                <w:sz w:val="18"/>
                <w:szCs w:val="18"/>
              </w:rPr>
              <w:t>Gastos c/ Pessoal/Total (OS+CD+T)</w:t>
            </w:r>
          </w:p>
        </w:tc>
        <w:tc>
          <w:tcPr>
            <w:tcW w:w="1134" w:type="dxa"/>
            <w:tcBorders>
              <w:top w:val="nil"/>
              <w:left w:val="nil"/>
              <w:bottom w:val="single" w:sz="4" w:space="0" w:color="FFFFFF"/>
              <w:right w:val="single" w:sz="4" w:space="0" w:color="FFFFFF"/>
            </w:tcBorders>
            <w:shd w:val="clear" w:color="000000" w:fill="D9E1F2"/>
            <w:noWrap/>
            <w:vAlign w:val="center"/>
            <w:hideMark/>
          </w:tcPr>
          <w:p w14:paraId="35E19A91" w14:textId="102FC351" w:rsidR="001C6FD5" w:rsidRDefault="001C6FD5" w:rsidP="001C6FD5">
            <w:pPr>
              <w:jc w:val="right"/>
              <w:rPr>
                <w:rFonts w:ascii="Calibri" w:hAnsi="Calibri" w:cs="Calibri"/>
                <w:color w:val="000000"/>
                <w:sz w:val="18"/>
                <w:szCs w:val="18"/>
              </w:rPr>
            </w:pPr>
            <w:r>
              <w:rPr>
                <w:rFonts w:ascii="Calibri" w:hAnsi="Calibri" w:cs="Calibri"/>
                <w:color w:val="000000"/>
                <w:sz w:val="18"/>
                <w:szCs w:val="18"/>
              </w:rPr>
              <w:t xml:space="preserve">61 </w:t>
            </w:r>
          </w:p>
        </w:tc>
        <w:tc>
          <w:tcPr>
            <w:tcW w:w="992" w:type="dxa"/>
            <w:tcBorders>
              <w:top w:val="nil"/>
              <w:left w:val="nil"/>
              <w:bottom w:val="single" w:sz="4" w:space="0" w:color="FFFFFF"/>
              <w:right w:val="single" w:sz="4" w:space="0" w:color="FFFFFF"/>
            </w:tcBorders>
            <w:shd w:val="clear" w:color="000000" w:fill="D9E1F2"/>
            <w:noWrap/>
            <w:vAlign w:val="center"/>
          </w:tcPr>
          <w:p w14:paraId="2AF388D7" w14:textId="1364ADFB" w:rsidR="001C6FD5" w:rsidRDefault="001C6FD5" w:rsidP="001C6FD5">
            <w:pPr>
              <w:jc w:val="right"/>
              <w:rPr>
                <w:rFonts w:ascii="Calibri" w:hAnsi="Calibri" w:cs="Calibri"/>
                <w:color w:val="000000"/>
                <w:sz w:val="18"/>
                <w:szCs w:val="18"/>
              </w:rPr>
            </w:pPr>
            <w:r>
              <w:rPr>
                <w:rFonts w:ascii="Calibri" w:hAnsi="Calibri" w:cs="Calibri"/>
                <w:color w:val="000000"/>
                <w:sz w:val="18"/>
                <w:szCs w:val="18"/>
              </w:rPr>
              <w:t xml:space="preserve">139 </w:t>
            </w:r>
          </w:p>
        </w:tc>
        <w:tc>
          <w:tcPr>
            <w:tcW w:w="993" w:type="dxa"/>
            <w:tcBorders>
              <w:top w:val="nil"/>
              <w:left w:val="nil"/>
              <w:bottom w:val="single" w:sz="4" w:space="0" w:color="FFFFFF"/>
              <w:right w:val="single" w:sz="4" w:space="0" w:color="FFFFFF"/>
            </w:tcBorders>
            <w:shd w:val="clear" w:color="000000" w:fill="D9E1F2"/>
            <w:noWrap/>
            <w:vAlign w:val="center"/>
            <w:hideMark/>
          </w:tcPr>
          <w:p w14:paraId="5BD5639D" w14:textId="18732877" w:rsidR="001C6FD5" w:rsidRDefault="001C6FD5" w:rsidP="001C6FD5">
            <w:pPr>
              <w:jc w:val="right"/>
              <w:rPr>
                <w:rFonts w:ascii="Calibri" w:hAnsi="Calibri" w:cs="Calibri"/>
                <w:color w:val="000000"/>
                <w:sz w:val="18"/>
                <w:szCs w:val="18"/>
              </w:rPr>
            </w:pPr>
            <w:r>
              <w:rPr>
                <w:rFonts w:ascii="Calibri" w:hAnsi="Calibri" w:cs="Calibri"/>
                <w:color w:val="000000"/>
                <w:sz w:val="18"/>
                <w:szCs w:val="18"/>
              </w:rPr>
              <w:t xml:space="preserve">54 </w:t>
            </w:r>
          </w:p>
        </w:tc>
        <w:tc>
          <w:tcPr>
            <w:tcW w:w="850" w:type="dxa"/>
            <w:tcBorders>
              <w:top w:val="nil"/>
              <w:left w:val="nil"/>
              <w:bottom w:val="single" w:sz="4" w:space="0" w:color="FFFFFF"/>
              <w:right w:val="single" w:sz="4" w:space="0" w:color="FFFFFF"/>
            </w:tcBorders>
            <w:shd w:val="clear" w:color="000000" w:fill="D9E1F2"/>
            <w:noWrap/>
            <w:vAlign w:val="center"/>
            <w:hideMark/>
          </w:tcPr>
          <w:p w14:paraId="245B7121" w14:textId="14E40C23" w:rsidR="001C6FD5" w:rsidRDefault="001C6FD5" w:rsidP="001C6FD5">
            <w:pPr>
              <w:jc w:val="right"/>
              <w:rPr>
                <w:rFonts w:ascii="Calibri" w:hAnsi="Calibri" w:cs="Calibri"/>
                <w:color w:val="000000"/>
                <w:sz w:val="18"/>
                <w:szCs w:val="18"/>
              </w:rPr>
            </w:pPr>
            <w:r>
              <w:rPr>
                <w:rFonts w:ascii="Calibri" w:hAnsi="Calibri" w:cs="Calibri"/>
                <w:color w:val="000000"/>
                <w:sz w:val="18"/>
                <w:szCs w:val="18"/>
              </w:rPr>
              <w:t xml:space="preserve">6 </w:t>
            </w:r>
          </w:p>
        </w:tc>
        <w:tc>
          <w:tcPr>
            <w:tcW w:w="851" w:type="dxa"/>
            <w:tcBorders>
              <w:top w:val="nil"/>
              <w:left w:val="nil"/>
              <w:bottom w:val="single" w:sz="4" w:space="0" w:color="FFFFFF"/>
              <w:right w:val="nil"/>
            </w:tcBorders>
            <w:shd w:val="clear" w:color="000000" w:fill="D9E1F2"/>
            <w:noWrap/>
            <w:vAlign w:val="center"/>
            <w:hideMark/>
          </w:tcPr>
          <w:p w14:paraId="630FB276" w14:textId="0BB26951" w:rsidR="001C6FD5" w:rsidRDefault="001C6FD5" w:rsidP="001C6FD5">
            <w:pPr>
              <w:jc w:val="right"/>
              <w:rPr>
                <w:rFonts w:ascii="Calibri" w:hAnsi="Calibri" w:cs="Calibri"/>
                <w:color w:val="000000"/>
                <w:sz w:val="18"/>
                <w:szCs w:val="18"/>
              </w:rPr>
            </w:pPr>
            <w:r>
              <w:rPr>
                <w:rFonts w:ascii="Calibri" w:hAnsi="Calibri" w:cs="Calibri"/>
                <w:color w:val="000000"/>
                <w:sz w:val="18"/>
                <w:szCs w:val="18"/>
              </w:rPr>
              <w:t>11,6%</w:t>
            </w:r>
          </w:p>
        </w:tc>
      </w:tr>
      <w:tr w:rsidR="00B234B9" w:rsidRPr="00176DC3" w14:paraId="3643AC2C" w14:textId="77777777" w:rsidTr="00D17AF1">
        <w:trPr>
          <w:trHeight w:val="288"/>
        </w:trPr>
        <w:tc>
          <w:tcPr>
            <w:tcW w:w="3539" w:type="dxa"/>
            <w:tcBorders>
              <w:top w:val="nil"/>
              <w:left w:val="single" w:sz="4" w:space="0" w:color="FFFFFF"/>
              <w:bottom w:val="single" w:sz="4" w:space="0" w:color="FFFFFF"/>
              <w:right w:val="single" w:sz="4" w:space="0" w:color="FFFFFF"/>
            </w:tcBorders>
            <w:shd w:val="clear" w:color="000000" w:fill="D9E1F2"/>
            <w:vAlign w:val="center"/>
            <w:hideMark/>
          </w:tcPr>
          <w:p w14:paraId="2DB2874F" w14:textId="77777777" w:rsidR="00B234B9" w:rsidRPr="00176DC3" w:rsidRDefault="00B234B9" w:rsidP="00B234B9">
            <w:pPr>
              <w:rPr>
                <w:rFonts w:ascii="Calibri" w:hAnsi="Calibri" w:cs="Calibri"/>
                <w:sz w:val="18"/>
                <w:szCs w:val="18"/>
              </w:rPr>
            </w:pPr>
            <w:r w:rsidRPr="00176DC3">
              <w:rPr>
                <w:rFonts w:ascii="Calibri" w:hAnsi="Calibri" w:cs="Calibri"/>
                <w:sz w:val="18"/>
                <w:szCs w:val="18"/>
              </w:rPr>
              <w:t>Massa Salarial Global</w:t>
            </w:r>
          </w:p>
        </w:tc>
        <w:tc>
          <w:tcPr>
            <w:tcW w:w="1134" w:type="dxa"/>
            <w:tcBorders>
              <w:top w:val="nil"/>
              <w:left w:val="nil"/>
              <w:bottom w:val="single" w:sz="4" w:space="0" w:color="FFFFFF"/>
              <w:right w:val="single" w:sz="4" w:space="0" w:color="FFFFFF"/>
            </w:tcBorders>
            <w:shd w:val="clear" w:color="auto" w:fill="D9E1F2"/>
            <w:noWrap/>
            <w:vAlign w:val="center"/>
            <w:hideMark/>
          </w:tcPr>
          <w:p w14:paraId="34FDB000" w14:textId="1922F434" w:rsidR="00B234B9" w:rsidRPr="00176DC3" w:rsidRDefault="00B234B9" w:rsidP="00B234B9">
            <w:pPr>
              <w:jc w:val="right"/>
              <w:rPr>
                <w:rFonts w:ascii="Calibri" w:hAnsi="Calibri" w:cs="Calibri"/>
                <w:sz w:val="18"/>
                <w:szCs w:val="18"/>
              </w:rPr>
            </w:pPr>
            <w:r>
              <w:rPr>
                <w:rFonts w:ascii="Calibri" w:hAnsi="Calibri" w:cs="Calibri"/>
                <w:color w:val="000000"/>
                <w:sz w:val="18"/>
                <w:szCs w:val="18"/>
              </w:rPr>
              <w:t xml:space="preserve">4 146 </w:t>
            </w:r>
          </w:p>
        </w:tc>
        <w:tc>
          <w:tcPr>
            <w:tcW w:w="992" w:type="dxa"/>
            <w:tcBorders>
              <w:top w:val="nil"/>
              <w:left w:val="nil"/>
              <w:bottom w:val="single" w:sz="4" w:space="0" w:color="FFFFFF"/>
              <w:right w:val="single" w:sz="4" w:space="0" w:color="FFFFFF"/>
            </w:tcBorders>
            <w:shd w:val="clear" w:color="auto" w:fill="D9E1F2"/>
            <w:noWrap/>
            <w:vAlign w:val="center"/>
            <w:hideMark/>
          </w:tcPr>
          <w:p w14:paraId="0355C2BA" w14:textId="168AD725" w:rsidR="00B234B9" w:rsidRPr="00176DC3" w:rsidRDefault="00B234B9" w:rsidP="00B234B9">
            <w:pPr>
              <w:jc w:val="right"/>
              <w:rPr>
                <w:rFonts w:ascii="Calibri" w:hAnsi="Calibri" w:cs="Calibri"/>
                <w:sz w:val="18"/>
                <w:szCs w:val="18"/>
              </w:rPr>
            </w:pPr>
            <w:r>
              <w:rPr>
                <w:rFonts w:ascii="Calibri" w:hAnsi="Calibri" w:cs="Calibri"/>
                <w:color w:val="000000"/>
                <w:sz w:val="18"/>
                <w:szCs w:val="18"/>
              </w:rPr>
              <w:t xml:space="preserve">12 251 </w:t>
            </w:r>
          </w:p>
        </w:tc>
        <w:tc>
          <w:tcPr>
            <w:tcW w:w="993" w:type="dxa"/>
            <w:tcBorders>
              <w:top w:val="nil"/>
              <w:left w:val="nil"/>
              <w:bottom w:val="single" w:sz="4" w:space="0" w:color="FFFFFF"/>
              <w:right w:val="single" w:sz="4" w:space="0" w:color="FFFFFF"/>
            </w:tcBorders>
            <w:shd w:val="clear" w:color="auto" w:fill="D9E1F2"/>
            <w:noWrap/>
            <w:vAlign w:val="center"/>
            <w:hideMark/>
          </w:tcPr>
          <w:p w14:paraId="0C1BFB11" w14:textId="45DBBA59" w:rsidR="00B234B9" w:rsidRPr="00176DC3" w:rsidRDefault="00B234B9" w:rsidP="00B234B9">
            <w:pPr>
              <w:jc w:val="right"/>
              <w:rPr>
                <w:rFonts w:ascii="Calibri" w:hAnsi="Calibri" w:cs="Calibri"/>
                <w:sz w:val="18"/>
                <w:szCs w:val="18"/>
              </w:rPr>
            </w:pPr>
            <w:r>
              <w:rPr>
                <w:rFonts w:ascii="Calibri" w:hAnsi="Calibri" w:cs="Calibri"/>
                <w:color w:val="000000"/>
                <w:sz w:val="18"/>
                <w:szCs w:val="18"/>
              </w:rPr>
              <w:t xml:space="preserve">3 629 </w:t>
            </w:r>
          </w:p>
        </w:tc>
        <w:tc>
          <w:tcPr>
            <w:tcW w:w="850" w:type="dxa"/>
            <w:tcBorders>
              <w:top w:val="nil"/>
              <w:left w:val="nil"/>
              <w:bottom w:val="single" w:sz="4" w:space="0" w:color="FFFFFF"/>
              <w:right w:val="single" w:sz="4" w:space="0" w:color="FFFFFF"/>
            </w:tcBorders>
            <w:shd w:val="clear" w:color="000000" w:fill="D9E1F2"/>
            <w:noWrap/>
            <w:vAlign w:val="center"/>
            <w:hideMark/>
          </w:tcPr>
          <w:p w14:paraId="287B7612" w14:textId="30820D28" w:rsidR="00B234B9" w:rsidRPr="00176DC3" w:rsidRDefault="00B234B9" w:rsidP="00B234B9">
            <w:pPr>
              <w:jc w:val="right"/>
              <w:rPr>
                <w:rFonts w:ascii="Calibri" w:hAnsi="Calibri" w:cs="Calibri"/>
                <w:sz w:val="18"/>
                <w:szCs w:val="18"/>
              </w:rPr>
            </w:pPr>
            <w:r>
              <w:rPr>
                <w:rFonts w:ascii="Calibri" w:hAnsi="Calibri" w:cs="Calibri"/>
                <w:color w:val="000000"/>
                <w:sz w:val="18"/>
                <w:szCs w:val="18"/>
              </w:rPr>
              <w:t xml:space="preserve">517 </w:t>
            </w:r>
          </w:p>
        </w:tc>
        <w:tc>
          <w:tcPr>
            <w:tcW w:w="851" w:type="dxa"/>
            <w:tcBorders>
              <w:top w:val="nil"/>
              <w:left w:val="nil"/>
              <w:bottom w:val="single" w:sz="4" w:space="0" w:color="FFFFFF"/>
              <w:right w:val="nil"/>
            </w:tcBorders>
            <w:shd w:val="clear" w:color="000000" w:fill="D9E1F2"/>
            <w:noWrap/>
            <w:vAlign w:val="center"/>
            <w:hideMark/>
          </w:tcPr>
          <w:p w14:paraId="236D618A" w14:textId="05ADE9BF" w:rsidR="00B234B9" w:rsidRPr="00176DC3" w:rsidRDefault="00B234B9" w:rsidP="00B234B9">
            <w:pPr>
              <w:jc w:val="right"/>
              <w:rPr>
                <w:rFonts w:ascii="Calibri" w:hAnsi="Calibri" w:cs="Calibri"/>
                <w:sz w:val="18"/>
                <w:szCs w:val="18"/>
              </w:rPr>
            </w:pPr>
            <w:r>
              <w:rPr>
                <w:rFonts w:ascii="Calibri" w:hAnsi="Calibri" w:cs="Calibri"/>
                <w:color w:val="000000"/>
                <w:sz w:val="18"/>
                <w:szCs w:val="18"/>
              </w:rPr>
              <w:t>14,2%</w:t>
            </w:r>
          </w:p>
        </w:tc>
      </w:tr>
      <w:tr w:rsidR="00B234B9" w:rsidRPr="00176DC3" w14:paraId="0783974A" w14:textId="77777777" w:rsidTr="00D17AF1">
        <w:trPr>
          <w:trHeight w:val="288"/>
        </w:trPr>
        <w:tc>
          <w:tcPr>
            <w:tcW w:w="3539" w:type="dxa"/>
            <w:tcBorders>
              <w:top w:val="nil"/>
              <w:left w:val="single" w:sz="4" w:space="0" w:color="FFFFFF"/>
              <w:bottom w:val="single" w:sz="4" w:space="0" w:color="FFFFFF"/>
              <w:right w:val="single" w:sz="4" w:space="0" w:color="FFFFFF"/>
            </w:tcBorders>
            <w:shd w:val="clear" w:color="000000" w:fill="D9E1F2"/>
            <w:vAlign w:val="center"/>
            <w:hideMark/>
          </w:tcPr>
          <w:p w14:paraId="5D30E0EF" w14:textId="77777777" w:rsidR="00B234B9" w:rsidRPr="00176DC3" w:rsidRDefault="00B234B9" w:rsidP="00B234B9">
            <w:pPr>
              <w:rPr>
                <w:rFonts w:ascii="Calibri" w:hAnsi="Calibri" w:cs="Calibri"/>
                <w:sz w:val="18"/>
                <w:szCs w:val="18"/>
              </w:rPr>
            </w:pPr>
            <w:r w:rsidRPr="00176DC3">
              <w:rPr>
                <w:rFonts w:ascii="Calibri" w:hAnsi="Calibri" w:cs="Calibri"/>
                <w:sz w:val="18"/>
                <w:szCs w:val="18"/>
              </w:rPr>
              <w:t>Massa Salarial sem os efeitos de volume</w:t>
            </w:r>
          </w:p>
        </w:tc>
        <w:tc>
          <w:tcPr>
            <w:tcW w:w="1134" w:type="dxa"/>
            <w:tcBorders>
              <w:top w:val="nil"/>
              <w:left w:val="nil"/>
              <w:bottom w:val="single" w:sz="4" w:space="0" w:color="FFFFFF"/>
              <w:right w:val="single" w:sz="4" w:space="0" w:color="FFFFFF"/>
            </w:tcBorders>
            <w:shd w:val="clear" w:color="auto" w:fill="D9E1F2"/>
            <w:noWrap/>
            <w:vAlign w:val="center"/>
            <w:hideMark/>
          </w:tcPr>
          <w:p w14:paraId="37321F92" w14:textId="4AF98176" w:rsidR="00B234B9" w:rsidRPr="00176DC3" w:rsidRDefault="00B234B9" w:rsidP="00B234B9">
            <w:pPr>
              <w:jc w:val="right"/>
              <w:rPr>
                <w:rFonts w:ascii="Calibri" w:hAnsi="Calibri" w:cs="Calibri"/>
                <w:sz w:val="18"/>
                <w:szCs w:val="18"/>
              </w:rPr>
            </w:pPr>
            <w:r>
              <w:rPr>
                <w:rFonts w:ascii="Calibri" w:hAnsi="Calibri" w:cs="Calibri"/>
                <w:color w:val="000000"/>
                <w:sz w:val="18"/>
                <w:szCs w:val="18"/>
              </w:rPr>
              <w:t xml:space="preserve">4 113 </w:t>
            </w:r>
          </w:p>
        </w:tc>
        <w:tc>
          <w:tcPr>
            <w:tcW w:w="992" w:type="dxa"/>
            <w:tcBorders>
              <w:top w:val="nil"/>
              <w:left w:val="nil"/>
              <w:bottom w:val="single" w:sz="4" w:space="0" w:color="FFFFFF"/>
              <w:right w:val="single" w:sz="4" w:space="0" w:color="FFFFFF"/>
            </w:tcBorders>
            <w:shd w:val="clear" w:color="auto" w:fill="D9E1F2"/>
            <w:noWrap/>
            <w:vAlign w:val="center"/>
            <w:hideMark/>
          </w:tcPr>
          <w:p w14:paraId="18F1E95A" w14:textId="4CBB37A2" w:rsidR="00B234B9" w:rsidRPr="00176DC3" w:rsidRDefault="00B234B9" w:rsidP="00B234B9">
            <w:pPr>
              <w:jc w:val="right"/>
              <w:rPr>
                <w:rFonts w:ascii="Calibri" w:hAnsi="Calibri" w:cs="Calibri"/>
                <w:sz w:val="18"/>
                <w:szCs w:val="18"/>
              </w:rPr>
            </w:pPr>
            <w:r>
              <w:rPr>
                <w:rFonts w:ascii="Calibri" w:hAnsi="Calibri" w:cs="Calibri"/>
                <w:color w:val="000000"/>
                <w:sz w:val="18"/>
                <w:szCs w:val="18"/>
              </w:rPr>
              <w:t xml:space="preserve">12 251 </w:t>
            </w:r>
          </w:p>
        </w:tc>
        <w:tc>
          <w:tcPr>
            <w:tcW w:w="993" w:type="dxa"/>
            <w:tcBorders>
              <w:top w:val="nil"/>
              <w:left w:val="nil"/>
              <w:bottom w:val="single" w:sz="4" w:space="0" w:color="FFFFFF"/>
              <w:right w:val="single" w:sz="4" w:space="0" w:color="FFFFFF"/>
            </w:tcBorders>
            <w:shd w:val="clear" w:color="auto" w:fill="D9E1F2"/>
            <w:noWrap/>
            <w:vAlign w:val="center"/>
            <w:hideMark/>
          </w:tcPr>
          <w:p w14:paraId="1391D5D9" w14:textId="7D783EE1" w:rsidR="00B234B9" w:rsidRPr="00176DC3" w:rsidRDefault="00B234B9" w:rsidP="00B234B9">
            <w:pPr>
              <w:jc w:val="right"/>
              <w:rPr>
                <w:rFonts w:ascii="Calibri" w:hAnsi="Calibri" w:cs="Calibri"/>
                <w:sz w:val="18"/>
                <w:szCs w:val="18"/>
              </w:rPr>
            </w:pPr>
            <w:r>
              <w:rPr>
                <w:rFonts w:ascii="Calibri" w:hAnsi="Calibri" w:cs="Calibri"/>
                <w:color w:val="000000"/>
                <w:sz w:val="18"/>
                <w:szCs w:val="18"/>
              </w:rPr>
              <w:t xml:space="preserve">3 617 </w:t>
            </w:r>
          </w:p>
        </w:tc>
        <w:tc>
          <w:tcPr>
            <w:tcW w:w="850" w:type="dxa"/>
            <w:tcBorders>
              <w:top w:val="nil"/>
              <w:left w:val="nil"/>
              <w:bottom w:val="single" w:sz="4" w:space="0" w:color="FFFFFF"/>
              <w:right w:val="single" w:sz="4" w:space="0" w:color="FFFFFF"/>
            </w:tcBorders>
            <w:shd w:val="clear" w:color="000000" w:fill="D9E1F2"/>
            <w:noWrap/>
            <w:vAlign w:val="center"/>
            <w:hideMark/>
          </w:tcPr>
          <w:p w14:paraId="5CC5A97E" w14:textId="73B62CFD" w:rsidR="00B234B9" w:rsidRPr="00176DC3" w:rsidRDefault="00B234B9" w:rsidP="00B234B9">
            <w:pPr>
              <w:jc w:val="right"/>
              <w:rPr>
                <w:rFonts w:ascii="Calibri" w:hAnsi="Calibri" w:cs="Calibri"/>
                <w:sz w:val="18"/>
                <w:szCs w:val="18"/>
              </w:rPr>
            </w:pPr>
            <w:r>
              <w:rPr>
                <w:rFonts w:ascii="Calibri" w:hAnsi="Calibri" w:cs="Calibri"/>
                <w:color w:val="000000"/>
                <w:sz w:val="18"/>
                <w:szCs w:val="18"/>
              </w:rPr>
              <w:t xml:space="preserve">496 </w:t>
            </w:r>
          </w:p>
        </w:tc>
        <w:tc>
          <w:tcPr>
            <w:tcW w:w="851" w:type="dxa"/>
            <w:tcBorders>
              <w:top w:val="nil"/>
              <w:left w:val="nil"/>
              <w:bottom w:val="single" w:sz="4" w:space="0" w:color="FFFFFF"/>
              <w:right w:val="nil"/>
            </w:tcBorders>
            <w:shd w:val="clear" w:color="000000" w:fill="D9E1F2"/>
            <w:noWrap/>
            <w:vAlign w:val="center"/>
            <w:hideMark/>
          </w:tcPr>
          <w:p w14:paraId="26042170" w14:textId="341F02E8" w:rsidR="00B234B9" w:rsidRPr="00176DC3" w:rsidRDefault="00B234B9" w:rsidP="00B234B9">
            <w:pPr>
              <w:jc w:val="right"/>
              <w:rPr>
                <w:rFonts w:ascii="Calibri" w:hAnsi="Calibri" w:cs="Calibri"/>
                <w:sz w:val="18"/>
                <w:szCs w:val="18"/>
              </w:rPr>
            </w:pPr>
            <w:r>
              <w:rPr>
                <w:rFonts w:ascii="Calibri" w:hAnsi="Calibri" w:cs="Calibri"/>
                <w:color w:val="000000"/>
                <w:sz w:val="18"/>
                <w:szCs w:val="18"/>
              </w:rPr>
              <w:t>13,7%</w:t>
            </w:r>
          </w:p>
        </w:tc>
      </w:tr>
    </w:tbl>
    <w:p w14:paraId="3CBE1AA6" w14:textId="77777777" w:rsidR="00235F50" w:rsidRDefault="00235F50" w:rsidP="007A2D6D">
      <w:pPr>
        <w:rPr>
          <w:rFonts w:asciiTheme="minorHAnsi" w:hAnsiTheme="minorHAnsi" w:cstheme="minorHAnsi"/>
          <w:bCs/>
          <w:sz w:val="22"/>
          <w:szCs w:val="22"/>
          <w:lang w:eastAsia="en-US"/>
        </w:rPr>
      </w:pPr>
    </w:p>
    <w:p w14:paraId="5E4F9DF0" w14:textId="3FEB5ADA" w:rsidR="007A2D6D" w:rsidRPr="00D17AF1" w:rsidRDefault="00235F50" w:rsidP="00B234B9">
      <w:pPr>
        <w:jc w:val="both"/>
        <w:rPr>
          <w:rFonts w:asciiTheme="minorHAnsi" w:hAnsiTheme="minorHAnsi" w:cstheme="minorHAnsi"/>
          <w:bCs/>
          <w:sz w:val="22"/>
          <w:szCs w:val="22"/>
          <w:lang w:eastAsia="en-US"/>
        </w:rPr>
      </w:pPr>
      <w:r w:rsidRPr="00D17AF1">
        <w:rPr>
          <w:rFonts w:asciiTheme="minorHAnsi" w:hAnsiTheme="minorHAnsi" w:cstheme="minorHAnsi"/>
          <w:bCs/>
          <w:sz w:val="22"/>
          <w:szCs w:val="22"/>
          <w:lang w:eastAsia="en-US"/>
        </w:rPr>
        <w:t>Em 2025 um colaborador da PARVALOREM passou a integra</w:t>
      </w:r>
      <w:r w:rsidR="00B353EB" w:rsidRPr="00D17AF1">
        <w:rPr>
          <w:rFonts w:asciiTheme="minorHAnsi" w:hAnsiTheme="minorHAnsi" w:cstheme="minorHAnsi"/>
          <w:bCs/>
          <w:sz w:val="22"/>
          <w:szCs w:val="22"/>
          <w:lang w:eastAsia="en-US"/>
        </w:rPr>
        <w:t>r</w:t>
      </w:r>
      <w:r w:rsidRPr="00D17AF1">
        <w:rPr>
          <w:rFonts w:asciiTheme="minorHAnsi" w:hAnsiTheme="minorHAnsi" w:cstheme="minorHAnsi"/>
          <w:bCs/>
          <w:sz w:val="22"/>
          <w:szCs w:val="22"/>
          <w:lang w:eastAsia="en-US"/>
        </w:rPr>
        <w:t xml:space="preserve"> os Órgãos Sociais da empresa</w:t>
      </w:r>
      <w:r w:rsidR="00B353EB" w:rsidRPr="00D17AF1">
        <w:rPr>
          <w:rFonts w:asciiTheme="minorHAnsi" w:hAnsiTheme="minorHAnsi" w:cstheme="minorHAnsi"/>
          <w:bCs/>
          <w:sz w:val="22"/>
          <w:szCs w:val="22"/>
          <w:lang w:eastAsia="en-US"/>
        </w:rPr>
        <w:t>, pelo que</w:t>
      </w:r>
      <w:r w:rsidR="00301E27" w:rsidRPr="00D17AF1">
        <w:rPr>
          <w:rFonts w:asciiTheme="minorHAnsi" w:hAnsiTheme="minorHAnsi" w:cstheme="minorHAnsi"/>
          <w:bCs/>
          <w:sz w:val="22"/>
          <w:szCs w:val="22"/>
          <w:lang w:eastAsia="en-US"/>
        </w:rPr>
        <w:t>,</w:t>
      </w:r>
      <w:r w:rsidR="00B353EB" w:rsidRPr="00D17AF1">
        <w:rPr>
          <w:rFonts w:asciiTheme="minorHAnsi" w:hAnsiTheme="minorHAnsi" w:cstheme="minorHAnsi"/>
          <w:bCs/>
          <w:sz w:val="22"/>
          <w:szCs w:val="22"/>
          <w:lang w:eastAsia="en-US"/>
        </w:rPr>
        <w:t xml:space="preserve"> em termos líquidos, verificou-se a redução de um colabora</w:t>
      </w:r>
      <w:r w:rsidR="003D6450" w:rsidRPr="00D17AF1">
        <w:rPr>
          <w:rFonts w:asciiTheme="minorHAnsi" w:hAnsiTheme="minorHAnsi" w:cstheme="minorHAnsi"/>
          <w:bCs/>
          <w:sz w:val="22"/>
          <w:szCs w:val="22"/>
          <w:lang w:eastAsia="en-US"/>
        </w:rPr>
        <w:t>do</w:t>
      </w:r>
      <w:r w:rsidR="00B353EB" w:rsidRPr="00D17AF1">
        <w:rPr>
          <w:rFonts w:asciiTheme="minorHAnsi" w:hAnsiTheme="minorHAnsi" w:cstheme="minorHAnsi"/>
          <w:bCs/>
          <w:sz w:val="22"/>
          <w:szCs w:val="22"/>
          <w:lang w:eastAsia="en-US"/>
        </w:rPr>
        <w:t>r durante o ano</w:t>
      </w:r>
      <w:r w:rsidRPr="00D17AF1">
        <w:rPr>
          <w:rFonts w:asciiTheme="minorHAnsi" w:hAnsiTheme="minorHAnsi" w:cstheme="minorHAnsi"/>
          <w:bCs/>
          <w:sz w:val="22"/>
          <w:szCs w:val="22"/>
          <w:lang w:eastAsia="en-US"/>
        </w:rPr>
        <w:t>.</w:t>
      </w:r>
    </w:p>
    <w:p w14:paraId="59E1233D" w14:textId="77777777" w:rsidR="00B234B9" w:rsidRPr="00D17AF1" w:rsidRDefault="00B234B9" w:rsidP="00B234B9">
      <w:pPr>
        <w:jc w:val="both"/>
        <w:rPr>
          <w:rFonts w:asciiTheme="minorHAnsi" w:hAnsiTheme="minorHAnsi" w:cstheme="minorHAnsi"/>
          <w:bCs/>
          <w:sz w:val="22"/>
          <w:szCs w:val="22"/>
          <w:lang w:eastAsia="en-US"/>
        </w:rPr>
      </w:pPr>
    </w:p>
    <w:p w14:paraId="1A81FC60" w14:textId="1253D17E" w:rsidR="00B234B9" w:rsidRDefault="00B234B9" w:rsidP="00B234B9">
      <w:pPr>
        <w:jc w:val="both"/>
        <w:rPr>
          <w:rFonts w:asciiTheme="minorHAnsi" w:hAnsiTheme="minorHAnsi" w:cstheme="minorHAnsi"/>
          <w:bCs/>
          <w:sz w:val="22"/>
          <w:szCs w:val="22"/>
          <w:lang w:eastAsia="en-US"/>
        </w:rPr>
      </w:pPr>
      <w:r w:rsidRPr="00D17AF1">
        <w:rPr>
          <w:rFonts w:asciiTheme="minorHAnsi" w:hAnsiTheme="minorHAnsi" w:cstheme="minorHAnsi"/>
          <w:bCs/>
          <w:sz w:val="22"/>
          <w:szCs w:val="22"/>
          <w:lang w:eastAsia="en-US"/>
        </w:rPr>
        <w:t>O valor de “Massa salarial Global” orçamentado para 2025 incluiu € 6,</w:t>
      </w:r>
      <w:r w:rsidR="009B0DA0">
        <w:rPr>
          <w:rFonts w:asciiTheme="minorHAnsi" w:hAnsiTheme="minorHAnsi" w:cstheme="minorHAnsi"/>
          <w:bCs/>
          <w:sz w:val="22"/>
          <w:szCs w:val="22"/>
          <w:lang w:eastAsia="en-US"/>
        </w:rPr>
        <w:t>7</w:t>
      </w:r>
      <w:r w:rsidRPr="00D17AF1">
        <w:rPr>
          <w:rFonts w:asciiTheme="minorHAnsi" w:hAnsiTheme="minorHAnsi" w:cstheme="minorHAnsi"/>
          <w:bCs/>
          <w:sz w:val="22"/>
          <w:szCs w:val="22"/>
          <w:lang w:eastAsia="en-US"/>
        </w:rPr>
        <w:t xml:space="preserve"> milhões de estimativa para indemnizações com rescisões.</w:t>
      </w:r>
    </w:p>
    <w:p w14:paraId="70257933" w14:textId="77777777" w:rsidR="007A2D6D" w:rsidRDefault="007A2D6D">
      <w:pPr>
        <w:rPr>
          <w:rFonts w:asciiTheme="minorHAnsi" w:hAnsiTheme="minorHAnsi" w:cstheme="minorHAnsi"/>
          <w:b/>
          <w:sz w:val="22"/>
          <w:szCs w:val="22"/>
          <w:lang w:eastAsia="en-US"/>
        </w:rPr>
      </w:pPr>
    </w:p>
    <w:p w14:paraId="01A4828B" w14:textId="77777777" w:rsidR="007A2D6D" w:rsidRDefault="007A2D6D">
      <w:pPr>
        <w:rPr>
          <w:rFonts w:asciiTheme="minorHAnsi" w:hAnsiTheme="minorHAnsi" w:cstheme="minorHAnsi"/>
          <w:b/>
          <w:sz w:val="22"/>
          <w:szCs w:val="22"/>
          <w:lang w:eastAsia="en-US"/>
        </w:rPr>
      </w:pPr>
    </w:p>
    <w:p w14:paraId="36B3E128" w14:textId="630AC644" w:rsidR="00301E27" w:rsidRPr="005E02AB" w:rsidRDefault="00301E27" w:rsidP="00301E27">
      <w:pPr>
        <w:pStyle w:val="CorpotextoMP"/>
        <w:rPr>
          <w:rFonts w:asciiTheme="minorHAnsi" w:hAnsiTheme="minorHAnsi" w:cstheme="minorHAnsi"/>
          <w:b/>
          <w:sz w:val="22"/>
          <w:szCs w:val="22"/>
          <w:lang w:eastAsia="en-US"/>
        </w:rPr>
      </w:pPr>
      <w:r>
        <w:rPr>
          <w:rFonts w:asciiTheme="minorHAnsi" w:hAnsiTheme="minorHAnsi" w:cstheme="minorHAnsi"/>
          <w:b/>
          <w:sz w:val="22"/>
          <w:szCs w:val="22"/>
          <w:lang w:eastAsia="en-US"/>
        </w:rPr>
        <w:t>4</w:t>
      </w:r>
      <w:r w:rsidRPr="005E02AB">
        <w:rPr>
          <w:rFonts w:asciiTheme="minorHAnsi" w:hAnsiTheme="minorHAnsi" w:cstheme="minorHAnsi"/>
          <w:b/>
          <w:sz w:val="22"/>
          <w:szCs w:val="22"/>
          <w:lang w:eastAsia="en-US"/>
        </w:rPr>
        <w:t xml:space="preserve">. </w:t>
      </w:r>
      <w:r>
        <w:rPr>
          <w:rFonts w:asciiTheme="minorHAnsi" w:hAnsiTheme="minorHAnsi" w:cstheme="minorHAnsi"/>
          <w:b/>
          <w:sz w:val="22"/>
          <w:szCs w:val="22"/>
          <w:lang w:eastAsia="en-US"/>
        </w:rPr>
        <w:t>Plano de Investimentos</w:t>
      </w:r>
      <w:r w:rsidRPr="005E02AB">
        <w:rPr>
          <w:rFonts w:asciiTheme="minorHAnsi" w:hAnsiTheme="minorHAnsi" w:cstheme="minorHAnsi"/>
          <w:b/>
          <w:sz w:val="22"/>
          <w:szCs w:val="22"/>
          <w:lang w:eastAsia="en-US"/>
        </w:rPr>
        <w:t xml:space="preserve"> </w:t>
      </w:r>
    </w:p>
    <w:p w14:paraId="68BEBB8D" w14:textId="77777777" w:rsidR="00301E27" w:rsidRDefault="00301E27">
      <w:pPr>
        <w:rPr>
          <w:rFonts w:asciiTheme="minorHAnsi" w:hAnsiTheme="minorHAnsi" w:cstheme="minorHAnsi"/>
          <w:b/>
          <w:sz w:val="22"/>
          <w:szCs w:val="22"/>
          <w:lang w:eastAsia="en-US"/>
        </w:rPr>
      </w:pPr>
    </w:p>
    <w:p w14:paraId="2DB17ED4" w14:textId="77777777" w:rsidR="00301E27" w:rsidRPr="000C5E44" w:rsidRDefault="00301E27" w:rsidP="00301E27">
      <w:pPr>
        <w:rPr>
          <w:rFonts w:asciiTheme="minorHAnsi" w:hAnsiTheme="minorHAnsi" w:cstheme="minorHAnsi"/>
          <w:bCs/>
          <w:sz w:val="22"/>
          <w:szCs w:val="22"/>
          <w:lang w:eastAsia="en-US"/>
        </w:rPr>
      </w:pPr>
      <w:r w:rsidRPr="009C1F28">
        <w:rPr>
          <w:rFonts w:asciiTheme="minorHAnsi" w:hAnsiTheme="minorHAnsi" w:cstheme="minorHAnsi"/>
          <w:bCs/>
          <w:sz w:val="22"/>
          <w:szCs w:val="22"/>
          <w:lang w:eastAsia="en-US"/>
        </w:rPr>
        <w:t>Dada a sua natureza e enquadramento a PARVALOREM não realiza investimentos.</w:t>
      </w:r>
      <w:r>
        <w:rPr>
          <w:rFonts w:asciiTheme="minorHAnsi" w:hAnsiTheme="minorHAnsi" w:cstheme="minorHAnsi"/>
          <w:bCs/>
          <w:sz w:val="22"/>
          <w:szCs w:val="22"/>
          <w:lang w:eastAsia="en-US"/>
        </w:rPr>
        <w:t xml:space="preserve">   </w:t>
      </w:r>
    </w:p>
    <w:p w14:paraId="0558C152" w14:textId="77777777" w:rsidR="00301E27" w:rsidRDefault="00301E27">
      <w:pPr>
        <w:rPr>
          <w:rFonts w:asciiTheme="minorHAnsi" w:hAnsiTheme="minorHAnsi" w:cstheme="minorHAnsi"/>
          <w:b/>
          <w:sz w:val="22"/>
          <w:szCs w:val="22"/>
          <w:lang w:eastAsia="en-US"/>
        </w:rPr>
      </w:pPr>
    </w:p>
    <w:p w14:paraId="71BAC50C" w14:textId="77777777" w:rsidR="00301E27" w:rsidRDefault="00301E27">
      <w:pPr>
        <w:rPr>
          <w:rFonts w:asciiTheme="minorHAnsi" w:hAnsiTheme="minorHAnsi" w:cstheme="minorHAnsi"/>
          <w:b/>
          <w:sz w:val="22"/>
          <w:szCs w:val="22"/>
          <w:lang w:eastAsia="en-US"/>
        </w:rPr>
      </w:pPr>
    </w:p>
    <w:p w14:paraId="32963833" w14:textId="5F5F9EFA" w:rsidR="00301E27" w:rsidRPr="005E02AB" w:rsidRDefault="00301E27" w:rsidP="00301E27">
      <w:pPr>
        <w:pStyle w:val="CorpotextoMP"/>
        <w:rPr>
          <w:rFonts w:asciiTheme="minorHAnsi" w:hAnsiTheme="minorHAnsi" w:cstheme="minorHAnsi"/>
          <w:b/>
          <w:sz w:val="22"/>
          <w:szCs w:val="22"/>
          <w:lang w:eastAsia="en-US"/>
        </w:rPr>
      </w:pPr>
      <w:r>
        <w:rPr>
          <w:rFonts w:asciiTheme="minorHAnsi" w:hAnsiTheme="minorHAnsi" w:cstheme="minorHAnsi"/>
          <w:b/>
          <w:sz w:val="22"/>
          <w:szCs w:val="22"/>
          <w:lang w:eastAsia="en-US"/>
        </w:rPr>
        <w:t>5</w:t>
      </w:r>
      <w:r w:rsidRPr="005E02AB">
        <w:rPr>
          <w:rFonts w:asciiTheme="minorHAnsi" w:hAnsiTheme="minorHAnsi" w:cstheme="minorHAnsi"/>
          <w:b/>
          <w:sz w:val="22"/>
          <w:szCs w:val="22"/>
          <w:lang w:eastAsia="en-US"/>
        </w:rPr>
        <w:t xml:space="preserve">. </w:t>
      </w:r>
      <w:r>
        <w:rPr>
          <w:rFonts w:asciiTheme="minorHAnsi" w:hAnsiTheme="minorHAnsi" w:cstheme="minorHAnsi"/>
          <w:b/>
          <w:sz w:val="22"/>
          <w:szCs w:val="22"/>
          <w:lang w:eastAsia="en-US"/>
        </w:rPr>
        <w:t>Contratualização de Serviço Público</w:t>
      </w:r>
      <w:r w:rsidRPr="005E02AB">
        <w:rPr>
          <w:rFonts w:asciiTheme="minorHAnsi" w:hAnsiTheme="minorHAnsi" w:cstheme="minorHAnsi"/>
          <w:b/>
          <w:sz w:val="22"/>
          <w:szCs w:val="22"/>
          <w:lang w:eastAsia="en-US"/>
        </w:rPr>
        <w:t xml:space="preserve"> </w:t>
      </w:r>
    </w:p>
    <w:p w14:paraId="6BEB05CB" w14:textId="77777777" w:rsidR="00776E2D" w:rsidRDefault="00776E2D">
      <w:pPr>
        <w:rPr>
          <w:rFonts w:asciiTheme="minorHAnsi" w:hAnsiTheme="minorHAnsi" w:cstheme="minorHAnsi"/>
          <w:b/>
          <w:sz w:val="22"/>
          <w:szCs w:val="22"/>
          <w:lang w:eastAsia="en-US"/>
        </w:rPr>
      </w:pPr>
    </w:p>
    <w:p w14:paraId="3276197C" w14:textId="252024BF" w:rsidR="003E17E8" w:rsidRDefault="003E17E8" w:rsidP="003E17E8">
      <w:pPr>
        <w:pStyle w:val="efcorpodetextoRGS"/>
      </w:pPr>
      <w:r w:rsidRPr="00DB3171">
        <w:t>A PARVALOREM não está sujeita a obrigações ou contrato</w:t>
      </w:r>
      <w:r w:rsidR="000C06F9">
        <w:t>s de prestação</w:t>
      </w:r>
      <w:r w:rsidRPr="00DB3171">
        <w:t xml:space="preserve"> de serviço público.</w:t>
      </w:r>
    </w:p>
    <w:p w14:paraId="247EE078" w14:textId="77777777" w:rsidR="003E17E8" w:rsidRDefault="003E17E8" w:rsidP="00776E2D">
      <w:pPr>
        <w:rPr>
          <w:rFonts w:asciiTheme="minorHAnsi" w:hAnsiTheme="minorHAnsi" w:cstheme="minorHAnsi"/>
          <w:bCs/>
          <w:sz w:val="22"/>
          <w:szCs w:val="22"/>
          <w:highlight w:val="yellow"/>
          <w:lang w:eastAsia="en-US"/>
        </w:rPr>
      </w:pPr>
    </w:p>
    <w:p w14:paraId="627EB943" w14:textId="77777777" w:rsidR="00301E27" w:rsidRDefault="00301E27">
      <w:pPr>
        <w:rPr>
          <w:rFonts w:asciiTheme="minorHAnsi" w:hAnsiTheme="minorHAnsi" w:cstheme="minorHAnsi"/>
          <w:b/>
          <w:sz w:val="22"/>
          <w:szCs w:val="22"/>
          <w:lang w:eastAsia="en-US"/>
        </w:rPr>
      </w:pPr>
    </w:p>
    <w:p w14:paraId="3F7E6BD7" w14:textId="77777777" w:rsidR="00825E7A" w:rsidRDefault="00825E7A">
      <w:pPr>
        <w:rPr>
          <w:rFonts w:asciiTheme="minorHAnsi" w:hAnsiTheme="minorHAnsi" w:cstheme="minorHAnsi"/>
          <w:b/>
          <w:sz w:val="22"/>
          <w:szCs w:val="22"/>
          <w:lang w:eastAsia="en-US"/>
        </w:rPr>
      </w:pPr>
    </w:p>
    <w:p w14:paraId="4B883CD0" w14:textId="77777777" w:rsidR="00BE359D" w:rsidRDefault="00BE359D">
      <w:pPr>
        <w:rPr>
          <w:rFonts w:asciiTheme="minorHAnsi" w:hAnsiTheme="minorHAnsi" w:cstheme="minorHAnsi"/>
          <w:b/>
          <w:sz w:val="22"/>
          <w:szCs w:val="22"/>
          <w:lang w:eastAsia="en-US"/>
        </w:rPr>
      </w:pPr>
      <w:r>
        <w:rPr>
          <w:rFonts w:asciiTheme="minorHAnsi" w:hAnsiTheme="minorHAnsi" w:cstheme="minorHAnsi"/>
          <w:b/>
          <w:sz w:val="22"/>
          <w:szCs w:val="22"/>
          <w:lang w:eastAsia="en-US"/>
        </w:rPr>
        <w:br w:type="page"/>
      </w:r>
    </w:p>
    <w:p w14:paraId="6FBD5080" w14:textId="710442EC" w:rsidR="006D7C47" w:rsidRPr="005E02AB" w:rsidRDefault="006F64F3" w:rsidP="006D7C47">
      <w:pPr>
        <w:pStyle w:val="CorpotextoMP"/>
        <w:rPr>
          <w:rFonts w:asciiTheme="minorHAnsi" w:hAnsiTheme="minorHAnsi" w:cstheme="minorHAnsi"/>
          <w:b/>
          <w:sz w:val="22"/>
          <w:szCs w:val="22"/>
          <w:lang w:eastAsia="en-US"/>
        </w:rPr>
      </w:pPr>
      <w:r>
        <w:rPr>
          <w:rFonts w:asciiTheme="minorHAnsi" w:hAnsiTheme="minorHAnsi" w:cstheme="minorHAnsi"/>
          <w:b/>
          <w:sz w:val="22"/>
          <w:szCs w:val="22"/>
          <w:lang w:eastAsia="en-US"/>
        </w:rPr>
        <w:lastRenderedPageBreak/>
        <w:t>6</w:t>
      </w:r>
      <w:r w:rsidR="006D7C47" w:rsidRPr="005E02AB">
        <w:rPr>
          <w:rFonts w:asciiTheme="minorHAnsi" w:hAnsiTheme="minorHAnsi" w:cstheme="minorHAnsi"/>
          <w:b/>
          <w:sz w:val="22"/>
          <w:szCs w:val="22"/>
          <w:lang w:eastAsia="en-US"/>
        </w:rPr>
        <w:t xml:space="preserve">. Gestão do Risco Financeiro </w:t>
      </w:r>
    </w:p>
    <w:p w14:paraId="4CC63569" w14:textId="77777777" w:rsidR="006D7C47" w:rsidRPr="005D5E4D" w:rsidRDefault="006D7C47" w:rsidP="006D7C47">
      <w:pPr>
        <w:ind w:left="360"/>
        <w:jc w:val="both"/>
        <w:rPr>
          <w:rFonts w:asciiTheme="minorHAnsi" w:hAnsiTheme="minorHAnsi" w:cstheme="minorHAnsi"/>
          <w:sz w:val="22"/>
          <w:szCs w:val="22"/>
          <w:lang w:eastAsia="en-US"/>
        </w:rPr>
      </w:pPr>
    </w:p>
    <w:p w14:paraId="6AFBE12C" w14:textId="77777777" w:rsidR="006D7C47" w:rsidRDefault="006D7C47" w:rsidP="006D7C47">
      <w:pPr>
        <w:pStyle w:val="CorpodotextoMP"/>
        <w:spacing w:after="0"/>
        <w:rPr>
          <w:rFonts w:asciiTheme="minorHAnsi" w:hAnsiTheme="minorHAnsi" w:cstheme="minorHAnsi"/>
          <w:sz w:val="22"/>
          <w:szCs w:val="22"/>
        </w:rPr>
      </w:pPr>
      <w:r w:rsidRPr="00691C61">
        <w:rPr>
          <w:rFonts w:asciiTheme="minorHAnsi" w:hAnsiTheme="minorHAnsi" w:cstheme="minorHAnsi"/>
          <w:sz w:val="22"/>
          <w:szCs w:val="22"/>
        </w:rPr>
        <w:t xml:space="preserve">A </w:t>
      </w:r>
      <w:r>
        <w:rPr>
          <w:rFonts w:asciiTheme="minorHAnsi" w:hAnsiTheme="minorHAnsi" w:cstheme="minorHAnsi"/>
          <w:smallCaps/>
          <w:sz w:val="22"/>
          <w:szCs w:val="22"/>
        </w:rPr>
        <w:t>PARVALOREM</w:t>
      </w:r>
      <w:r w:rsidRPr="00691C61">
        <w:rPr>
          <w:rFonts w:asciiTheme="minorHAnsi" w:hAnsiTheme="minorHAnsi" w:cstheme="minorHAnsi"/>
          <w:sz w:val="22"/>
          <w:szCs w:val="22"/>
        </w:rPr>
        <w:t xml:space="preserve"> não recorre a financiamentos de Instituições Financeiras. As suas necessidades são, na componente não coberta por receitas/recebimentos próprios, asseguradas, exclusivamente, por empréstimos do seu acionista, o Estado, através da </w:t>
      </w:r>
      <w:r>
        <w:rPr>
          <w:rFonts w:asciiTheme="minorHAnsi" w:hAnsiTheme="minorHAnsi" w:cstheme="minorHAnsi"/>
          <w:sz w:val="22"/>
          <w:szCs w:val="22"/>
        </w:rPr>
        <w:t>ETF.</w:t>
      </w:r>
    </w:p>
    <w:p w14:paraId="5BFA41A1" w14:textId="77777777" w:rsidR="006D7C47" w:rsidRPr="00691C61" w:rsidRDefault="006D7C47" w:rsidP="006D7C47">
      <w:pPr>
        <w:pStyle w:val="CorpodotextoMP"/>
        <w:spacing w:after="0"/>
        <w:rPr>
          <w:rFonts w:asciiTheme="minorHAnsi" w:hAnsiTheme="minorHAnsi" w:cstheme="minorHAnsi"/>
          <w:sz w:val="22"/>
          <w:szCs w:val="22"/>
        </w:rPr>
      </w:pPr>
    </w:p>
    <w:p w14:paraId="2AB4A604" w14:textId="77777777" w:rsidR="006D7C47" w:rsidRDefault="006D7C47" w:rsidP="006D7C47">
      <w:pPr>
        <w:pStyle w:val="CorpodotextoMP"/>
        <w:spacing w:after="0"/>
        <w:rPr>
          <w:rFonts w:asciiTheme="minorHAnsi" w:hAnsiTheme="minorHAnsi" w:cstheme="minorHAnsi"/>
          <w:sz w:val="22"/>
          <w:szCs w:val="22"/>
        </w:rPr>
      </w:pPr>
      <w:r w:rsidRPr="00691C61">
        <w:rPr>
          <w:rFonts w:asciiTheme="minorHAnsi" w:hAnsiTheme="minorHAnsi" w:cstheme="minorHAnsi"/>
          <w:sz w:val="22"/>
          <w:szCs w:val="22"/>
        </w:rPr>
        <w:t xml:space="preserve">A carteira de financiamentos em curso está intrinsecamente ligada à reprivatização do </w:t>
      </w:r>
      <w:r w:rsidRPr="00691C61">
        <w:rPr>
          <w:rFonts w:asciiTheme="minorHAnsi" w:hAnsiTheme="minorHAnsi" w:cstheme="minorHAnsi"/>
          <w:smallCaps/>
          <w:sz w:val="22"/>
          <w:szCs w:val="22"/>
        </w:rPr>
        <w:t xml:space="preserve">BPN </w:t>
      </w:r>
      <w:r w:rsidRPr="00691C61">
        <w:rPr>
          <w:rFonts w:asciiTheme="minorHAnsi" w:hAnsiTheme="minorHAnsi" w:cstheme="minorHAnsi"/>
          <w:sz w:val="22"/>
          <w:szCs w:val="22"/>
        </w:rPr>
        <w:t>e medidas subjacentes à mesma, determinadas pelo Despachos de Sua excelência o Senhor Secretário de Estado do Tesouro e Finanças n.º 739/10-SETF, de 19 de julho, n.º 875/10-SETF, de 19 de agosto, e n.º 19070-A/2010-SETF, de 15 de dezembro.</w:t>
      </w:r>
      <w:r>
        <w:rPr>
          <w:rFonts w:asciiTheme="minorHAnsi" w:hAnsiTheme="minorHAnsi" w:cstheme="minorHAnsi"/>
          <w:sz w:val="22"/>
          <w:szCs w:val="22"/>
        </w:rPr>
        <w:t xml:space="preserve"> </w:t>
      </w:r>
    </w:p>
    <w:p w14:paraId="6F51A9D6" w14:textId="77777777" w:rsidR="006D7C47" w:rsidRDefault="006D7C47" w:rsidP="006D7C47">
      <w:pPr>
        <w:pStyle w:val="CorpodotextoMP"/>
        <w:spacing w:after="0"/>
        <w:rPr>
          <w:rFonts w:asciiTheme="minorHAnsi" w:hAnsiTheme="minorHAnsi" w:cstheme="minorHAnsi"/>
          <w:sz w:val="22"/>
          <w:szCs w:val="22"/>
        </w:rPr>
      </w:pPr>
    </w:p>
    <w:tbl>
      <w:tblPr>
        <w:tblW w:w="4949" w:type="pct"/>
        <w:jc w:val="center"/>
        <w:tblCellMar>
          <w:left w:w="70" w:type="dxa"/>
          <w:right w:w="70" w:type="dxa"/>
        </w:tblCellMar>
        <w:tblLook w:val="04A0" w:firstRow="1" w:lastRow="0" w:firstColumn="1" w:lastColumn="0" w:noHBand="0" w:noVBand="1"/>
      </w:tblPr>
      <w:tblGrid>
        <w:gridCol w:w="3030"/>
        <w:gridCol w:w="1047"/>
        <w:gridCol w:w="1049"/>
        <w:gridCol w:w="1049"/>
        <w:gridCol w:w="1049"/>
        <w:gridCol w:w="1045"/>
      </w:tblGrid>
      <w:tr w:rsidR="001F666A" w:rsidRPr="00D917F5" w14:paraId="61070388" w14:textId="77777777" w:rsidTr="001F666A">
        <w:trPr>
          <w:trHeight w:val="300"/>
          <w:tblHeader/>
          <w:jc w:val="center"/>
        </w:trPr>
        <w:tc>
          <w:tcPr>
            <w:tcW w:w="1832" w:type="pct"/>
            <w:tcBorders>
              <w:top w:val="single" w:sz="4" w:space="0" w:color="FFFFFF"/>
              <w:left w:val="single" w:sz="4" w:space="0" w:color="FFFFFF"/>
              <w:bottom w:val="single" w:sz="4" w:space="0" w:color="FFFFFF"/>
              <w:right w:val="single" w:sz="4" w:space="0" w:color="FFFFFF"/>
            </w:tcBorders>
            <w:shd w:val="clear" w:color="auto" w:fill="8EAADB" w:themeFill="accent5" w:themeFillTint="99"/>
            <w:vAlign w:val="center"/>
            <w:hideMark/>
          </w:tcPr>
          <w:p w14:paraId="2AED7466" w14:textId="77777777" w:rsidR="001F666A" w:rsidRPr="00D917F5" w:rsidRDefault="001F666A" w:rsidP="001F666A">
            <w:pPr>
              <w:jc w:val="center"/>
              <w:rPr>
                <w:rFonts w:ascii="Calibri" w:hAnsi="Calibri" w:cs="Calibri"/>
                <w:b/>
                <w:bCs/>
                <w:color w:val="000000"/>
                <w:sz w:val="18"/>
                <w:szCs w:val="18"/>
              </w:rPr>
            </w:pPr>
            <w:r w:rsidRPr="00D917F5">
              <w:rPr>
                <w:rFonts w:ascii="Calibri" w:hAnsi="Calibri" w:cs="Calibri"/>
                <w:b/>
                <w:bCs/>
                <w:color w:val="000000"/>
                <w:sz w:val="18"/>
                <w:szCs w:val="18"/>
              </w:rPr>
              <w:t>Anos</w:t>
            </w:r>
          </w:p>
        </w:tc>
        <w:tc>
          <w:tcPr>
            <w:tcW w:w="633" w:type="pct"/>
            <w:tcBorders>
              <w:top w:val="single" w:sz="4" w:space="0" w:color="FFFFFF"/>
              <w:left w:val="nil"/>
              <w:bottom w:val="single" w:sz="4" w:space="0" w:color="FFFFFF"/>
              <w:right w:val="single" w:sz="4" w:space="0" w:color="FFFFFF"/>
            </w:tcBorders>
            <w:shd w:val="clear" w:color="auto" w:fill="8EAADB" w:themeFill="accent5" w:themeFillTint="99"/>
            <w:vAlign w:val="center"/>
          </w:tcPr>
          <w:p w14:paraId="112D17C9" w14:textId="57797D67" w:rsidR="001F666A" w:rsidRPr="00D917F5" w:rsidRDefault="001F666A" w:rsidP="001F666A">
            <w:pPr>
              <w:jc w:val="center"/>
              <w:rPr>
                <w:rFonts w:ascii="Calibri" w:hAnsi="Calibri" w:cs="Calibri"/>
                <w:b/>
                <w:bCs/>
                <w:color w:val="000000"/>
                <w:sz w:val="18"/>
                <w:szCs w:val="18"/>
              </w:rPr>
            </w:pPr>
            <w:r w:rsidRPr="00D917F5">
              <w:rPr>
                <w:rFonts w:ascii="Calibri" w:hAnsi="Calibri" w:cs="Calibri"/>
                <w:b/>
                <w:bCs/>
                <w:color w:val="000000"/>
                <w:sz w:val="18"/>
                <w:szCs w:val="18"/>
              </w:rPr>
              <w:t>202</w:t>
            </w:r>
            <w:r>
              <w:rPr>
                <w:rFonts w:ascii="Calibri" w:hAnsi="Calibri" w:cs="Calibri"/>
                <w:b/>
                <w:bCs/>
                <w:color w:val="000000"/>
                <w:sz w:val="18"/>
                <w:szCs w:val="18"/>
              </w:rPr>
              <w:t>5</w:t>
            </w:r>
          </w:p>
        </w:tc>
        <w:tc>
          <w:tcPr>
            <w:tcW w:w="634" w:type="pct"/>
            <w:tcBorders>
              <w:top w:val="single" w:sz="4" w:space="0" w:color="FFFFFF"/>
              <w:left w:val="single" w:sz="4" w:space="0" w:color="FFFFFF"/>
              <w:bottom w:val="single" w:sz="4" w:space="0" w:color="FFFFFF"/>
              <w:right w:val="single" w:sz="4" w:space="0" w:color="FFFFFF"/>
            </w:tcBorders>
            <w:shd w:val="clear" w:color="auto" w:fill="8EAADB" w:themeFill="accent5" w:themeFillTint="99"/>
            <w:vAlign w:val="center"/>
          </w:tcPr>
          <w:p w14:paraId="7297380E" w14:textId="3DAED838" w:rsidR="001F666A" w:rsidRPr="00D917F5" w:rsidRDefault="001F666A" w:rsidP="001F666A">
            <w:pPr>
              <w:jc w:val="center"/>
              <w:rPr>
                <w:rFonts w:ascii="Calibri" w:hAnsi="Calibri" w:cs="Calibri"/>
                <w:b/>
                <w:bCs/>
                <w:color w:val="000000"/>
                <w:sz w:val="18"/>
                <w:szCs w:val="18"/>
              </w:rPr>
            </w:pPr>
            <w:r w:rsidRPr="00D917F5">
              <w:rPr>
                <w:rFonts w:ascii="Calibri" w:hAnsi="Calibri" w:cs="Calibri"/>
                <w:b/>
                <w:bCs/>
                <w:color w:val="000000"/>
                <w:sz w:val="18"/>
                <w:szCs w:val="18"/>
              </w:rPr>
              <w:t>202</w:t>
            </w:r>
            <w:r>
              <w:rPr>
                <w:rFonts w:ascii="Calibri" w:hAnsi="Calibri" w:cs="Calibri"/>
                <w:b/>
                <w:bCs/>
                <w:color w:val="000000"/>
                <w:sz w:val="18"/>
                <w:szCs w:val="18"/>
              </w:rPr>
              <w:t>4</w:t>
            </w:r>
          </w:p>
        </w:tc>
        <w:tc>
          <w:tcPr>
            <w:tcW w:w="634" w:type="pct"/>
            <w:tcBorders>
              <w:top w:val="single" w:sz="4" w:space="0" w:color="FFFFFF"/>
              <w:left w:val="single" w:sz="4" w:space="0" w:color="FFFFFF"/>
              <w:bottom w:val="single" w:sz="4" w:space="0" w:color="FFFFFF"/>
              <w:right w:val="single" w:sz="4" w:space="0" w:color="FFFFFF"/>
            </w:tcBorders>
            <w:shd w:val="clear" w:color="auto" w:fill="8EAADB" w:themeFill="accent5" w:themeFillTint="99"/>
            <w:vAlign w:val="center"/>
          </w:tcPr>
          <w:p w14:paraId="2E4E6A79" w14:textId="77777777" w:rsidR="001F666A" w:rsidRPr="00D917F5" w:rsidRDefault="001F666A" w:rsidP="001F666A">
            <w:pPr>
              <w:jc w:val="center"/>
              <w:rPr>
                <w:rFonts w:ascii="Calibri" w:hAnsi="Calibri" w:cs="Calibri"/>
                <w:b/>
                <w:bCs/>
                <w:color w:val="000000"/>
                <w:sz w:val="18"/>
                <w:szCs w:val="18"/>
              </w:rPr>
            </w:pPr>
            <w:r w:rsidRPr="00D917F5">
              <w:rPr>
                <w:rFonts w:ascii="Calibri" w:hAnsi="Calibri" w:cs="Calibri"/>
                <w:b/>
                <w:bCs/>
                <w:color w:val="000000"/>
                <w:sz w:val="18"/>
                <w:szCs w:val="18"/>
              </w:rPr>
              <w:t>2023</w:t>
            </w:r>
          </w:p>
        </w:tc>
        <w:tc>
          <w:tcPr>
            <w:tcW w:w="634" w:type="pct"/>
            <w:tcBorders>
              <w:top w:val="single" w:sz="4" w:space="0" w:color="FFFFFF"/>
              <w:left w:val="single" w:sz="4" w:space="0" w:color="FFFFFF"/>
              <w:bottom w:val="single" w:sz="4" w:space="0" w:color="FFFFFF"/>
              <w:right w:val="single" w:sz="4" w:space="0" w:color="FFFFFF"/>
            </w:tcBorders>
            <w:shd w:val="clear" w:color="auto" w:fill="8EAADB" w:themeFill="accent5" w:themeFillTint="99"/>
            <w:vAlign w:val="center"/>
          </w:tcPr>
          <w:p w14:paraId="11576154" w14:textId="77777777" w:rsidR="001F666A" w:rsidRPr="00D917F5" w:rsidRDefault="001F666A" w:rsidP="001F666A">
            <w:pPr>
              <w:jc w:val="center"/>
              <w:rPr>
                <w:rFonts w:ascii="Calibri" w:hAnsi="Calibri" w:cs="Calibri"/>
                <w:b/>
                <w:bCs/>
                <w:color w:val="000000"/>
                <w:sz w:val="18"/>
                <w:szCs w:val="18"/>
              </w:rPr>
            </w:pPr>
            <w:r w:rsidRPr="00D917F5">
              <w:rPr>
                <w:rFonts w:ascii="Calibri" w:hAnsi="Calibri" w:cs="Calibri"/>
                <w:b/>
                <w:bCs/>
                <w:color w:val="000000"/>
                <w:sz w:val="18"/>
                <w:szCs w:val="18"/>
              </w:rPr>
              <w:t>2022</w:t>
            </w:r>
          </w:p>
        </w:tc>
        <w:tc>
          <w:tcPr>
            <w:tcW w:w="632" w:type="pct"/>
            <w:tcBorders>
              <w:top w:val="single" w:sz="4" w:space="0" w:color="FFFFFF"/>
              <w:left w:val="single" w:sz="4" w:space="0" w:color="FFFFFF"/>
              <w:bottom w:val="single" w:sz="4" w:space="0" w:color="FFFFFF"/>
              <w:right w:val="single" w:sz="4" w:space="0" w:color="FFFFFF"/>
            </w:tcBorders>
            <w:shd w:val="clear" w:color="auto" w:fill="8EAADB" w:themeFill="accent5" w:themeFillTint="99"/>
            <w:vAlign w:val="center"/>
          </w:tcPr>
          <w:p w14:paraId="603D7DEC" w14:textId="77777777" w:rsidR="001F666A" w:rsidRPr="00D917F5" w:rsidRDefault="001F666A" w:rsidP="001F666A">
            <w:pPr>
              <w:jc w:val="center"/>
              <w:rPr>
                <w:rFonts w:ascii="Calibri" w:hAnsi="Calibri" w:cs="Calibri"/>
                <w:b/>
                <w:bCs/>
                <w:color w:val="000000"/>
                <w:sz w:val="18"/>
                <w:szCs w:val="18"/>
              </w:rPr>
            </w:pPr>
            <w:r w:rsidRPr="00D917F5">
              <w:rPr>
                <w:rFonts w:ascii="Calibri" w:hAnsi="Calibri" w:cs="Calibri"/>
                <w:b/>
                <w:bCs/>
                <w:color w:val="000000"/>
                <w:sz w:val="18"/>
                <w:szCs w:val="18"/>
              </w:rPr>
              <w:t>2021</w:t>
            </w:r>
          </w:p>
        </w:tc>
      </w:tr>
      <w:tr w:rsidR="00BE359D" w:rsidRPr="00D917F5" w14:paraId="7A133745" w14:textId="77777777" w:rsidTr="001F666A">
        <w:trPr>
          <w:trHeight w:val="327"/>
          <w:jc w:val="center"/>
        </w:trPr>
        <w:tc>
          <w:tcPr>
            <w:tcW w:w="1832" w:type="pct"/>
            <w:tcBorders>
              <w:top w:val="nil"/>
              <w:left w:val="single" w:sz="4" w:space="0" w:color="FFFFFF"/>
              <w:bottom w:val="single" w:sz="4" w:space="0" w:color="FFFFFF"/>
              <w:right w:val="single" w:sz="4" w:space="0" w:color="FFFFFF"/>
            </w:tcBorders>
            <w:shd w:val="clear" w:color="auto" w:fill="D9E2F3" w:themeFill="accent5" w:themeFillTint="33"/>
            <w:noWrap/>
            <w:vAlign w:val="center"/>
            <w:hideMark/>
          </w:tcPr>
          <w:p w14:paraId="651F6606" w14:textId="77777777" w:rsidR="00BE359D" w:rsidRPr="00D917F5" w:rsidRDefault="00BE359D" w:rsidP="00BE359D">
            <w:pPr>
              <w:rPr>
                <w:rFonts w:ascii="Calibri" w:hAnsi="Calibri" w:cs="Calibri"/>
                <w:color w:val="000000"/>
                <w:sz w:val="18"/>
                <w:szCs w:val="18"/>
              </w:rPr>
            </w:pPr>
            <w:r w:rsidRPr="00D917F5">
              <w:rPr>
                <w:rFonts w:ascii="Calibri" w:hAnsi="Calibri" w:cs="Calibri"/>
                <w:color w:val="000000"/>
                <w:sz w:val="18"/>
                <w:szCs w:val="18"/>
              </w:rPr>
              <w:t>Encargos Financeiros (m€)</w:t>
            </w:r>
          </w:p>
        </w:tc>
        <w:tc>
          <w:tcPr>
            <w:tcW w:w="633" w:type="pct"/>
            <w:tcBorders>
              <w:top w:val="single" w:sz="4" w:space="0" w:color="FFFFFF"/>
              <w:left w:val="nil"/>
              <w:bottom w:val="single" w:sz="4" w:space="0" w:color="FFFFFF"/>
              <w:right w:val="single" w:sz="4" w:space="0" w:color="FFFFFF"/>
            </w:tcBorders>
            <w:shd w:val="clear" w:color="auto" w:fill="D9E2F3" w:themeFill="accent5" w:themeFillTint="33"/>
            <w:vAlign w:val="center"/>
          </w:tcPr>
          <w:p w14:paraId="448CAF30" w14:textId="015F31B2" w:rsidR="00BE359D" w:rsidRDefault="00BE359D" w:rsidP="00BE359D">
            <w:pPr>
              <w:jc w:val="right"/>
              <w:rPr>
                <w:rFonts w:ascii="Calibri" w:hAnsi="Calibri" w:cs="Calibri"/>
                <w:sz w:val="18"/>
                <w:szCs w:val="18"/>
              </w:rPr>
            </w:pPr>
            <w:r>
              <w:rPr>
                <w:rFonts w:ascii="Calibri" w:hAnsi="Calibri" w:cs="Calibri"/>
                <w:sz w:val="18"/>
                <w:szCs w:val="18"/>
              </w:rPr>
              <w:t xml:space="preserve">66 567 </w:t>
            </w:r>
          </w:p>
        </w:tc>
        <w:tc>
          <w:tcPr>
            <w:tcW w:w="634" w:type="pct"/>
            <w:tcBorders>
              <w:top w:val="single" w:sz="4" w:space="0" w:color="FFFFFF"/>
              <w:left w:val="single" w:sz="4" w:space="0" w:color="FFFFFF"/>
              <w:bottom w:val="single" w:sz="4" w:space="0" w:color="FFFFFF"/>
              <w:right w:val="single" w:sz="4" w:space="0" w:color="FFFFFF"/>
            </w:tcBorders>
            <w:shd w:val="clear" w:color="auto" w:fill="D9E2F3" w:themeFill="accent5" w:themeFillTint="33"/>
            <w:vAlign w:val="center"/>
          </w:tcPr>
          <w:p w14:paraId="0099EA6C" w14:textId="41D95C1D" w:rsidR="00BE359D" w:rsidRPr="00D917F5" w:rsidRDefault="00BE359D" w:rsidP="00BE359D">
            <w:pPr>
              <w:jc w:val="right"/>
              <w:rPr>
                <w:rFonts w:ascii="Calibri" w:hAnsi="Calibri" w:cs="Calibri"/>
                <w:sz w:val="18"/>
                <w:szCs w:val="18"/>
              </w:rPr>
            </w:pPr>
            <w:r>
              <w:rPr>
                <w:rFonts w:ascii="Calibri" w:hAnsi="Calibri" w:cs="Calibri"/>
                <w:sz w:val="18"/>
                <w:szCs w:val="18"/>
              </w:rPr>
              <w:t>68 135</w:t>
            </w:r>
          </w:p>
        </w:tc>
        <w:tc>
          <w:tcPr>
            <w:tcW w:w="634" w:type="pct"/>
            <w:tcBorders>
              <w:top w:val="single" w:sz="4" w:space="0" w:color="FFFFFF"/>
              <w:left w:val="single" w:sz="4" w:space="0" w:color="FFFFFF"/>
              <w:bottom w:val="single" w:sz="4" w:space="0" w:color="FFFFFF"/>
              <w:right w:val="single" w:sz="4" w:space="0" w:color="FFFFFF"/>
            </w:tcBorders>
            <w:shd w:val="clear" w:color="auto" w:fill="D9E2F3" w:themeFill="accent5" w:themeFillTint="33"/>
            <w:vAlign w:val="center"/>
          </w:tcPr>
          <w:p w14:paraId="2BC2D67A" w14:textId="77777777" w:rsidR="00BE359D" w:rsidRPr="00D917F5" w:rsidRDefault="00BE359D" w:rsidP="00BE359D">
            <w:pPr>
              <w:jc w:val="right"/>
              <w:rPr>
                <w:rFonts w:ascii="Calibri" w:hAnsi="Calibri" w:cs="Calibri"/>
                <w:sz w:val="18"/>
                <w:szCs w:val="18"/>
              </w:rPr>
            </w:pPr>
            <w:r w:rsidRPr="00D917F5">
              <w:rPr>
                <w:rFonts w:ascii="Calibri" w:hAnsi="Calibri" w:cs="Calibri"/>
                <w:sz w:val="18"/>
                <w:szCs w:val="18"/>
              </w:rPr>
              <w:t>73 071</w:t>
            </w:r>
          </w:p>
        </w:tc>
        <w:tc>
          <w:tcPr>
            <w:tcW w:w="634" w:type="pct"/>
            <w:tcBorders>
              <w:top w:val="single" w:sz="4" w:space="0" w:color="FFFFFF"/>
              <w:left w:val="single" w:sz="4" w:space="0" w:color="FFFFFF"/>
              <w:bottom w:val="single" w:sz="4" w:space="0" w:color="FFFFFF"/>
              <w:right w:val="single" w:sz="4" w:space="0" w:color="FFFFFF"/>
            </w:tcBorders>
            <w:shd w:val="clear" w:color="auto" w:fill="D9E2F3" w:themeFill="accent5" w:themeFillTint="33"/>
            <w:vAlign w:val="center"/>
          </w:tcPr>
          <w:p w14:paraId="6CAAC45C" w14:textId="77777777" w:rsidR="00BE359D" w:rsidRPr="00D917F5" w:rsidRDefault="00BE359D" w:rsidP="00BE359D">
            <w:pPr>
              <w:jc w:val="right"/>
              <w:rPr>
                <w:rFonts w:ascii="Calibri" w:hAnsi="Calibri" w:cs="Calibri"/>
                <w:sz w:val="18"/>
                <w:szCs w:val="18"/>
              </w:rPr>
            </w:pPr>
            <w:r w:rsidRPr="00D917F5">
              <w:rPr>
                <w:rFonts w:ascii="Calibri" w:hAnsi="Calibri" w:cs="Calibri"/>
                <w:sz w:val="18"/>
                <w:szCs w:val="18"/>
              </w:rPr>
              <w:t>67 056</w:t>
            </w:r>
          </w:p>
        </w:tc>
        <w:tc>
          <w:tcPr>
            <w:tcW w:w="632" w:type="pct"/>
            <w:tcBorders>
              <w:top w:val="single" w:sz="4" w:space="0" w:color="FFFFFF"/>
              <w:left w:val="single" w:sz="4" w:space="0" w:color="FFFFFF"/>
              <w:bottom w:val="single" w:sz="4" w:space="0" w:color="FFFFFF"/>
              <w:right w:val="single" w:sz="4" w:space="0" w:color="FFFFFF"/>
            </w:tcBorders>
            <w:shd w:val="clear" w:color="auto" w:fill="D9E2F3" w:themeFill="accent5" w:themeFillTint="33"/>
            <w:vAlign w:val="center"/>
          </w:tcPr>
          <w:p w14:paraId="6E3BF20C" w14:textId="77777777" w:rsidR="00BE359D" w:rsidRPr="00D917F5" w:rsidRDefault="00BE359D" w:rsidP="00BE359D">
            <w:pPr>
              <w:jc w:val="right"/>
              <w:rPr>
                <w:rFonts w:ascii="Calibri" w:hAnsi="Calibri" w:cs="Calibri"/>
                <w:sz w:val="18"/>
                <w:szCs w:val="18"/>
              </w:rPr>
            </w:pPr>
            <w:r w:rsidRPr="00D917F5">
              <w:rPr>
                <w:rFonts w:ascii="Calibri" w:hAnsi="Calibri" w:cs="Calibri"/>
                <w:sz w:val="18"/>
                <w:szCs w:val="18"/>
              </w:rPr>
              <w:t xml:space="preserve">60 493 </w:t>
            </w:r>
          </w:p>
        </w:tc>
      </w:tr>
      <w:tr w:rsidR="00BE359D" w:rsidRPr="00D917F5" w14:paraId="00BF2FEF" w14:textId="77777777" w:rsidTr="001F666A">
        <w:trPr>
          <w:trHeight w:val="300"/>
          <w:jc w:val="center"/>
        </w:trPr>
        <w:tc>
          <w:tcPr>
            <w:tcW w:w="1832" w:type="pct"/>
            <w:tcBorders>
              <w:top w:val="nil"/>
              <w:left w:val="single" w:sz="4" w:space="0" w:color="FFFFFF"/>
              <w:bottom w:val="single" w:sz="4" w:space="0" w:color="FFFFFF"/>
              <w:right w:val="single" w:sz="4" w:space="0" w:color="FFFFFF"/>
            </w:tcBorders>
            <w:shd w:val="clear" w:color="auto" w:fill="D9E2F3" w:themeFill="accent5" w:themeFillTint="33"/>
            <w:noWrap/>
            <w:vAlign w:val="center"/>
            <w:hideMark/>
          </w:tcPr>
          <w:p w14:paraId="4E3C471B" w14:textId="77777777" w:rsidR="00BE359D" w:rsidRPr="00D917F5" w:rsidRDefault="00BE359D" w:rsidP="00BE359D">
            <w:pPr>
              <w:rPr>
                <w:rFonts w:ascii="Calibri" w:hAnsi="Calibri" w:cs="Calibri"/>
                <w:color w:val="000000"/>
                <w:sz w:val="18"/>
                <w:szCs w:val="18"/>
              </w:rPr>
            </w:pPr>
            <w:r w:rsidRPr="00D917F5">
              <w:rPr>
                <w:rFonts w:ascii="Calibri" w:hAnsi="Calibri" w:cs="Calibri"/>
                <w:color w:val="000000"/>
                <w:sz w:val="18"/>
                <w:szCs w:val="18"/>
              </w:rPr>
              <w:t>Taxa Média de Financiamento (%)</w:t>
            </w:r>
          </w:p>
        </w:tc>
        <w:tc>
          <w:tcPr>
            <w:tcW w:w="633" w:type="pct"/>
            <w:tcBorders>
              <w:top w:val="single" w:sz="4" w:space="0" w:color="FFFFFF"/>
              <w:left w:val="nil"/>
              <w:bottom w:val="single" w:sz="4" w:space="0" w:color="FFFFFF"/>
              <w:right w:val="single" w:sz="4" w:space="0" w:color="FFFFFF"/>
            </w:tcBorders>
            <w:shd w:val="clear" w:color="auto" w:fill="D9E2F3" w:themeFill="accent5" w:themeFillTint="33"/>
            <w:vAlign w:val="center"/>
          </w:tcPr>
          <w:p w14:paraId="2B8D1CC2" w14:textId="4DBF8223" w:rsidR="00BE359D" w:rsidRPr="00D917F5" w:rsidRDefault="00BE359D" w:rsidP="00BE359D">
            <w:pPr>
              <w:jc w:val="right"/>
              <w:rPr>
                <w:rFonts w:ascii="Calibri" w:hAnsi="Calibri" w:cs="Calibri"/>
                <w:color w:val="000000"/>
                <w:sz w:val="18"/>
                <w:szCs w:val="18"/>
              </w:rPr>
            </w:pPr>
            <w:r w:rsidRPr="00D917F5">
              <w:rPr>
                <w:rFonts w:ascii="Calibri" w:hAnsi="Calibri" w:cs="Calibri"/>
                <w:color w:val="000000"/>
                <w:sz w:val="18"/>
                <w:szCs w:val="18"/>
              </w:rPr>
              <w:t>1,</w:t>
            </w:r>
            <w:r>
              <w:rPr>
                <w:rFonts w:ascii="Calibri" w:hAnsi="Calibri" w:cs="Calibri"/>
                <w:color w:val="000000"/>
                <w:sz w:val="18"/>
                <w:szCs w:val="18"/>
              </w:rPr>
              <w:t>33</w:t>
            </w:r>
            <w:r w:rsidRPr="00D917F5">
              <w:rPr>
                <w:rFonts w:ascii="Calibri" w:hAnsi="Calibri" w:cs="Calibri"/>
                <w:color w:val="000000"/>
                <w:sz w:val="18"/>
                <w:szCs w:val="18"/>
              </w:rPr>
              <w:t>%</w:t>
            </w:r>
          </w:p>
        </w:tc>
        <w:tc>
          <w:tcPr>
            <w:tcW w:w="634" w:type="pct"/>
            <w:tcBorders>
              <w:top w:val="single" w:sz="4" w:space="0" w:color="FFFFFF"/>
              <w:left w:val="single" w:sz="4" w:space="0" w:color="FFFFFF"/>
              <w:bottom w:val="single" w:sz="4" w:space="0" w:color="FFFFFF"/>
              <w:right w:val="single" w:sz="4" w:space="0" w:color="FFFFFF"/>
            </w:tcBorders>
            <w:shd w:val="clear" w:color="auto" w:fill="D9E2F3" w:themeFill="accent5" w:themeFillTint="33"/>
            <w:vAlign w:val="center"/>
          </w:tcPr>
          <w:p w14:paraId="7980A628" w14:textId="4CA6AE34" w:rsidR="00BE359D" w:rsidRPr="00D917F5" w:rsidRDefault="00BE359D" w:rsidP="00BE359D">
            <w:pPr>
              <w:jc w:val="right"/>
              <w:rPr>
                <w:rFonts w:ascii="Calibri" w:hAnsi="Calibri" w:cs="Calibri"/>
                <w:color w:val="000000"/>
                <w:sz w:val="18"/>
                <w:szCs w:val="18"/>
              </w:rPr>
            </w:pPr>
            <w:r w:rsidRPr="00D917F5">
              <w:rPr>
                <w:rFonts w:ascii="Calibri" w:hAnsi="Calibri" w:cs="Calibri"/>
                <w:color w:val="000000"/>
                <w:sz w:val="18"/>
                <w:szCs w:val="18"/>
              </w:rPr>
              <w:t>1,</w:t>
            </w:r>
            <w:r>
              <w:rPr>
                <w:rFonts w:ascii="Calibri" w:hAnsi="Calibri" w:cs="Calibri"/>
                <w:color w:val="000000"/>
                <w:sz w:val="18"/>
                <w:szCs w:val="18"/>
              </w:rPr>
              <w:t>36</w:t>
            </w:r>
            <w:r w:rsidRPr="00D917F5">
              <w:rPr>
                <w:rFonts w:ascii="Calibri" w:hAnsi="Calibri" w:cs="Calibri"/>
                <w:color w:val="000000"/>
                <w:sz w:val="18"/>
                <w:szCs w:val="18"/>
              </w:rPr>
              <w:t>%</w:t>
            </w:r>
          </w:p>
        </w:tc>
        <w:tc>
          <w:tcPr>
            <w:tcW w:w="634" w:type="pct"/>
            <w:tcBorders>
              <w:top w:val="single" w:sz="4" w:space="0" w:color="FFFFFF"/>
              <w:left w:val="single" w:sz="4" w:space="0" w:color="FFFFFF"/>
              <w:bottom w:val="single" w:sz="4" w:space="0" w:color="FFFFFF"/>
              <w:right w:val="single" w:sz="4" w:space="0" w:color="FFFFFF"/>
            </w:tcBorders>
            <w:shd w:val="clear" w:color="auto" w:fill="D9E2F3" w:themeFill="accent5" w:themeFillTint="33"/>
            <w:vAlign w:val="center"/>
          </w:tcPr>
          <w:p w14:paraId="57733415" w14:textId="77777777" w:rsidR="00BE359D" w:rsidRPr="00D917F5" w:rsidRDefault="00BE359D" w:rsidP="00BE359D">
            <w:pPr>
              <w:jc w:val="right"/>
              <w:rPr>
                <w:rFonts w:ascii="Calibri" w:hAnsi="Calibri" w:cs="Calibri"/>
                <w:color w:val="000000"/>
                <w:sz w:val="18"/>
                <w:szCs w:val="18"/>
              </w:rPr>
            </w:pPr>
            <w:r w:rsidRPr="00D917F5">
              <w:rPr>
                <w:rFonts w:ascii="Calibri" w:hAnsi="Calibri" w:cs="Calibri"/>
                <w:color w:val="000000"/>
                <w:sz w:val="18"/>
                <w:szCs w:val="18"/>
              </w:rPr>
              <w:t>1,46%</w:t>
            </w:r>
          </w:p>
        </w:tc>
        <w:tc>
          <w:tcPr>
            <w:tcW w:w="634" w:type="pct"/>
            <w:tcBorders>
              <w:top w:val="single" w:sz="4" w:space="0" w:color="FFFFFF"/>
              <w:left w:val="single" w:sz="4" w:space="0" w:color="FFFFFF"/>
              <w:bottom w:val="single" w:sz="4" w:space="0" w:color="FFFFFF"/>
              <w:right w:val="single" w:sz="4" w:space="0" w:color="FFFFFF"/>
            </w:tcBorders>
            <w:shd w:val="clear" w:color="auto" w:fill="D9E2F3" w:themeFill="accent5" w:themeFillTint="33"/>
            <w:vAlign w:val="center"/>
          </w:tcPr>
          <w:p w14:paraId="79A1E4AA" w14:textId="77777777" w:rsidR="00BE359D" w:rsidRPr="00D917F5" w:rsidRDefault="00BE359D" w:rsidP="00BE359D">
            <w:pPr>
              <w:jc w:val="right"/>
              <w:rPr>
                <w:rFonts w:ascii="Calibri" w:hAnsi="Calibri" w:cs="Calibri"/>
                <w:color w:val="000000"/>
                <w:sz w:val="18"/>
                <w:szCs w:val="18"/>
              </w:rPr>
            </w:pPr>
            <w:r w:rsidRPr="00D917F5">
              <w:rPr>
                <w:rFonts w:ascii="Calibri" w:hAnsi="Calibri" w:cs="Calibri"/>
                <w:color w:val="000000"/>
                <w:sz w:val="18"/>
                <w:szCs w:val="18"/>
              </w:rPr>
              <w:t>1,47%</w:t>
            </w:r>
          </w:p>
        </w:tc>
        <w:tc>
          <w:tcPr>
            <w:tcW w:w="632" w:type="pct"/>
            <w:tcBorders>
              <w:top w:val="single" w:sz="4" w:space="0" w:color="FFFFFF"/>
              <w:left w:val="single" w:sz="4" w:space="0" w:color="FFFFFF"/>
              <w:bottom w:val="single" w:sz="4" w:space="0" w:color="FFFFFF"/>
              <w:right w:val="single" w:sz="4" w:space="0" w:color="FFFFFF"/>
            </w:tcBorders>
            <w:shd w:val="clear" w:color="auto" w:fill="D9E2F3" w:themeFill="accent5" w:themeFillTint="33"/>
            <w:vAlign w:val="center"/>
          </w:tcPr>
          <w:p w14:paraId="52CE4232" w14:textId="77777777" w:rsidR="00BE359D" w:rsidRPr="00D917F5" w:rsidRDefault="00BE359D" w:rsidP="00BE359D">
            <w:pPr>
              <w:jc w:val="right"/>
              <w:rPr>
                <w:rFonts w:ascii="Calibri" w:hAnsi="Calibri" w:cs="Calibri"/>
                <w:color w:val="000000"/>
                <w:sz w:val="18"/>
                <w:szCs w:val="18"/>
              </w:rPr>
            </w:pPr>
            <w:r w:rsidRPr="00D917F5">
              <w:rPr>
                <w:rFonts w:ascii="Calibri" w:hAnsi="Calibri" w:cs="Calibri"/>
                <w:color w:val="000000"/>
                <w:sz w:val="18"/>
                <w:szCs w:val="18"/>
              </w:rPr>
              <w:t>1,48%</w:t>
            </w:r>
          </w:p>
        </w:tc>
      </w:tr>
    </w:tbl>
    <w:p w14:paraId="419E955A" w14:textId="77777777" w:rsidR="006D7C47" w:rsidRPr="00D04375" w:rsidRDefault="006D7C47" w:rsidP="006D7C47">
      <w:pPr>
        <w:rPr>
          <w:rFonts w:asciiTheme="minorHAnsi" w:hAnsiTheme="minorHAnsi" w:cstheme="minorHAnsi"/>
          <w:sz w:val="22"/>
          <w:lang w:eastAsia="en-US"/>
        </w:rPr>
      </w:pPr>
    </w:p>
    <w:p w14:paraId="7BD47A01" w14:textId="77777777" w:rsidR="006D7C47" w:rsidRDefault="006D7C47" w:rsidP="006D7C47">
      <w:pPr>
        <w:jc w:val="both"/>
        <w:rPr>
          <w:rFonts w:asciiTheme="minorHAnsi" w:eastAsiaTheme="minorHAnsi" w:hAnsiTheme="minorHAnsi" w:cstheme="minorHAnsi"/>
          <w:sz w:val="22"/>
          <w:szCs w:val="22"/>
          <w:lang w:eastAsia="en-US"/>
        </w:rPr>
      </w:pPr>
    </w:p>
    <w:p w14:paraId="21597BA4" w14:textId="7FFCBB2C" w:rsidR="006D7C47" w:rsidRPr="000252B2" w:rsidRDefault="006D7C47" w:rsidP="006D7C47">
      <w:pPr>
        <w:jc w:val="both"/>
        <w:rPr>
          <w:rFonts w:asciiTheme="minorHAnsi" w:eastAsiaTheme="minorHAnsi" w:hAnsiTheme="minorHAnsi" w:cstheme="minorHAnsi"/>
          <w:sz w:val="22"/>
          <w:szCs w:val="22"/>
          <w:lang w:eastAsia="en-US"/>
        </w:rPr>
      </w:pPr>
      <w:r w:rsidRPr="00693E20">
        <w:rPr>
          <w:rFonts w:asciiTheme="minorHAnsi" w:eastAsiaTheme="minorHAnsi" w:hAnsiTheme="minorHAnsi" w:cstheme="minorHAnsi"/>
          <w:sz w:val="22"/>
          <w:szCs w:val="22"/>
          <w:lang w:eastAsia="en-US"/>
        </w:rPr>
        <w:t xml:space="preserve">A </w:t>
      </w:r>
      <w:r>
        <w:rPr>
          <w:rFonts w:asciiTheme="minorHAnsi" w:eastAsiaTheme="minorHAnsi" w:hAnsiTheme="minorHAnsi" w:cstheme="minorHAnsi"/>
          <w:sz w:val="22"/>
          <w:szCs w:val="22"/>
          <w:lang w:eastAsia="en-US"/>
        </w:rPr>
        <w:t xml:space="preserve">PARPARTICIPADAS e a </w:t>
      </w:r>
      <w:r w:rsidRPr="00693E20">
        <w:rPr>
          <w:rFonts w:asciiTheme="minorHAnsi" w:eastAsiaTheme="minorHAnsi" w:hAnsiTheme="minorHAnsi" w:cstheme="minorHAnsi"/>
          <w:sz w:val="22"/>
          <w:szCs w:val="22"/>
          <w:lang w:eastAsia="en-US"/>
        </w:rPr>
        <w:t>PARUPS fo</w:t>
      </w:r>
      <w:r>
        <w:rPr>
          <w:rFonts w:asciiTheme="minorHAnsi" w:eastAsiaTheme="minorHAnsi" w:hAnsiTheme="minorHAnsi" w:cstheme="minorHAnsi"/>
          <w:sz w:val="22"/>
          <w:szCs w:val="22"/>
          <w:lang w:eastAsia="en-US"/>
        </w:rPr>
        <w:t>ram</w:t>
      </w:r>
      <w:r w:rsidRPr="00693E20">
        <w:rPr>
          <w:rFonts w:asciiTheme="minorHAnsi" w:eastAsiaTheme="minorHAnsi" w:hAnsiTheme="minorHAnsi" w:cstheme="minorHAnsi"/>
          <w:sz w:val="22"/>
          <w:szCs w:val="22"/>
          <w:lang w:eastAsia="en-US"/>
        </w:rPr>
        <w:t xml:space="preserve"> incorporada</w:t>
      </w:r>
      <w:r>
        <w:rPr>
          <w:rFonts w:asciiTheme="minorHAnsi" w:eastAsiaTheme="minorHAnsi" w:hAnsiTheme="minorHAnsi" w:cstheme="minorHAnsi"/>
          <w:sz w:val="22"/>
          <w:szCs w:val="22"/>
          <w:lang w:eastAsia="en-US"/>
        </w:rPr>
        <w:t>s</w:t>
      </w:r>
      <w:r w:rsidRPr="00693E20">
        <w:rPr>
          <w:rFonts w:asciiTheme="minorHAnsi" w:eastAsiaTheme="minorHAnsi" w:hAnsiTheme="minorHAnsi" w:cstheme="minorHAnsi"/>
          <w:sz w:val="22"/>
          <w:szCs w:val="22"/>
          <w:lang w:eastAsia="en-US"/>
        </w:rPr>
        <w:t xml:space="preserve"> por fusão na PARVALOREM</w:t>
      </w:r>
      <w:r>
        <w:rPr>
          <w:rFonts w:asciiTheme="minorHAnsi" w:eastAsiaTheme="minorHAnsi" w:hAnsiTheme="minorHAnsi" w:cstheme="minorHAnsi"/>
          <w:sz w:val="22"/>
          <w:szCs w:val="22"/>
          <w:lang w:eastAsia="en-US"/>
        </w:rPr>
        <w:t>, em 2024 e em</w:t>
      </w:r>
      <w:r w:rsidRPr="00693E20">
        <w:rPr>
          <w:rFonts w:asciiTheme="minorHAnsi" w:eastAsiaTheme="minorHAnsi" w:hAnsiTheme="minorHAnsi" w:cstheme="minorHAnsi"/>
          <w:sz w:val="22"/>
          <w:szCs w:val="22"/>
          <w:lang w:eastAsia="en-US"/>
        </w:rPr>
        <w:t xml:space="preserve"> 2022, </w:t>
      </w:r>
      <w:r>
        <w:rPr>
          <w:rFonts w:asciiTheme="minorHAnsi" w:eastAsiaTheme="minorHAnsi" w:hAnsiTheme="minorHAnsi" w:cstheme="minorHAnsi"/>
          <w:sz w:val="22"/>
          <w:szCs w:val="22"/>
          <w:lang w:eastAsia="en-US"/>
        </w:rPr>
        <w:t xml:space="preserve">respetivamente, </w:t>
      </w:r>
      <w:r w:rsidRPr="00693E20">
        <w:rPr>
          <w:rFonts w:asciiTheme="minorHAnsi" w:eastAsiaTheme="minorHAnsi" w:hAnsiTheme="minorHAnsi" w:cstheme="minorHAnsi"/>
          <w:sz w:val="22"/>
          <w:szCs w:val="22"/>
          <w:lang w:eastAsia="en-US"/>
        </w:rPr>
        <w:t>incluindo os seus financiamentos e respetivos encargos financeiros.</w:t>
      </w:r>
    </w:p>
    <w:p w14:paraId="00E8FF0D" w14:textId="77777777" w:rsidR="006D7C47" w:rsidRDefault="006D7C47" w:rsidP="006D7C47">
      <w:pPr>
        <w:rPr>
          <w:rFonts w:asciiTheme="minorHAnsi" w:hAnsiTheme="minorHAnsi" w:cstheme="minorHAnsi"/>
          <w:b/>
          <w:sz w:val="22"/>
          <w:szCs w:val="22"/>
          <w:lang w:eastAsia="en-US"/>
        </w:rPr>
      </w:pPr>
    </w:p>
    <w:p w14:paraId="493E0C8B" w14:textId="77777777" w:rsidR="00B227B5" w:rsidRDefault="00B227B5" w:rsidP="006D7C47">
      <w:pPr>
        <w:rPr>
          <w:rFonts w:asciiTheme="minorHAnsi" w:hAnsiTheme="minorHAnsi" w:cstheme="minorHAnsi"/>
          <w:b/>
          <w:sz w:val="22"/>
          <w:szCs w:val="22"/>
          <w:lang w:eastAsia="en-US"/>
        </w:rPr>
      </w:pPr>
    </w:p>
    <w:p w14:paraId="058D393E" w14:textId="05F4EB2C" w:rsidR="006D7C47" w:rsidRPr="005E02AB" w:rsidRDefault="00E60FE5" w:rsidP="006D7C47">
      <w:pPr>
        <w:rPr>
          <w:rFonts w:asciiTheme="minorHAnsi" w:hAnsiTheme="minorHAnsi" w:cstheme="minorHAnsi"/>
          <w:b/>
          <w:sz w:val="22"/>
          <w:szCs w:val="22"/>
          <w:lang w:eastAsia="en-US"/>
        </w:rPr>
      </w:pPr>
      <w:r>
        <w:rPr>
          <w:rFonts w:asciiTheme="minorHAnsi" w:hAnsiTheme="minorHAnsi" w:cstheme="minorHAnsi"/>
          <w:b/>
          <w:sz w:val="22"/>
          <w:szCs w:val="22"/>
          <w:lang w:eastAsia="en-US"/>
        </w:rPr>
        <w:t>7</w:t>
      </w:r>
      <w:r w:rsidR="006D7C47" w:rsidRPr="005E02AB">
        <w:rPr>
          <w:rFonts w:asciiTheme="minorHAnsi" w:hAnsiTheme="minorHAnsi" w:cstheme="minorHAnsi"/>
          <w:b/>
          <w:sz w:val="22"/>
          <w:szCs w:val="22"/>
          <w:lang w:eastAsia="en-US"/>
        </w:rPr>
        <w:t xml:space="preserve">. Limite de </w:t>
      </w:r>
      <w:r w:rsidR="00380516">
        <w:rPr>
          <w:rFonts w:asciiTheme="minorHAnsi" w:hAnsiTheme="minorHAnsi" w:cstheme="minorHAnsi"/>
          <w:b/>
          <w:sz w:val="22"/>
          <w:szCs w:val="22"/>
          <w:lang w:eastAsia="en-US"/>
        </w:rPr>
        <w:t>C</w:t>
      </w:r>
      <w:r w:rsidR="006D7C47" w:rsidRPr="005E02AB">
        <w:rPr>
          <w:rFonts w:asciiTheme="minorHAnsi" w:hAnsiTheme="minorHAnsi" w:cstheme="minorHAnsi"/>
          <w:b/>
          <w:sz w:val="22"/>
          <w:szCs w:val="22"/>
          <w:lang w:eastAsia="en-US"/>
        </w:rPr>
        <w:t xml:space="preserve">rescimento do </w:t>
      </w:r>
      <w:r w:rsidR="00380516">
        <w:rPr>
          <w:rFonts w:asciiTheme="minorHAnsi" w:hAnsiTheme="minorHAnsi" w:cstheme="minorHAnsi"/>
          <w:b/>
          <w:sz w:val="22"/>
          <w:szCs w:val="22"/>
          <w:lang w:eastAsia="en-US"/>
        </w:rPr>
        <w:t>E</w:t>
      </w:r>
      <w:r w:rsidR="006D7C47" w:rsidRPr="005E02AB">
        <w:rPr>
          <w:rFonts w:asciiTheme="minorHAnsi" w:hAnsiTheme="minorHAnsi" w:cstheme="minorHAnsi"/>
          <w:b/>
          <w:sz w:val="22"/>
          <w:szCs w:val="22"/>
          <w:lang w:eastAsia="en-US"/>
        </w:rPr>
        <w:t>ndividamento</w:t>
      </w:r>
    </w:p>
    <w:p w14:paraId="15D9B6C0" w14:textId="77777777" w:rsidR="006D7C47" w:rsidRPr="00D04375" w:rsidRDefault="006D7C47" w:rsidP="006D7C47">
      <w:pPr>
        <w:rPr>
          <w:rFonts w:asciiTheme="minorHAnsi" w:hAnsiTheme="minorHAnsi" w:cstheme="minorHAnsi"/>
          <w:sz w:val="22"/>
          <w:lang w:eastAsia="en-US"/>
        </w:rPr>
      </w:pPr>
    </w:p>
    <w:p w14:paraId="5C449DB3" w14:textId="3BEEFE87" w:rsidR="006D7C47" w:rsidRPr="00F45616" w:rsidRDefault="006D7C47" w:rsidP="006D7C47">
      <w:pPr>
        <w:pStyle w:val="CorpotextoMP"/>
        <w:rPr>
          <w:rFonts w:asciiTheme="minorHAnsi" w:hAnsiTheme="minorHAnsi" w:cstheme="minorHAnsi"/>
          <w:sz w:val="22"/>
          <w:szCs w:val="22"/>
        </w:rPr>
      </w:pPr>
      <w:r w:rsidRPr="000F2963">
        <w:rPr>
          <w:rFonts w:asciiTheme="minorHAnsi" w:hAnsiTheme="minorHAnsi" w:cstheme="minorHAnsi"/>
          <w:sz w:val="22"/>
          <w:szCs w:val="22"/>
        </w:rPr>
        <w:t xml:space="preserve">Nos termos definidos no n.º 1 do artigo </w:t>
      </w:r>
      <w:r w:rsidR="00D2731F">
        <w:rPr>
          <w:rFonts w:asciiTheme="minorHAnsi" w:hAnsiTheme="minorHAnsi" w:cstheme="minorHAnsi"/>
          <w:sz w:val="22"/>
          <w:szCs w:val="22"/>
        </w:rPr>
        <w:t>5</w:t>
      </w:r>
      <w:r w:rsidRPr="000F2963">
        <w:rPr>
          <w:rFonts w:asciiTheme="minorHAnsi" w:hAnsiTheme="minorHAnsi" w:cstheme="minorHAnsi"/>
          <w:sz w:val="22"/>
          <w:szCs w:val="22"/>
        </w:rPr>
        <w:t>3º da</w:t>
      </w:r>
      <w:r w:rsidR="00D2731F">
        <w:rPr>
          <w:rFonts w:asciiTheme="minorHAnsi" w:hAnsiTheme="minorHAnsi" w:cstheme="minorHAnsi"/>
          <w:sz w:val="22"/>
          <w:szCs w:val="22"/>
        </w:rPr>
        <w:t xml:space="preserve"> LOE 2025 e do artigo 141º do DLEO 2025</w:t>
      </w:r>
      <w:r>
        <w:rPr>
          <w:rFonts w:asciiTheme="minorHAnsi" w:hAnsiTheme="minorHAnsi" w:cstheme="minorHAnsi"/>
          <w:sz w:val="22"/>
          <w:szCs w:val="22"/>
        </w:rPr>
        <w:t xml:space="preserve">, </w:t>
      </w:r>
      <w:r w:rsidRPr="00C459B5">
        <w:rPr>
          <w:rFonts w:asciiTheme="minorHAnsi" w:hAnsiTheme="minorHAnsi" w:cstheme="minorHAnsi"/>
          <w:sz w:val="22"/>
          <w:szCs w:val="22"/>
        </w:rPr>
        <w:t>o crescimento</w:t>
      </w:r>
      <w:r>
        <w:rPr>
          <w:rFonts w:asciiTheme="minorHAnsi" w:hAnsiTheme="minorHAnsi" w:cstheme="minorHAnsi"/>
          <w:sz w:val="22"/>
          <w:szCs w:val="22"/>
        </w:rPr>
        <w:t xml:space="preserve"> do endividamento é o seguinte:</w:t>
      </w:r>
    </w:p>
    <w:p w14:paraId="4F62D491" w14:textId="77777777" w:rsidR="006D7C47" w:rsidRDefault="006D7C47" w:rsidP="006D7C47">
      <w:pPr>
        <w:rPr>
          <w:rFonts w:asciiTheme="minorHAnsi" w:hAnsiTheme="minorHAnsi" w:cstheme="minorHAnsi"/>
          <w:sz w:val="22"/>
          <w:lang w:eastAsia="en-US"/>
        </w:rPr>
      </w:pPr>
    </w:p>
    <w:tbl>
      <w:tblPr>
        <w:tblW w:w="5000" w:type="pct"/>
        <w:tblCellMar>
          <w:left w:w="70" w:type="dxa"/>
          <w:right w:w="70" w:type="dxa"/>
        </w:tblCellMar>
        <w:tblLook w:val="04A0" w:firstRow="1" w:lastRow="0" w:firstColumn="1" w:lastColumn="0" w:noHBand="0" w:noVBand="1"/>
      </w:tblPr>
      <w:tblGrid>
        <w:gridCol w:w="5428"/>
        <w:gridCol w:w="1449"/>
        <w:gridCol w:w="1477"/>
      </w:tblGrid>
      <w:tr w:rsidR="006D7C47" w:rsidRPr="00D917F5" w14:paraId="1E9AE670" w14:textId="77777777" w:rsidTr="005379F8">
        <w:trPr>
          <w:trHeight w:val="267"/>
          <w:tblHeader/>
        </w:trPr>
        <w:tc>
          <w:tcPr>
            <w:tcW w:w="3249" w:type="pct"/>
            <w:vMerge w:val="restart"/>
            <w:tcBorders>
              <w:top w:val="single" w:sz="4" w:space="0" w:color="FFFFFF"/>
              <w:left w:val="single" w:sz="4" w:space="0" w:color="FFFFFF"/>
              <w:bottom w:val="single" w:sz="4" w:space="0" w:color="FFFFFF"/>
              <w:right w:val="single" w:sz="4" w:space="0" w:color="FFFFFF"/>
            </w:tcBorders>
            <w:shd w:val="clear" w:color="auto" w:fill="8EAADB" w:themeFill="accent5" w:themeFillTint="99"/>
            <w:vAlign w:val="center"/>
            <w:hideMark/>
          </w:tcPr>
          <w:p w14:paraId="1D81AA5A" w14:textId="77777777" w:rsidR="006D7C47" w:rsidRPr="00D917F5" w:rsidRDefault="006D7C47" w:rsidP="005379F8">
            <w:pPr>
              <w:jc w:val="center"/>
              <w:rPr>
                <w:rFonts w:asciiTheme="minorHAnsi" w:hAnsiTheme="minorHAnsi" w:cstheme="minorHAnsi"/>
                <w:b/>
                <w:bCs/>
                <w:color w:val="000000"/>
                <w:sz w:val="18"/>
                <w:szCs w:val="18"/>
              </w:rPr>
            </w:pPr>
            <w:r w:rsidRPr="00D917F5">
              <w:rPr>
                <w:rFonts w:asciiTheme="minorHAnsi" w:hAnsiTheme="minorHAnsi" w:cstheme="minorHAnsi"/>
                <w:b/>
                <w:bCs/>
                <w:color w:val="000000"/>
                <w:sz w:val="18"/>
                <w:szCs w:val="18"/>
              </w:rPr>
              <w:t>Variação do Endividamento (execução)</w:t>
            </w:r>
          </w:p>
        </w:tc>
        <w:tc>
          <w:tcPr>
            <w:tcW w:w="867" w:type="pct"/>
            <w:tcBorders>
              <w:top w:val="single" w:sz="4" w:space="0" w:color="FFFFFF"/>
              <w:left w:val="nil"/>
              <w:bottom w:val="single" w:sz="4" w:space="0" w:color="FFFFFF"/>
              <w:right w:val="single" w:sz="4" w:space="0" w:color="FFFFFF"/>
            </w:tcBorders>
            <w:shd w:val="clear" w:color="auto" w:fill="8EAADB" w:themeFill="accent5" w:themeFillTint="99"/>
            <w:vAlign w:val="center"/>
          </w:tcPr>
          <w:p w14:paraId="1270F2D9" w14:textId="5EBE5FA5" w:rsidR="006D7C47" w:rsidRPr="00D917F5" w:rsidRDefault="006D7C47" w:rsidP="005379F8">
            <w:pPr>
              <w:jc w:val="center"/>
              <w:rPr>
                <w:rFonts w:asciiTheme="minorHAnsi" w:hAnsiTheme="minorHAnsi" w:cstheme="minorHAnsi"/>
                <w:b/>
                <w:bCs/>
                <w:color w:val="000000"/>
                <w:sz w:val="18"/>
                <w:szCs w:val="18"/>
              </w:rPr>
            </w:pPr>
            <w:r w:rsidRPr="00D917F5">
              <w:rPr>
                <w:rFonts w:asciiTheme="minorHAnsi" w:hAnsiTheme="minorHAnsi" w:cstheme="minorHAnsi"/>
                <w:b/>
                <w:bCs/>
                <w:color w:val="000000"/>
                <w:sz w:val="18"/>
                <w:szCs w:val="18"/>
              </w:rPr>
              <w:t>202</w:t>
            </w:r>
            <w:r w:rsidR="00D2731F">
              <w:rPr>
                <w:rFonts w:asciiTheme="minorHAnsi" w:hAnsiTheme="minorHAnsi" w:cstheme="minorHAnsi"/>
                <w:b/>
                <w:bCs/>
                <w:color w:val="000000"/>
                <w:sz w:val="18"/>
                <w:szCs w:val="18"/>
              </w:rPr>
              <w:t>5</w:t>
            </w:r>
          </w:p>
        </w:tc>
        <w:tc>
          <w:tcPr>
            <w:tcW w:w="884" w:type="pct"/>
            <w:tcBorders>
              <w:top w:val="single" w:sz="4" w:space="0" w:color="FFFFFF"/>
              <w:left w:val="single" w:sz="4" w:space="0" w:color="FFFFFF"/>
              <w:bottom w:val="single" w:sz="4" w:space="0" w:color="FFFFFF"/>
              <w:right w:val="single" w:sz="4" w:space="0" w:color="FFFFFF"/>
            </w:tcBorders>
            <w:shd w:val="clear" w:color="auto" w:fill="8EAADB" w:themeFill="accent5" w:themeFillTint="99"/>
            <w:vAlign w:val="center"/>
          </w:tcPr>
          <w:p w14:paraId="1221327F" w14:textId="60DC332C" w:rsidR="006D7C47" w:rsidRPr="00D917F5" w:rsidRDefault="006D7C47" w:rsidP="005379F8">
            <w:pPr>
              <w:jc w:val="center"/>
              <w:rPr>
                <w:rFonts w:asciiTheme="minorHAnsi" w:hAnsiTheme="minorHAnsi" w:cstheme="minorHAnsi"/>
                <w:b/>
                <w:bCs/>
                <w:color w:val="000000"/>
                <w:sz w:val="18"/>
                <w:szCs w:val="18"/>
              </w:rPr>
            </w:pPr>
            <w:r w:rsidRPr="00D917F5">
              <w:rPr>
                <w:rFonts w:asciiTheme="minorHAnsi" w:hAnsiTheme="minorHAnsi" w:cstheme="minorHAnsi"/>
                <w:b/>
                <w:bCs/>
                <w:color w:val="000000"/>
                <w:sz w:val="18"/>
                <w:szCs w:val="18"/>
              </w:rPr>
              <w:t>202</w:t>
            </w:r>
            <w:r w:rsidR="00D2731F">
              <w:rPr>
                <w:rFonts w:asciiTheme="minorHAnsi" w:hAnsiTheme="minorHAnsi" w:cstheme="minorHAnsi"/>
                <w:b/>
                <w:bCs/>
                <w:color w:val="000000"/>
                <w:sz w:val="18"/>
                <w:szCs w:val="18"/>
              </w:rPr>
              <w:t>4</w:t>
            </w:r>
          </w:p>
        </w:tc>
      </w:tr>
      <w:tr w:rsidR="006D7C47" w:rsidRPr="00D917F5" w14:paraId="3344D1E6" w14:textId="77777777" w:rsidTr="005379F8">
        <w:trPr>
          <w:trHeight w:val="267"/>
          <w:tblHeader/>
        </w:trPr>
        <w:tc>
          <w:tcPr>
            <w:tcW w:w="3249" w:type="pct"/>
            <w:vMerge/>
            <w:tcBorders>
              <w:top w:val="single" w:sz="4" w:space="0" w:color="FFFFFF"/>
              <w:left w:val="single" w:sz="4" w:space="0" w:color="FFFFFF"/>
              <w:bottom w:val="single" w:sz="4" w:space="0" w:color="FFFFFF"/>
              <w:right w:val="single" w:sz="4" w:space="0" w:color="FFFFFF"/>
            </w:tcBorders>
            <w:shd w:val="clear" w:color="auto" w:fill="8EAADB" w:themeFill="accent5" w:themeFillTint="99"/>
            <w:vAlign w:val="center"/>
            <w:hideMark/>
          </w:tcPr>
          <w:p w14:paraId="37872849" w14:textId="77777777" w:rsidR="006D7C47" w:rsidRPr="00D917F5" w:rsidRDefault="006D7C47" w:rsidP="005379F8">
            <w:pPr>
              <w:rPr>
                <w:rFonts w:asciiTheme="minorHAnsi" w:hAnsiTheme="minorHAnsi" w:cstheme="minorHAnsi"/>
                <w:b/>
                <w:bCs/>
                <w:color w:val="000000"/>
                <w:sz w:val="18"/>
                <w:szCs w:val="18"/>
              </w:rPr>
            </w:pPr>
          </w:p>
        </w:tc>
        <w:tc>
          <w:tcPr>
            <w:tcW w:w="1751" w:type="pct"/>
            <w:gridSpan w:val="2"/>
            <w:tcBorders>
              <w:top w:val="single" w:sz="4" w:space="0" w:color="FFFFFF"/>
              <w:left w:val="nil"/>
              <w:bottom w:val="single" w:sz="4" w:space="0" w:color="FFFFFF"/>
              <w:right w:val="single" w:sz="4" w:space="0" w:color="FFFFFF"/>
            </w:tcBorders>
            <w:shd w:val="clear" w:color="auto" w:fill="8EAADB" w:themeFill="accent5" w:themeFillTint="99"/>
            <w:vAlign w:val="center"/>
          </w:tcPr>
          <w:p w14:paraId="57214AF1" w14:textId="77777777" w:rsidR="006D7C47" w:rsidRPr="00D917F5" w:rsidRDefault="006D7C47" w:rsidP="005379F8">
            <w:pPr>
              <w:jc w:val="center"/>
              <w:rPr>
                <w:rFonts w:asciiTheme="minorHAnsi" w:hAnsiTheme="minorHAnsi" w:cstheme="minorHAnsi"/>
                <w:b/>
                <w:bCs/>
                <w:color w:val="000000"/>
                <w:sz w:val="18"/>
                <w:szCs w:val="18"/>
              </w:rPr>
            </w:pPr>
            <w:r w:rsidRPr="00D917F5">
              <w:rPr>
                <w:rFonts w:asciiTheme="minorHAnsi" w:hAnsiTheme="minorHAnsi" w:cstheme="minorHAnsi"/>
                <w:b/>
                <w:bCs/>
                <w:color w:val="000000"/>
                <w:sz w:val="18"/>
                <w:szCs w:val="18"/>
              </w:rPr>
              <w:t>Valores (€)</w:t>
            </w:r>
          </w:p>
        </w:tc>
      </w:tr>
      <w:tr w:rsidR="006D7C47" w:rsidRPr="00D917F5" w14:paraId="56AFC462" w14:textId="77777777" w:rsidTr="005379F8">
        <w:trPr>
          <w:trHeight w:val="267"/>
        </w:trPr>
        <w:tc>
          <w:tcPr>
            <w:tcW w:w="3249" w:type="pct"/>
            <w:tcBorders>
              <w:top w:val="nil"/>
              <w:left w:val="single" w:sz="4" w:space="0" w:color="FFFFFF"/>
              <w:bottom w:val="single" w:sz="4" w:space="0" w:color="FFFFFF"/>
              <w:right w:val="single" w:sz="4" w:space="0" w:color="FFFFFF"/>
            </w:tcBorders>
            <w:shd w:val="clear" w:color="auto" w:fill="D9E2F3" w:themeFill="accent5" w:themeFillTint="33"/>
            <w:noWrap/>
            <w:vAlign w:val="center"/>
            <w:hideMark/>
          </w:tcPr>
          <w:p w14:paraId="72352FEE" w14:textId="77777777" w:rsidR="006D7C47" w:rsidRPr="00D917F5" w:rsidRDefault="006D7C47" w:rsidP="005379F8">
            <w:pPr>
              <w:rPr>
                <w:rFonts w:asciiTheme="minorHAnsi" w:hAnsiTheme="minorHAnsi" w:cstheme="minorHAnsi"/>
                <w:color w:val="000000"/>
                <w:sz w:val="18"/>
                <w:szCs w:val="18"/>
              </w:rPr>
            </w:pPr>
            <w:r w:rsidRPr="00D917F5">
              <w:rPr>
                <w:rFonts w:asciiTheme="minorHAnsi" w:hAnsiTheme="minorHAnsi" w:cstheme="minorHAnsi"/>
                <w:color w:val="000000"/>
                <w:sz w:val="18"/>
                <w:szCs w:val="18"/>
              </w:rPr>
              <w:t xml:space="preserve">Capital estatutário ou social realizado e outros </w:t>
            </w:r>
            <w:proofErr w:type="spellStart"/>
            <w:r w:rsidRPr="00D917F5">
              <w:rPr>
                <w:rFonts w:asciiTheme="minorHAnsi" w:hAnsiTheme="minorHAnsi" w:cstheme="minorHAnsi"/>
                <w:color w:val="000000"/>
                <w:sz w:val="18"/>
                <w:szCs w:val="18"/>
              </w:rPr>
              <w:t>inst</w:t>
            </w:r>
            <w:proofErr w:type="spellEnd"/>
            <w:r>
              <w:rPr>
                <w:rFonts w:asciiTheme="minorHAnsi" w:hAnsiTheme="minorHAnsi" w:cstheme="minorHAnsi"/>
                <w:color w:val="000000"/>
                <w:sz w:val="18"/>
                <w:szCs w:val="18"/>
              </w:rPr>
              <w:t>.</w:t>
            </w:r>
            <w:r w:rsidRPr="00D917F5">
              <w:rPr>
                <w:rFonts w:asciiTheme="minorHAnsi" w:hAnsiTheme="minorHAnsi" w:cstheme="minorHAnsi"/>
                <w:color w:val="000000"/>
                <w:sz w:val="18"/>
                <w:szCs w:val="18"/>
              </w:rPr>
              <w:t xml:space="preserve"> de capital próprio</w:t>
            </w:r>
          </w:p>
        </w:tc>
        <w:tc>
          <w:tcPr>
            <w:tcW w:w="867" w:type="pct"/>
            <w:tcBorders>
              <w:top w:val="single" w:sz="4" w:space="0" w:color="FFFFFF"/>
              <w:left w:val="nil"/>
              <w:bottom w:val="single" w:sz="4" w:space="0" w:color="FFFFFF"/>
              <w:right w:val="single" w:sz="4" w:space="0" w:color="FFFFFF"/>
            </w:tcBorders>
            <w:shd w:val="clear" w:color="auto" w:fill="D9E2F3" w:themeFill="accent5" w:themeFillTint="33"/>
            <w:vAlign w:val="center"/>
          </w:tcPr>
          <w:p w14:paraId="7D7CB352" w14:textId="77777777" w:rsidR="006D7C47" w:rsidRPr="00D917F5" w:rsidRDefault="006D7C47" w:rsidP="005379F8">
            <w:pPr>
              <w:jc w:val="right"/>
              <w:rPr>
                <w:rFonts w:asciiTheme="minorHAnsi" w:hAnsiTheme="minorHAnsi" w:cstheme="minorHAnsi"/>
                <w:color w:val="000000"/>
                <w:sz w:val="18"/>
                <w:szCs w:val="18"/>
              </w:rPr>
            </w:pPr>
            <w:r w:rsidRPr="00D917F5">
              <w:rPr>
                <w:rFonts w:asciiTheme="minorHAnsi" w:hAnsiTheme="minorHAnsi" w:cstheme="minorHAnsi"/>
                <w:sz w:val="18"/>
                <w:szCs w:val="18"/>
              </w:rPr>
              <w:t xml:space="preserve"> 50 000 </w:t>
            </w:r>
          </w:p>
        </w:tc>
        <w:tc>
          <w:tcPr>
            <w:tcW w:w="884" w:type="pct"/>
            <w:tcBorders>
              <w:top w:val="nil"/>
              <w:left w:val="single" w:sz="4" w:space="0" w:color="FFFFFF"/>
              <w:bottom w:val="single" w:sz="4" w:space="0" w:color="FFFFFF"/>
              <w:right w:val="single" w:sz="4" w:space="0" w:color="FFFFFF"/>
            </w:tcBorders>
            <w:shd w:val="clear" w:color="auto" w:fill="D9E2F3" w:themeFill="accent5" w:themeFillTint="33"/>
            <w:vAlign w:val="center"/>
          </w:tcPr>
          <w:p w14:paraId="33F8465A" w14:textId="77777777" w:rsidR="006D7C47" w:rsidRPr="00D917F5" w:rsidRDefault="006D7C47" w:rsidP="005379F8">
            <w:pPr>
              <w:jc w:val="right"/>
              <w:rPr>
                <w:rFonts w:asciiTheme="minorHAnsi" w:hAnsiTheme="minorHAnsi" w:cstheme="minorHAnsi"/>
                <w:color w:val="000000"/>
                <w:sz w:val="18"/>
                <w:szCs w:val="18"/>
              </w:rPr>
            </w:pPr>
            <w:r w:rsidRPr="00D917F5">
              <w:rPr>
                <w:rFonts w:asciiTheme="minorHAnsi" w:hAnsiTheme="minorHAnsi" w:cstheme="minorHAnsi"/>
                <w:sz w:val="18"/>
                <w:szCs w:val="18"/>
              </w:rPr>
              <w:t xml:space="preserve"> 50 000 </w:t>
            </w:r>
          </w:p>
        </w:tc>
      </w:tr>
      <w:tr w:rsidR="006D7C47" w:rsidRPr="00D917F5" w14:paraId="3E4532CF" w14:textId="77777777" w:rsidTr="005379F8">
        <w:trPr>
          <w:trHeight w:val="267"/>
        </w:trPr>
        <w:tc>
          <w:tcPr>
            <w:tcW w:w="3249" w:type="pct"/>
            <w:tcBorders>
              <w:top w:val="nil"/>
              <w:left w:val="single" w:sz="4" w:space="0" w:color="FFFFFF"/>
              <w:bottom w:val="single" w:sz="4" w:space="0" w:color="FFFFFF"/>
              <w:right w:val="single" w:sz="4" w:space="0" w:color="FFFFFF"/>
            </w:tcBorders>
            <w:shd w:val="clear" w:color="auto" w:fill="D9E2F3" w:themeFill="accent5" w:themeFillTint="33"/>
            <w:noWrap/>
            <w:vAlign w:val="center"/>
            <w:hideMark/>
          </w:tcPr>
          <w:p w14:paraId="300DCDB4" w14:textId="77777777" w:rsidR="006D7C47" w:rsidRPr="00D917F5" w:rsidRDefault="006D7C47" w:rsidP="005379F8">
            <w:pPr>
              <w:rPr>
                <w:rFonts w:asciiTheme="minorHAnsi" w:hAnsiTheme="minorHAnsi" w:cstheme="minorHAnsi"/>
                <w:color w:val="000000"/>
                <w:sz w:val="18"/>
                <w:szCs w:val="18"/>
              </w:rPr>
            </w:pPr>
            <w:r w:rsidRPr="00D917F5">
              <w:rPr>
                <w:rFonts w:asciiTheme="minorHAnsi" w:hAnsiTheme="minorHAnsi" w:cstheme="minorHAnsi"/>
                <w:color w:val="000000"/>
                <w:sz w:val="18"/>
                <w:szCs w:val="18"/>
              </w:rPr>
              <w:t>Financiamento Remunerado</w:t>
            </w:r>
          </w:p>
        </w:tc>
        <w:tc>
          <w:tcPr>
            <w:tcW w:w="867" w:type="pct"/>
            <w:tcBorders>
              <w:top w:val="single" w:sz="4" w:space="0" w:color="FFFFFF"/>
              <w:left w:val="nil"/>
              <w:bottom w:val="single" w:sz="4" w:space="0" w:color="FFFFFF"/>
              <w:right w:val="single" w:sz="4" w:space="0" w:color="FFFFFF"/>
            </w:tcBorders>
            <w:shd w:val="clear" w:color="auto" w:fill="D9E2F3" w:themeFill="accent5" w:themeFillTint="33"/>
            <w:vAlign w:val="center"/>
          </w:tcPr>
          <w:p w14:paraId="1C992DA9" w14:textId="0B5745DC" w:rsidR="006D7C47" w:rsidRPr="00D917F5" w:rsidRDefault="00E60FE5" w:rsidP="005379F8">
            <w:pPr>
              <w:jc w:val="right"/>
              <w:rPr>
                <w:rFonts w:asciiTheme="minorHAnsi" w:hAnsiTheme="minorHAnsi" w:cstheme="minorHAnsi"/>
                <w:sz w:val="18"/>
                <w:szCs w:val="18"/>
              </w:rPr>
            </w:pPr>
            <w:r w:rsidRPr="00E60FE5">
              <w:rPr>
                <w:rFonts w:asciiTheme="minorHAnsi" w:hAnsiTheme="minorHAnsi" w:cstheme="minorHAnsi"/>
                <w:sz w:val="18"/>
                <w:szCs w:val="18"/>
              </w:rPr>
              <w:t>4</w:t>
            </w:r>
            <w:r>
              <w:rPr>
                <w:rFonts w:asciiTheme="minorHAnsi" w:hAnsiTheme="minorHAnsi" w:cstheme="minorHAnsi"/>
                <w:sz w:val="18"/>
                <w:szCs w:val="18"/>
              </w:rPr>
              <w:t> </w:t>
            </w:r>
            <w:r w:rsidRPr="00E60FE5">
              <w:rPr>
                <w:rFonts w:asciiTheme="minorHAnsi" w:hAnsiTheme="minorHAnsi" w:cstheme="minorHAnsi"/>
                <w:sz w:val="18"/>
                <w:szCs w:val="18"/>
              </w:rPr>
              <w:t>946</w:t>
            </w:r>
            <w:r>
              <w:rPr>
                <w:rFonts w:asciiTheme="minorHAnsi" w:hAnsiTheme="minorHAnsi" w:cstheme="minorHAnsi"/>
                <w:sz w:val="18"/>
                <w:szCs w:val="18"/>
              </w:rPr>
              <w:t> </w:t>
            </w:r>
            <w:r w:rsidRPr="00E60FE5">
              <w:rPr>
                <w:rFonts w:asciiTheme="minorHAnsi" w:hAnsiTheme="minorHAnsi" w:cstheme="minorHAnsi"/>
                <w:sz w:val="18"/>
                <w:szCs w:val="18"/>
              </w:rPr>
              <w:t>822</w:t>
            </w:r>
            <w:r>
              <w:rPr>
                <w:rFonts w:asciiTheme="minorHAnsi" w:hAnsiTheme="minorHAnsi" w:cstheme="minorHAnsi"/>
                <w:sz w:val="18"/>
                <w:szCs w:val="18"/>
              </w:rPr>
              <w:t xml:space="preserve"> </w:t>
            </w:r>
            <w:r w:rsidRPr="00E60FE5">
              <w:rPr>
                <w:rFonts w:asciiTheme="minorHAnsi" w:hAnsiTheme="minorHAnsi" w:cstheme="minorHAnsi"/>
                <w:sz w:val="18"/>
                <w:szCs w:val="18"/>
              </w:rPr>
              <w:t>691</w:t>
            </w:r>
          </w:p>
        </w:tc>
        <w:tc>
          <w:tcPr>
            <w:tcW w:w="884" w:type="pct"/>
            <w:tcBorders>
              <w:top w:val="nil"/>
              <w:left w:val="single" w:sz="4" w:space="0" w:color="FFFFFF"/>
              <w:bottom w:val="single" w:sz="4" w:space="0" w:color="FFFFFF"/>
              <w:right w:val="single" w:sz="4" w:space="0" w:color="FFFFFF"/>
            </w:tcBorders>
            <w:shd w:val="clear" w:color="auto" w:fill="D9E2F3" w:themeFill="accent5" w:themeFillTint="33"/>
            <w:vAlign w:val="center"/>
          </w:tcPr>
          <w:p w14:paraId="3B7979DF" w14:textId="0FC9BDF2" w:rsidR="006D7C47" w:rsidRPr="00D917F5" w:rsidRDefault="00E60FE5" w:rsidP="005379F8">
            <w:pPr>
              <w:jc w:val="right"/>
              <w:rPr>
                <w:rFonts w:asciiTheme="minorHAnsi" w:hAnsiTheme="minorHAnsi" w:cstheme="minorHAnsi"/>
                <w:color w:val="000000"/>
                <w:sz w:val="18"/>
                <w:szCs w:val="18"/>
              </w:rPr>
            </w:pPr>
            <w:r w:rsidRPr="00090EE8">
              <w:rPr>
                <w:rFonts w:asciiTheme="minorHAnsi" w:hAnsiTheme="minorHAnsi" w:cstheme="minorHAnsi"/>
                <w:sz w:val="18"/>
                <w:szCs w:val="18"/>
              </w:rPr>
              <w:t>5</w:t>
            </w:r>
            <w:r>
              <w:rPr>
                <w:rFonts w:asciiTheme="minorHAnsi" w:hAnsiTheme="minorHAnsi" w:cstheme="minorHAnsi"/>
                <w:sz w:val="18"/>
                <w:szCs w:val="18"/>
              </w:rPr>
              <w:t xml:space="preserve"> </w:t>
            </w:r>
            <w:r w:rsidRPr="00090EE8">
              <w:rPr>
                <w:rFonts w:asciiTheme="minorHAnsi" w:hAnsiTheme="minorHAnsi" w:cstheme="minorHAnsi"/>
                <w:sz w:val="18"/>
                <w:szCs w:val="18"/>
              </w:rPr>
              <w:t>026</w:t>
            </w:r>
            <w:r>
              <w:rPr>
                <w:rFonts w:asciiTheme="minorHAnsi" w:hAnsiTheme="minorHAnsi" w:cstheme="minorHAnsi"/>
                <w:sz w:val="18"/>
                <w:szCs w:val="18"/>
              </w:rPr>
              <w:t xml:space="preserve"> </w:t>
            </w:r>
            <w:r w:rsidRPr="00090EE8">
              <w:rPr>
                <w:rFonts w:asciiTheme="minorHAnsi" w:hAnsiTheme="minorHAnsi" w:cstheme="minorHAnsi"/>
                <w:sz w:val="18"/>
                <w:szCs w:val="18"/>
              </w:rPr>
              <w:t>822</w:t>
            </w:r>
            <w:r>
              <w:rPr>
                <w:rFonts w:asciiTheme="minorHAnsi" w:hAnsiTheme="minorHAnsi" w:cstheme="minorHAnsi"/>
                <w:sz w:val="18"/>
                <w:szCs w:val="18"/>
              </w:rPr>
              <w:t xml:space="preserve"> </w:t>
            </w:r>
            <w:r w:rsidRPr="00090EE8">
              <w:rPr>
                <w:rFonts w:asciiTheme="minorHAnsi" w:hAnsiTheme="minorHAnsi" w:cstheme="minorHAnsi"/>
                <w:sz w:val="18"/>
                <w:szCs w:val="18"/>
              </w:rPr>
              <w:t>691</w:t>
            </w:r>
          </w:p>
        </w:tc>
      </w:tr>
      <w:tr w:rsidR="006D7C47" w:rsidRPr="00D917F5" w14:paraId="7A530ADB" w14:textId="77777777" w:rsidTr="005379F8">
        <w:trPr>
          <w:trHeight w:val="267"/>
        </w:trPr>
        <w:tc>
          <w:tcPr>
            <w:tcW w:w="3249" w:type="pct"/>
            <w:tcBorders>
              <w:top w:val="nil"/>
              <w:left w:val="single" w:sz="4" w:space="0" w:color="FFFFFF"/>
              <w:bottom w:val="single" w:sz="4" w:space="0" w:color="FFFFFF"/>
              <w:right w:val="single" w:sz="4" w:space="0" w:color="FFFFFF"/>
            </w:tcBorders>
            <w:shd w:val="clear" w:color="auto" w:fill="D9E2F3" w:themeFill="accent5" w:themeFillTint="33"/>
            <w:noWrap/>
            <w:vAlign w:val="center"/>
            <w:hideMark/>
          </w:tcPr>
          <w:p w14:paraId="7FBAFE05" w14:textId="214ACB56" w:rsidR="006D7C47" w:rsidRPr="00D917F5" w:rsidRDefault="006D7C47" w:rsidP="005379F8">
            <w:pPr>
              <w:rPr>
                <w:rFonts w:asciiTheme="minorHAnsi" w:hAnsiTheme="minorHAnsi" w:cstheme="minorHAnsi"/>
                <w:color w:val="000000"/>
                <w:sz w:val="18"/>
                <w:szCs w:val="18"/>
              </w:rPr>
            </w:pPr>
            <w:r w:rsidRPr="00D917F5">
              <w:rPr>
                <w:rFonts w:asciiTheme="minorHAnsi" w:hAnsiTheme="minorHAnsi" w:cstheme="minorHAnsi"/>
                <w:color w:val="000000"/>
                <w:sz w:val="18"/>
                <w:szCs w:val="18"/>
              </w:rPr>
              <w:t>Novos investimentos com expressão material em 202</w:t>
            </w:r>
            <w:r w:rsidR="00E60FE5">
              <w:rPr>
                <w:rFonts w:asciiTheme="minorHAnsi" w:hAnsiTheme="minorHAnsi" w:cstheme="minorHAnsi"/>
                <w:color w:val="000000"/>
                <w:sz w:val="18"/>
                <w:szCs w:val="18"/>
              </w:rPr>
              <w:t>5</w:t>
            </w:r>
          </w:p>
        </w:tc>
        <w:tc>
          <w:tcPr>
            <w:tcW w:w="867" w:type="pct"/>
            <w:tcBorders>
              <w:top w:val="single" w:sz="4" w:space="0" w:color="FFFFFF"/>
              <w:left w:val="nil"/>
              <w:bottom w:val="single" w:sz="4" w:space="0" w:color="FFFFFF"/>
              <w:right w:val="single" w:sz="4" w:space="0" w:color="FFFFFF"/>
            </w:tcBorders>
            <w:shd w:val="clear" w:color="auto" w:fill="D9E2F3" w:themeFill="accent5" w:themeFillTint="33"/>
            <w:vAlign w:val="center"/>
          </w:tcPr>
          <w:p w14:paraId="43B00951" w14:textId="77777777" w:rsidR="006D7C47" w:rsidRPr="00D917F5" w:rsidRDefault="006D7C47" w:rsidP="005379F8">
            <w:pPr>
              <w:jc w:val="right"/>
              <w:rPr>
                <w:rFonts w:asciiTheme="minorHAnsi" w:hAnsiTheme="minorHAnsi" w:cstheme="minorHAnsi"/>
                <w:color w:val="000000"/>
                <w:sz w:val="18"/>
                <w:szCs w:val="18"/>
              </w:rPr>
            </w:pPr>
            <w:r w:rsidRPr="00D917F5">
              <w:rPr>
                <w:rFonts w:asciiTheme="minorHAnsi" w:hAnsiTheme="minorHAnsi" w:cstheme="minorHAnsi"/>
                <w:sz w:val="18"/>
                <w:szCs w:val="18"/>
              </w:rPr>
              <w:t xml:space="preserve">0 </w:t>
            </w:r>
          </w:p>
        </w:tc>
        <w:tc>
          <w:tcPr>
            <w:tcW w:w="884" w:type="pct"/>
            <w:tcBorders>
              <w:top w:val="nil"/>
              <w:left w:val="single" w:sz="4" w:space="0" w:color="FFFFFF"/>
              <w:bottom w:val="single" w:sz="4" w:space="0" w:color="FFFFFF"/>
              <w:right w:val="single" w:sz="4" w:space="0" w:color="FFFFFF"/>
            </w:tcBorders>
            <w:shd w:val="clear" w:color="auto" w:fill="D9E2F3" w:themeFill="accent5" w:themeFillTint="33"/>
            <w:vAlign w:val="center"/>
          </w:tcPr>
          <w:p w14:paraId="536239DF" w14:textId="77777777" w:rsidR="006D7C47" w:rsidRPr="00D917F5" w:rsidRDefault="006D7C47" w:rsidP="005379F8">
            <w:pPr>
              <w:jc w:val="right"/>
              <w:rPr>
                <w:rFonts w:asciiTheme="minorHAnsi" w:hAnsiTheme="minorHAnsi" w:cstheme="minorHAnsi"/>
                <w:color w:val="000000"/>
                <w:sz w:val="18"/>
                <w:szCs w:val="18"/>
              </w:rPr>
            </w:pPr>
            <w:r w:rsidRPr="00D917F5">
              <w:rPr>
                <w:rFonts w:asciiTheme="minorHAnsi" w:hAnsiTheme="minorHAnsi" w:cstheme="minorHAnsi"/>
                <w:sz w:val="18"/>
                <w:szCs w:val="18"/>
              </w:rPr>
              <w:t xml:space="preserve"> </w:t>
            </w:r>
          </w:p>
        </w:tc>
      </w:tr>
      <w:tr w:rsidR="006D7C47" w:rsidRPr="00D917F5" w14:paraId="205A6AC2" w14:textId="77777777" w:rsidTr="005379F8">
        <w:trPr>
          <w:trHeight w:val="267"/>
        </w:trPr>
        <w:tc>
          <w:tcPr>
            <w:tcW w:w="3249" w:type="pct"/>
            <w:tcBorders>
              <w:top w:val="nil"/>
              <w:left w:val="single" w:sz="4" w:space="0" w:color="FFFFFF"/>
              <w:bottom w:val="single" w:sz="4" w:space="0" w:color="FFFFFF"/>
              <w:right w:val="single" w:sz="4" w:space="0" w:color="FFFFFF"/>
            </w:tcBorders>
            <w:shd w:val="clear" w:color="auto" w:fill="D9E2F3" w:themeFill="accent5" w:themeFillTint="33"/>
            <w:noWrap/>
            <w:vAlign w:val="center"/>
            <w:hideMark/>
          </w:tcPr>
          <w:p w14:paraId="5ED47482" w14:textId="77777777" w:rsidR="006D7C47" w:rsidRPr="00D917F5" w:rsidRDefault="006D7C47" w:rsidP="005379F8">
            <w:pPr>
              <w:rPr>
                <w:rFonts w:asciiTheme="minorHAnsi" w:hAnsiTheme="minorHAnsi" w:cstheme="minorHAnsi"/>
                <w:color w:val="000000"/>
                <w:sz w:val="18"/>
                <w:szCs w:val="18"/>
              </w:rPr>
            </w:pPr>
            <w:r w:rsidRPr="00D917F5">
              <w:rPr>
                <w:rFonts w:asciiTheme="minorHAnsi" w:hAnsiTheme="minorHAnsi" w:cstheme="minorHAnsi"/>
                <w:color w:val="000000"/>
                <w:sz w:val="18"/>
                <w:szCs w:val="18"/>
              </w:rPr>
              <w:t>Variação do Endividamento</w:t>
            </w:r>
          </w:p>
        </w:tc>
        <w:tc>
          <w:tcPr>
            <w:tcW w:w="1751" w:type="pct"/>
            <w:gridSpan w:val="2"/>
            <w:tcBorders>
              <w:top w:val="single" w:sz="4" w:space="0" w:color="FFFFFF"/>
              <w:left w:val="nil"/>
              <w:bottom w:val="single" w:sz="4" w:space="0" w:color="FFFFFF"/>
              <w:right w:val="single" w:sz="4" w:space="0" w:color="FFFFFF"/>
            </w:tcBorders>
            <w:shd w:val="clear" w:color="auto" w:fill="D9E2F3" w:themeFill="accent5" w:themeFillTint="33"/>
            <w:vAlign w:val="center"/>
          </w:tcPr>
          <w:p w14:paraId="1786904C" w14:textId="771813BE" w:rsidR="006D7C47" w:rsidRPr="00D917F5" w:rsidRDefault="00E60FE5" w:rsidP="005379F8">
            <w:pPr>
              <w:jc w:val="center"/>
              <w:rPr>
                <w:rFonts w:asciiTheme="minorHAnsi" w:hAnsiTheme="minorHAnsi" w:cstheme="minorHAnsi"/>
                <w:color w:val="000000"/>
                <w:sz w:val="18"/>
                <w:szCs w:val="18"/>
              </w:rPr>
            </w:pPr>
            <w:r>
              <w:rPr>
                <w:rFonts w:asciiTheme="minorHAnsi" w:hAnsiTheme="minorHAnsi" w:cstheme="minorHAnsi"/>
                <w:color w:val="000000"/>
                <w:sz w:val="18"/>
                <w:szCs w:val="18"/>
              </w:rPr>
              <w:t>-</w:t>
            </w:r>
            <w:r w:rsidR="006D7C47" w:rsidRPr="00D917F5">
              <w:rPr>
                <w:rFonts w:asciiTheme="minorHAnsi" w:hAnsiTheme="minorHAnsi" w:cstheme="minorHAnsi"/>
                <w:color w:val="000000"/>
                <w:sz w:val="18"/>
                <w:szCs w:val="18"/>
              </w:rPr>
              <w:t>1,</w:t>
            </w:r>
            <w:r>
              <w:rPr>
                <w:rFonts w:asciiTheme="minorHAnsi" w:hAnsiTheme="minorHAnsi" w:cstheme="minorHAnsi"/>
                <w:color w:val="000000"/>
                <w:sz w:val="18"/>
                <w:szCs w:val="18"/>
              </w:rPr>
              <w:t>6</w:t>
            </w:r>
            <w:r w:rsidR="006D7C47" w:rsidRPr="00D917F5">
              <w:rPr>
                <w:rFonts w:asciiTheme="minorHAnsi" w:hAnsiTheme="minorHAnsi" w:cstheme="minorHAnsi"/>
                <w:color w:val="000000"/>
                <w:sz w:val="18"/>
                <w:szCs w:val="18"/>
              </w:rPr>
              <w:t>%</w:t>
            </w:r>
          </w:p>
        </w:tc>
      </w:tr>
    </w:tbl>
    <w:p w14:paraId="47BE6254" w14:textId="77777777" w:rsidR="006D7C47" w:rsidRDefault="006D7C47" w:rsidP="006D7C47">
      <w:pPr>
        <w:rPr>
          <w:rFonts w:asciiTheme="minorHAnsi" w:hAnsiTheme="minorHAnsi" w:cstheme="minorHAnsi"/>
          <w:sz w:val="22"/>
          <w:szCs w:val="22"/>
        </w:rPr>
      </w:pPr>
      <w:r w:rsidRPr="007A528B">
        <w:rPr>
          <w:rFonts w:asciiTheme="minorHAnsi" w:hAnsiTheme="minorHAnsi" w:cstheme="minorHAnsi"/>
          <w:sz w:val="22"/>
          <w:szCs w:val="22"/>
        </w:rPr>
        <w:t xml:space="preserve"> </w:t>
      </w:r>
    </w:p>
    <w:p w14:paraId="6DCEFFCA" w14:textId="2C207CE8" w:rsidR="006D7C47" w:rsidRPr="00C72FA7" w:rsidRDefault="006D7C47" w:rsidP="006D7C47">
      <w:pPr>
        <w:jc w:val="both"/>
        <w:rPr>
          <w:rFonts w:asciiTheme="minorHAnsi" w:hAnsiTheme="minorHAnsi" w:cstheme="minorHAnsi"/>
          <w:sz w:val="22"/>
          <w:szCs w:val="22"/>
        </w:rPr>
      </w:pPr>
      <w:r w:rsidRPr="00C72FA7">
        <w:rPr>
          <w:rFonts w:asciiTheme="minorHAnsi" w:hAnsiTheme="minorHAnsi" w:cstheme="minorHAnsi"/>
          <w:sz w:val="22"/>
          <w:szCs w:val="22"/>
        </w:rPr>
        <w:t>A variação do “Financiamento Remunerado” entre 202</w:t>
      </w:r>
      <w:r w:rsidR="00E60FE5">
        <w:rPr>
          <w:rFonts w:asciiTheme="minorHAnsi" w:hAnsiTheme="minorHAnsi" w:cstheme="minorHAnsi"/>
          <w:sz w:val="22"/>
          <w:szCs w:val="22"/>
        </w:rPr>
        <w:t>4</w:t>
      </w:r>
      <w:r w:rsidRPr="00C72FA7">
        <w:rPr>
          <w:rFonts w:asciiTheme="minorHAnsi" w:hAnsiTheme="minorHAnsi" w:cstheme="minorHAnsi"/>
          <w:sz w:val="22"/>
          <w:szCs w:val="22"/>
        </w:rPr>
        <w:t xml:space="preserve"> e 202</w:t>
      </w:r>
      <w:r w:rsidR="00E60FE5">
        <w:rPr>
          <w:rFonts w:asciiTheme="minorHAnsi" w:hAnsiTheme="minorHAnsi" w:cstheme="minorHAnsi"/>
          <w:sz w:val="22"/>
          <w:szCs w:val="22"/>
        </w:rPr>
        <w:t>5</w:t>
      </w:r>
      <w:r w:rsidRPr="00C72FA7">
        <w:rPr>
          <w:rFonts w:asciiTheme="minorHAnsi" w:hAnsiTheme="minorHAnsi" w:cstheme="minorHAnsi"/>
          <w:sz w:val="22"/>
          <w:szCs w:val="22"/>
        </w:rPr>
        <w:t xml:space="preserve"> </w:t>
      </w:r>
      <w:r w:rsidR="004A1F7E">
        <w:rPr>
          <w:rFonts w:asciiTheme="minorHAnsi" w:hAnsiTheme="minorHAnsi" w:cstheme="minorHAnsi"/>
          <w:sz w:val="22"/>
          <w:szCs w:val="22"/>
        </w:rPr>
        <w:t>respeita a</w:t>
      </w:r>
      <w:r w:rsidRPr="00C72FA7">
        <w:rPr>
          <w:rFonts w:asciiTheme="minorHAnsi" w:hAnsiTheme="minorHAnsi" w:cstheme="minorHAnsi"/>
          <w:sz w:val="22"/>
          <w:szCs w:val="22"/>
        </w:rPr>
        <w:t xml:space="preserve">o reembolso parcial de um dos mútuos em </w:t>
      </w:r>
      <w:r>
        <w:rPr>
          <w:rFonts w:asciiTheme="minorHAnsi" w:hAnsiTheme="minorHAnsi" w:cstheme="minorHAnsi"/>
          <w:sz w:val="22"/>
          <w:szCs w:val="22"/>
        </w:rPr>
        <w:t xml:space="preserve">€ </w:t>
      </w:r>
      <w:r w:rsidR="00E60FE5">
        <w:rPr>
          <w:rFonts w:asciiTheme="minorHAnsi" w:hAnsiTheme="minorHAnsi" w:cstheme="minorHAnsi"/>
          <w:sz w:val="22"/>
          <w:szCs w:val="22"/>
        </w:rPr>
        <w:t>80</w:t>
      </w:r>
      <w:r w:rsidRPr="00C72FA7">
        <w:rPr>
          <w:rFonts w:asciiTheme="minorHAnsi" w:hAnsiTheme="minorHAnsi" w:cstheme="minorHAnsi"/>
          <w:sz w:val="22"/>
          <w:szCs w:val="22"/>
        </w:rPr>
        <w:t>.</w:t>
      </w:r>
      <w:r>
        <w:rPr>
          <w:rFonts w:asciiTheme="minorHAnsi" w:hAnsiTheme="minorHAnsi" w:cstheme="minorHAnsi"/>
          <w:sz w:val="22"/>
          <w:szCs w:val="22"/>
        </w:rPr>
        <w:t>000</w:t>
      </w:r>
      <w:r w:rsidRPr="00C72FA7">
        <w:rPr>
          <w:rFonts w:asciiTheme="minorHAnsi" w:hAnsiTheme="minorHAnsi" w:cstheme="minorHAnsi"/>
          <w:sz w:val="22"/>
          <w:szCs w:val="22"/>
        </w:rPr>
        <w:t>.000.</w:t>
      </w:r>
    </w:p>
    <w:p w14:paraId="3937C8F7" w14:textId="77777777" w:rsidR="006D7C47" w:rsidRDefault="006D7C47" w:rsidP="006D7C47">
      <w:pPr>
        <w:jc w:val="both"/>
        <w:rPr>
          <w:rFonts w:asciiTheme="minorHAnsi" w:hAnsiTheme="minorHAnsi" w:cstheme="minorHAnsi"/>
          <w:sz w:val="22"/>
          <w:szCs w:val="22"/>
        </w:rPr>
      </w:pPr>
    </w:p>
    <w:p w14:paraId="2C258AD1" w14:textId="77777777" w:rsidR="006D7C47" w:rsidRDefault="006D7C47" w:rsidP="006D7C47">
      <w:pPr>
        <w:pStyle w:val="CorpotextoMP"/>
        <w:rPr>
          <w:rFonts w:asciiTheme="minorHAnsi" w:hAnsiTheme="minorHAnsi" w:cstheme="minorHAnsi"/>
          <w:b/>
          <w:sz w:val="22"/>
          <w:szCs w:val="22"/>
          <w:lang w:eastAsia="en-US"/>
        </w:rPr>
      </w:pPr>
    </w:p>
    <w:p w14:paraId="1B56E2E4" w14:textId="77777777" w:rsidR="00B227B5" w:rsidRPr="005E02AB" w:rsidRDefault="00B227B5" w:rsidP="00B227B5">
      <w:pPr>
        <w:pStyle w:val="CorpotextoMP"/>
        <w:rPr>
          <w:rFonts w:asciiTheme="minorHAnsi" w:hAnsiTheme="minorHAnsi" w:cstheme="minorHAnsi"/>
          <w:b/>
          <w:sz w:val="22"/>
          <w:szCs w:val="22"/>
          <w:lang w:eastAsia="en-US"/>
        </w:rPr>
      </w:pPr>
      <w:r>
        <w:rPr>
          <w:rFonts w:asciiTheme="minorHAnsi" w:hAnsiTheme="minorHAnsi" w:cstheme="minorHAnsi"/>
          <w:b/>
          <w:sz w:val="22"/>
          <w:szCs w:val="22"/>
          <w:lang w:eastAsia="en-US"/>
        </w:rPr>
        <w:t>8</w:t>
      </w:r>
      <w:r w:rsidRPr="005E02AB">
        <w:rPr>
          <w:rFonts w:asciiTheme="minorHAnsi" w:hAnsiTheme="minorHAnsi" w:cstheme="minorHAnsi"/>
          <w:b/>
          <w:sz w:val="22"/>
          <w:szCs w:val="22"/>
          <w:lang w:eastAsia="en-US"/>
        </w:rPr>
        <w:t xml:space="preserve">. </w:t>
      </w:r>
      <w:bookmarkStart w:id="61" w:name="_Hlk98255111"/>
      <w:r w:rsidRPr="005E02AB">
        <w:rPr>
          <w:rFonts w:asciiTheme="minorHAnsi" w:hAnsiTheme="minorHAnsi" w:cstheme="minorHAnsi"/>
          <w:b/>
          <w:sz w:val="22"/>
          <w:szCs w:val="22"/>
          <w:lang w:eastAsia="en-US"/>
        </w:rPr>
        <w:t xml:space="preserve">Princípio da Unidade </w:t>
      </w:r>
      <w:r>
        <w:rPr>
          <w:rFonts w:asciiTheme="minorHAnsi" w:hAnsiTheme="minorHAnsi" w:cstheme="minorHAnsi"/>
          <w:b/>
          <w:sz w:val="22"/>
          <w:szCs w:val="22"/>
          <w:lang w:eastAsia="en-US"/>
        </w:rPr>
        <w:t xml:space="preserve">de </w:t>
      </w:r>
      <w:r w:rsidRPr="005E02AB">
        <w:rPr>
          <w:rFonts w:asciiTheme="minorHAnsi" w:hAnsiTheme="minorHAnsi" w:cstheme="minorHAnsi"/>
          <w:b/>
          <w:sz w:val="22"/>
          <w:szCs w:val="22"/>
          <w:lang w:eastAsia="en-US"/>
        </w:rPr>
        <w:t>Tesouraria do Estado</w:t>
      </w:r>
      <w:r>
        <w:rPr>
          <w:rFonts w:asciiTheme="minorHAnsi" w:hAnsiTheme="minorHAnsi" w:cstheme="minorHAnsi"/>
          <w:b/>
          <w:sz w:val="22"/>
          <w:szCs w:val="22"/>
          <w:lang w:eastAsia="en-US"/>
        </w:rPr>
        <w:t xml:space="preserve"> </w:t>
      </w:r>
    </w:p>
    <w:bookmarkEnd w:id="61"/>
    <w:p w14:paraId="6F4B0856" w14:textId="77777777" w:rsidR="00B227B5" w:rsidRDefault="00B227B5" w:rsidP="00B227B5">
      <w:pPr>
        <w:jc w:val="both"/>
        <w:rPr>
          <w:rFonts w:asciiTheme="minorHAnsi" w:hAnsiTheme="minorHAnsi" w:cstheme="minorHAnsi"/>
          <w:sz w:val="22"/>
          <w:szCs w:val="22"/>
          <w:lang w:eastAsia="en-US"/>
        </w:rPr>
      </w:pPr>
    </w:p>
    <w:p w14:paraId="2C8BBE55" w14:textId="77777777" w:rsidR="00B227B5" w:rsidRDefault="00B227B5" w:rsidP="00B227B5">
      <w:pPr>
        <w:jc w:val="both"/>
        <w:rPr>
          <w:rFonts w:asciiTheme="minorHAnsi" w:hAnsiTheme="minorHAnsi" w:cstheme="minorHAnsi"/>
          <w:sz w:val="22"/>
          <w:szCs w:val="22"/>
          <w:lang w:eastAsia="en-US"/>
        </w:rPr>
      </w:pPr>
      <w:r w:rsidRPr="003D72ED">
        <w:rPr>
          <w:rFonts w:asciiTheme="minorHAnsi" w:hAnsiTheme="minorHAnsi" w:cstheme="minorHAnsi"/>
          <w:sz w:val="22"/>
          <w:szCs w:val="22"/>
          <w:lang w:eastAsia="en-US"/>
        </w:rPr>
        <w:t xml:space="preserve">Foi prestada informação à </w:t>
      </w:r>
      <w:r>
        <w:rPr>
          <w:rFonts w:asciiTheme="minorHAnsi" w:hAnsiTheme="minorHAnsi" w:cstheme="minorHAnsi"/>
          <w:sz w:val="22"/>
          <w:szCs w:val="22"/>
          <w:lang w:eastAsia="en-US"/>
        </w:rPr>
        <w:t>E</w:t>
      </w:r>
      <w:r w:rsidRPr="003D72ED">
        <w:rPr>
          <w:rFonts w:asciiTheme="minorHAnsi" w:hAnsiTheme="minorHAnsi" w:cstheme="minorHAnsi"/>
          <w:sz w:val="22"/>
          <w:szCs w:val="22"/>
          <w:lang w:eastAsia="en-US"/>
        </w:rPr>
        <w:t>TF, através do formulário do SI</w:t>
      </w:r>
      <w:r>
        <w:rPr>
          <w:rFonts w:asciiTheme="minorHAnsi" w:hAnsiTheme="minorHAnsi" w:cstheme="minorHAnsi"/>
          <w:sz w:val="22"/>
          <w:szCs w:val="22"/>
          <w:lang w:eastAsia="en-US"/>
        </w:rPr>
        <w:t>SEE</w:t>
      </w:r>
      <w:r w:rsidRPr="003D72ED">
        <w:rPr>
          <w:rFonts w:asciiTheme="minorHAnsi" w:hAnsiTheme="minorHAnsi" w:cstheme="minorHAnsi"/>
          <w:sz w:val="22"/>
          <w:szCs w:val="22"/>
          <w:lang w:eastAsia="en-US"/>
        </w:rPr>
        <w:t xml:space="preserve"> para o efeito, sobre os montantes e as entidades em que se encontram aplicadas a totalidade das disponibilidades da PARVALOREM, incluindo receitas próprias e aplicações financeiras.</w:t>
      </w:r>
    </w:p>
    <w:p w14:paraId="08119CB9" w14:textId="77777777" w:rsidR="00B227B5" w:rsidRPr="00B02E5F" w:rsidRDefault="00B227B5" w:rsidP="00B227B5">
      <w:pPr>
        <w:jc w:val="both"/>
        <w:rPr>
          <w:rFonts w:asciiTheme="minorHAnsi" w:hAnsiTheme="minorHAnsi" w:cstheme="minorHAnsi"/>
          <w:sz w:val="22"/>
          <w:szCs w:val="22"/>
          <w:lang w:eastAsia="en-US"/>
        </w:rPr>
      </w:pPr>
    </w:p>
    <w:p w14:paraId="26B61084" w14:textId="6A84A401" w:rsidR="00B227B5" w:rsidRPr="00A30907" w:rsidRDefault="00B227B5" w:rsidP="00B227B5">
      <w:pPr>
        <w:jc w:val="both"/>
        <w:rPr>
          <w:rFonts w:asciiTheme="minorHAnsi" w:hAnsiTheme="minorHAnsi" w:cstheme="minorHAnsi"/>
          <w:sz w:val="22"/>
          <w:szCs w:val="22"/>
          <w:lang w:eastAsia="en-US"/>
        </w:rPr>
      </w:pPr>
      <w:r w:rsidRPr="00D07BCA">
        <w:rPr>
          <w:rFonts w:asciiTheme="minorHAnsi" w:hAnsiTheme="minorHAnsi" w:cstheme="minorHAnsi"/>
          <w:sz w:val="22"/>
          <w:szCs w:val="22"/>
          <w:lang w:eastAsia="en-US"/>
        </w:rPr>
        <w:t>A PARVALOREM foi parcialmente dispensada do cumprimento do Princípio da Unidade de Tesouraria para 202</w:t>
      </w:r>
      <w:r w:rsidR="00094616">
        <w:rPr>
          <w:rFonts w:asciiTheme="minorHAnsi" w:hAnsiTheme="minorHAnsi" w:cstheme="minorHAnsi"/>
          <w:sz w:val="22"/>
          <w:szCs w:val="22"/>
          <w:lang w:eastAsia="en-US"/>
        </w:rPr>
        <w:t>5</w:t>
      </w:r>
      <w:r w:rsidRPr="00D07BCA">
        <w:rPr>
          <w:rFonts w:asciiTheme="minorHAnsi" w:hAnsiTheme="minorHAnsi" w:cstheme="minorHAnsi"/>
          <w:sz w:val="22"/>
          <w:szCs w:val="22"/>
          <w:lang w:eastAsia="en-US"/>
        </w:rPr>
        <w:t xml:space="preserve">, através do Despacho </w:t>
      </w:r>
      <w:r w:rsidR="009C1F28">
        <w:rPr>
          <w:rFonts w:asciiTheme="minorHAnsi" w:hAnsiTheme="minorHAnsi" w:cstheme="minorHAnsi"/>
          <w:sz w:val="22"/>
          <w:szCs w:val="22"/>
          <w:lang w:eastAsia="en-US"/>
        </w:rPr>
        <w:t>nº 42/2025-SETF, de 26 de junho de 2025</w:t>
      </w:r>
      <w:r w:rsidRPr="00D07BCA">
        <w:rPr>
          <w:rFonts w:asciiTheme="minorHAnsi" w:hAnsiTheme="minorHAnsi" w:cstheme="minorHAnsi"/>
          <w:sz w:val="22"/>
          <w:szCs w:val="22"/>
          <w:lang w:eastAsia="en-US"/>
        </w:rPr>
        <w:t>.</w:t>
      </w:r>
      <w:r w:rsidRPr="00A30907">
        <w:rPr>
          <w:rFonts w:asciiTheme="minorHAnsi" w:hAnsiTheme="minorHAnsi" w:cstheme="minorHAnsi"/>
          <w:sz w:val="22"/>
          <w:szCs w:val="22"/>
          <w:lang w:eastAsia="en-US"/>
        </w:rPr>
        <w:tab/>
      </w:r>
      <w:r w:rsidRPr="00A30907">
        <w:rPr>
          <w:rFonts w:asciiTheme="minorHAnsi" w:hAnsiTheme="minorHAnsi" w:cstheme="minorHAnsi"/>
          <w:sz w:val="22"/>
          <w:szCs w:val="22"/>
          <w:lang w:eastAsia="en-US"/>
        </w:rPr>
        <w:tab/>
      </w:r>
      <w:r w:rsidRPr="00A30907">
        <w:rPr>
          <w:rFonts w:asciiTheme="minorHAnsi" w:hAnsiTheme="minorHAnsi" w:cstheme="minorHAnsi"/>
          <w:sz w:val="22"/>
          <w:szCs w:val="22"/>
          <w:lang w:eastAsia="en-US"/>
        </w:rPr>
        <w:tab/>
      </w:r>
      <w:r w:rsidRPr="00A30907">
        <w:rPr>
          <w:rFonts w:asciiTheme="minorHAnsi" w:hAnsiTheme="minorHAnsi" w:cstheme="minorHAnsi"/>
          <w:sz w:val="22"/>
          <w:szCs w:val="22"/>
          <w:lang w:eastAsia="en-US"/>
        </w:rPr>
        <w:tab/>
      </w:r>
      <w:r w:rsidRPr="00A30907">
        <w:rPr>
          <w:rFonts w:asciiTheme="minorHAnsi" w:hAnsiTheme="minorHAnsi" w:cstheme="minorHAnsi"/>
          <w:sz w:val="22"/>
          <w:szCs w:val="22"/>
          <w:lang w:eastAsia="en-US"/>
        </w:rPr>
        <w:tab/>
      </w:r>
      <w:r w:rsidRPr="00A30907">
        <w:rPr>
          <w:rFonts w:asciiTheme="minorHAnsi" w:hAnsiTheme="minorHAnsi" w:cstheme="minorHAnsi"/>
          <w:sz w:val="22"/>
          <w:szCs w:val="22"/>
          <w:lang w:eastAsia="en-US"/>
        </w:rPr>
        <w:tab/>
      </w:r>
    </w:p>
    <w:tbl>
      <w:tblPr>
        <w:tblW w:w="9810" w:type="dxa"/>
        <w:tblCellMar>
          <w:left w:w="70" w:type="dxa"/>
          <w:right w:w="70" w:type="dxa"/>
        </w:tblCellMar>
        <w:tblLook w:val="04A0" w:firstRow="1" w:lastRow="0" w:firstColumn="1" w:lastColumn="0" w:noHBand="0" w:noVBand="1"/>
      </w:tblPr>
      <w:tblGrid>
        <w:gridCol w:w="3251"/>
        <w:gridCol w:w="1275"/>
        <w:gridCol w:w="1276"/>
        <w:gridCol w:w="1276"/>
        <w:gridCol w:w="1276"/>
        <w:gridCol w:w="1456"/>
      </w:tblGrid>
      <w:tr w:rsidR="00B227B5" w:rsidRPr="00C5022F" w14:paraId="46C4903E" w14:textId="77777777" w:rsidTr="00F53A31">
        <w:trPr>
          <w:gridAfter w:val="1"/>
          <w:wAfter w:w="1456" w:type="dxa"/>
          <w:cantSplit/>
          <w:trHeight w:hRule="exact" w:val="284"/>
        </w:trPr>
        <w:tc>
          <w:tcPr>
            <w:tcW w:w="3251" w:type="dxa"/>
            <w:vMerge w:val="restart"/>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31A47158" w14:textId="77777777" w:rsidR="00B227B5" w:rsidRPr="00A22B04" w:rsidRDefault="00B227B5" w:rsidP="00F53A31">
            <w:pPr>
              <w:jc w:val="center"/>
              <w:rPr>
                <w:rFonts w:asciiTheme="minorHAnsi" w:hAnsiTheme="minorHAnsi" w:cstheme="minorHAnsi"/>
                <w:b/>
                <w:bCs/>
                <w:color w:val="000000"/>
                <w:sz w:val="18"/>
                <w:szCs w:val="18"/>
              </w:rPr>
            </w:pPr>
            <w:r w:rsidRPr="00A22B04">
              <w:rPr>
                <w:rFonts w:asciiTheme="minorHAnsi" w:hAnsiTheme="minorHAnsi" w:cstheme="minorHAnsi"/>
                <w:b/>
                <w:bCs/>
                <w:color w:val="000000"/>
                <w:sz w:val="18"/>
                <w:szCs w:val="18"/>
              </w:rPr>
              <w:t>IGCP</w:t>
            </w:r>
          </w:p>
        </w:tc>
        <w:tc>
          <w:tcPr>
            <w:tcW w:w="1275" w:type="dxa"/>
            <w:vMerge w:val="restart"/>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0C9D0B33" w14:textId="77777777" w:rsidR="00B227B5" w:rsidRPr="00A22B04" w:rsidRDefault="00B227B5" w:rsidP="00F53A31">
            <w:pPr>
              <w:jc w:val="center"/>
              <w:rPr>
                <w:rFonts w:asciiTheme="minorHAnsi" w:hAnsiTheme="minorHAnsi" w:cstheme="minorHAnsi"/>
                <w:b/>
                <w:bCs/>
                <w:color w:val="000000"/>
                <w:sz w:val="18"/>
                <w:szCs w:val="18"/>
              </w:rPr>
            </w:pPr>
            <w:r w:rsidRPr="00A22B04">
              <w:rPr>
                <w:rFonts w:asciiTheme="minorHAnsi" w:hAnsiTheme="minorHAnsi" w:cstheme="minorHAnsi"/>
                <w:b/>
                <w:bCs/>
                <w:color w:val="000000"/>
                <w:sz w:val="18"/>
                <w:szCs w:val="18"/>
              </w:rPr>
              <w:t>1º trimestre €</w:t>
            </w:r>
          </w:p>
        </w:tc>
        <w:tc>
          <w:tcPr>
            <w:tcW w:w="1276" w:type="dxa"/>
            <w:vMerge w:val="restart"/>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7FC348EA" w14:textId="77777777" w:rsidR="00B227B5" w:rsidRPr="00A22B04" w:rsidRDefault="00B227B5" w:rsidP="00F53A31">
            <w:pPr>
              <w:jc w:val="center"/>
              <w:rPr>
                <w:rFonts w:asciiTheme="minorHAnsi" w:hAnsiTheme="minorHAnsi" w:cstheme="minorHAnsi"/>
                <w:b/>
                <w:bCs/>
                <w:color w:val="000000"/>
                <w:sz w:val="18"/>
                <w:szCs w:val="18"/>
              </w:rPr>
            </w:pPr>
            <w:r w:rsidRPr="00A22B04">
              <w:rPr>
                <w:rFonts w:asciiTheme="minorHAnsi" w:hAnsiTheme="minorHAnsi" w:cstheme="minorHAnsi"/>
                <w:b/>
                <w:bCs/>
                <w:color w:val="000000"/>
                <w:sz w:val="18"/>
                <w:szCs w:val="18"/>
              </w:rPr>
              <w:t>2º trimestre €</w:t>
            </w:r>
          </w:p>
        </w:tc>
        <w:tc>
          <w:tcPr>
            <w:tcW w:w="1276" w:type="dxa"/>
            <w:vMerge w:val="restart"/>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01D12B5A" w14:textId="77777777" w:rsidR="00B227B5" w:rsidRPr="00A22B04" w:rsidRDefault="00B227B5" w:rsidP="00F53A31">
            <w:pPr>
              <w:jc w:val="center"/>
              <w:rPr>
                <w:rFonts w:asciiTheme="minorHAnsi" w:hAnsiTheme="minorHAnsi" w:cstheme="minorHAnsi"/>
                <w:b/>
                <w:bCs/>
                <w:color w:val="000000"/>
                <w:sz w:val="18"/>
                <w:szCs w:val="18"/>
              </w:rPr>
            </w:pPr>
            <w:r w:rsidRPr="00A22B04">
              <w:rPr>
                <w:rFonts w:asciiTheme="minorHAnsi" w:hAnsiTheme="minorHAnsi" w:cstheme="minorHAnsi"/>
                <w:b/>
                <w:bCs/>
                <w:color w:val="000000"/>
                <w:sz w:val="18"/>
                <w:szCs w:val="18"/>
              </w:rPr>
              <w:t>3º trimestre €</w:t>
            </w:r>
          </w:p>
        </w:tc>
        <w:tc>
          <w:tcPr>
            <w:tcW w:w="1276" w:type="dxa"/>
            <w:vMerge w:val="restart"/>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5078D65D" w14:textId="77777777" w:rsidR="00B227B5" w:rsidRPr="00A22B04" w:rsidRDefault="00B227B5" w:rsidP="00F53A31">
            <w:pPr>
              <w:jc w:val="center"/>
              <w:rPr>
                <w:rFonts w:asciiTheme="minorHAnsi" w:hAnsiTheme="minorHAnsi" w:cstheme="minorHAnsi"/>
                <w:b/>
                <w:bCs/>
                <w:color w:val="000000"/>
                <w:sz w:val="18"/>
                <w:szCs w:val="18"/>
              </w:rPr>
            </w:pPr>
            <w:r w:rsidRPr="00A22B04">
              <w:rPr>
                <w:rFonts w:asciiTheme="minorHAnsi" w:hAnsiTheme="minorHAnsi" w:cstheme="minorHAnsi"/>
                <w:b/>
                <w:bCs/>
                <w:color w:val="000000"/>
                <w:sz w:val="18"/>
                <w:szCs w:val="18"/>
              </w:rPr>
              <w:t>4º trimestre €</w:t>
            </w:r>
          </w:p>
        </w:tc>
      </w:tr>
      <w:tr w:rsidR="00B227B5" w:rsidRPr="00C5022F" w14:paraId="1677A27A" w14:textId="77777777" w:rsidTr="00F53A31">
        <w:trPr>
          <w:trHeight w:hRule="exact" w:val="99"/>
        </w:trPr>
        <w:tc>
          <w:tcPr>
            <w:tcW w:w="3251" w:type="dxa"/>
            <w:vMerge/>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7DDE7EED" w14:textId="77777777" w:rsidR="00B227B5" w:rsidRPr="00A22B04" w:rsidRDefault="00B227B5" w:rsidP="00F53A31">
            <w:pPr>
              <w:rPr>
                <w:rFonts w:asciiTheme="minorHAnsi" w:hAnsiTheme="minorHAnsi" w:cstheme="minorHAnsi"/>
                <w:b/>
                <w:bCs/>
                <w:color w:val="000000"/>
                <w:sz w:val="18"/>
                <w:szCs w:val="18"/>
              </w:rPr>
            </w:pPr>
          </w:p>
        </w:tc>
        <w:tc>
          <w:tcPr>
            <w:tcW w:w="1275" w:type="dxa"/>
            <w:vMerge/>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5BB83338" w14:textId="77777777" w:rsidR="00B227B5" w:rsidRPr="00A22B04" w:rsidRDefault="00B227B5" w:rsidP="00F53A31">
            <w:pPr>
              <w:rPr>
                <w:rFonts w:asciiTheme="minorHAnsi" w:hAnsiTheme="minorHAnsi" w:cstheme="minorHAnsi"/>
                <w:b/>
                <w:bCs/>
                <w:color w:val="000000"/>
                <w:sz w:val="18"/>
                <w:szCs w:val="18"/>
              </w:rPr>
            </w:pPr>
          </w:p>
        </w:tc>
        <w:tc>
          <w:tcPr>
            <w:tcW w:w="1276" w:type="dxa"/>
            <w:vMerge/>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4491E58D" w14:textId="77777777" w:rsidR="00B227B5" w:rsidRPr="00A22B04" w:rsidRDefault="00B227B5" w:rsidP="00F53A31">
            <w:pPr>
              <w:rPr>
                <w:rFonts w:asciiTheme="minorHAnsi" w:hAnsiTheme="minorHAnsi" w:cstheme="minorHAnsi"/>
                <w:b/>
                <w:bCs/>
                <w:color w:val="000000"/>
                <w:sz w:val="18"/>
                <w:szCs w:val="18"/>
              </w:rPr>
            </w:pPr>
          </w:p>
        </w:tc>
        <w:tc>
          <w:tcPr>
            <w:tcW w:w="1276" w:type="dxa"/>
            <w:vMerge/>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2C2035E1" w14:textId="77777777" w:rsidR="00B227B5" w:rsidRPr="00A22B04" w:rsidRDefault="00B227B5" w:rsidP="00F53A31">
            <w:pPr>
              <w:rPr>
                <w:rFonts w:asciiTheme="minorHAnsi" w:hAnsiTheme="minorHAnsi" w:cstheme="minorHAnsi"/>
                <w:b/>
                <w:bCs/>
                <w:color w:val="000000"/>
                <w:sz w:val="18"/>
                <w:szCs w:val="18"/>
              </w:rPr>
            </w:pPr>
          </w:p>
        </w:tc>
        <w:tc>
          <w:tcPr>
            <w:tcW w:w="1276" w:type="dxa"/>
            <w:vMerge/>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6ABFC28A" w14:textId="77777777" w:rsidR="00B227B5" w:rsidRPr="00A22B04" w:rsidRDefault="00B227B5" w:rsidP="00F53A31">
            <w:pPr>
              <w:rPr>
                <w:rFonts w:asciiTheme="minorHAnsi" w:hAnsiTheme="minorHAnsi" w:cstheme="minorHAnsi"/>
                <w:b/>
                <w:bCs/>
                <w:color w:val="000000"/>
                <w:sz w:val="18"/>
                <w:szCs w:val="18"/>
              </w:rPr>
            </w:pPr>
          </w:p>
        </w:tc>
        <w:tc>
          <w:tcPr>
            <w:tcW w:w="1456" w:type="dxa"/>
            <w:tcBorders>
              <w:top w:val="nil"/>
              <w:left w:val="nil"/>
              <w:bottom w:val="nil"/>
              <w:right w:val="nil"/>
            </w:tcBorders>
            <w:noWrap/>
            <w:vAlign w:val="bottom"/>
            <w:hideMark/>
          </w:tcPr>
          <w:p w14:paraId="5997251D" w14:textId="77777777" w:rsidR="00B227B5" w:rsidRPr="00C5022F" w:rsidRDefault="00B227B5" w:rsidP="00F53A31">
            <w:pPr>
              <w:jc w:val="center"/>
              <w:rPr>
                <w:rFonts w:asciiTheme="minorHAnsi" w:hAnsiTheme="minorHAnsi" w:cstheme="minorHAnsi"/>
                <w:b/>
                <w:bCs/>
                <w:color w:val="000000"/>
                <w:sz w:val="18"/>
                <w:szCs w:val="18"/>
              </w:rPr>
            </w:pPr>
          </w:p>
        </w:tc>
      </w:tr>
      <w:tr w:rsidR="004A6A51" w:rsidRPr="00C5022F" w14:paraId="286F1935" w14:textId="77777777" w:rsidTr="00F53A31">
        <w:trPr>
          <w:trHeight w:hRule="exact" w:val="255"/>
        </w:trPr>
        <w:tc>
          <w:tcPr>
            <w:tcW w:w="3251" w:type="dxa"/>
            <w:tcBorders>
              <w:top w:val="nil"/>
              <w:left w:val="single" w:sz="8" w:space="0" w:color="FFFFFF"/>
              <w:bottom w:val="single" w:sz="8" w:space="0" w:color="FFFFFF"/>
              <w:right w:val="single" w:sz="8" w:space="0" w:color="FFFFFF"/>
            </w:tcBorders>
            <w:shd w:val="clear" w:color="auto" w:fill="D9E2F3" w:themeFill="accent5" w:themeFillTint="33"/>
            <w:noWrap/>
            <w:vAlign w:val="center"/>
            <w:hideMark/>
          </w:tcPr>
          <w:p w14:paraId="06A0ED1A" w14:textId="77777777" w:rsidR="004A6A51" w:rsidRPr="004975A4" w:rsidRDefault="004A6A51" w:rsidP="004A6A51">
            <w:pPr>
              <w:rPr>
                <w:rFonts w:asciiTheme="minorHAnsi" w:hAnsiTheme="minorHAnsi" w:cstheme="minorHAnsi"/>
                <w:color w:val="000000"/>
                <w:sz w:val="18"/>
                <w:szCs w:val="18"/>
              </w:rPr>
            </w:pPr>
            <w:r w:rsidRPr="004975A4">
              <w:rPr>
                <w:rFonts w:asciiTheme="minorHAnsi" w:hAnsiTheme="minorHAnsi" w:cstheme="minorHAnsi"/>
                <w:color w:val="000000"/>
                <w:sz w:val="18"/>
                <w:szCs w:val="18"/>
              </w:rPr>
              <w:t xml:space="preserve">Disponibilidades </w:t>
            </w:r>
          </w:p>
        </w:tc>
        <w:tc>
          <w:tcPr>
            <w:tcW w:w="1275" w:type="dxa"/>
            <w:tcBorders>
              <w:top w:val="nil"/>
              <w:left w:val="nil"/>
              <w:bottom w:val="single" w:sz="8" w:space="0" w:color="FFFFFF"/>
              <w:right w:val="single" w:sz="8" w:space="0" w:color="FFFFFF"/>
            </w:tcBorders>
            <w:shd w:val="clear" w:color="auto" w:fill="D9E2F3" w:themeFill="accent5" w:themeFillTint="33"/>
            <w:noWrap/>
            <w:vAlign w:val="center"/>
          </w:tcPr>
          <w:p w14:paraId="66B4BC8F" w14:textId="6624D481" w:rsidR="004A6A51" w:rsidRPr="004975A4" w:rsidRDefault="004A6A51" w:rsidP="004A6A51">
            <w:pPr>
              <w:jc w:val="right"/>
              <w:rPr>
                <w:rFonts w:asciiTheme="minorHAnsi" w:hAnsiTheme="minorHAnsi" w:cstheme="minorHAnsi"/>
                <w:color w:val="000000"/>
                <w:sz w:val="18"/>
                <w:szCs w:val="18"/>
                <w:highlight w:val="yellow"/>
              </w:rPr>
            </w:pPr>
            <w:r>
              <w:rPr>
                <w:rFonts w:ascii="Calibri" w:hAnsi="Calibri" w:cs="Calibri"/>
                <w:color w:val="000000"/>
                <w:sz w:val="18"/>
                <w:szCs w:val="18"/>
              </w:rPr>
              <w:t>2 109 729</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3EB2AA0B" w14:textId="4DF53FB9" w:rsidR="004A6A51" w:rsidRPr="004975A4" w:rsidRDefault="004A6A51" w:rsidP="004A6A51">
            <w:pPr>
              <w:jc w:val="right"/>
              <w:rPr>
                <w:rFonts w:asciiTheme="minorHAnsi" w:hAnsiTheme="minorHAnsi" w:cstheme="minorHAnsi"/>
                <w:color w:val="000000"/>
                <w:sz w:val="18"/>
                <w:szCs w:val="18"/>
                <w:highlight w:val="yellow"/>
              </w:rPr>
            </w:pPr>
            <w:r>
              <w:rPr>
                <w:rFonts w:ascii="Calibri" w:hAnsi="Calibri" w:cs="Calibri"/>
                <w:color w:val="000000"/>
                <w:sz w:val="18"/>
                <w:szCs w:val="18"/>
              </w:rPr>
              <w:t>2 543 055</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673237A5" w14:textId="46338A92" w:rsidR="004A6A51" w:rsidRPr="004975A4" w:rsidRDefault="004A6A51" w:rsidP="004A6A51">
            <w:pPr>
              <w:jc w:val="right"/>
              <w:rPr>
                <w:rFonts w:asciiTheme="minorHAnsi" w:hAnsiTheme="minorHAnsi" w:cstheme="minorHAnsi"/>
                <w:color w:val="000000"/>
                <w:sz w:val="18"/>
                <w:szCs w:val="18"/>
                <w:highlight w:val="yellow"/>
              </w:rPr>
            </w:pPr>
            <w:r>
              <w:rPr>
                <w:rFonts w:ascii="Calibri" w:hAnsi="Calibri" w:cs="Calibri"/>
                <w:color w:val="000000"/>
                <w:sz w:val="18"/>
                <w:szCs w:val="18"/>
              </w:rPr>
              <w:t>1 877 358</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0C8D9201" w14:textId="428D3535" w:rsidR="004A6A51" w:rsidRPr="00BA5EF3" w:rsidRDefault="004A6A51" w:rsidP="004A6A51">
            <w:pPr>
              <w:jc w:val="right"/>
              <w:rPr>
                <w:rFonts w:asciiTheme="minorHAnsi" w:hAnsiTheme="minorHAnsi" w:cstheme="minorHAnsi"/>
                <w:color w:val="000000"/>
                <w:sz w:val="18"/>
                <w:szCs w:val="18"/>
                <w:highlight w:val="yellow"/>
              </w:rPr>
            </w:pPr>
            <w:r w:rsidRPr="009B0DA0">
              <w:rPr>
                <w:rFonts w:ascii="Calibri" w:hAnsi="Calibri" w:cs="Calibri"/>
                <w:color w:val="000000"/>
                <w:sz w:val="18"/>
                <w:szCs w:val="18"/>
              </w:rPr>
              <w:t>1 100 254</w:t>
            </w:r>
          </w:p>
        </w:tc>
        <w:tc>
          <w:tcPr>
            <w:tcW w:w="1456" w:type="dxa"/>
            <w:vAlign w:val="center"/>
            <w:hideMark/>
          </w:tcPr>
          <w:p w14:paraId="2E26FAC5" w14:textId="77777777" w:rsidR="004A6A51" w:rsidRPr="00BA5EF3" w:rsidRDefault="004A6A51" w:rsidP="004A6A51">
            <w:pPr>
              <w:rPr>
                <w:rFonts w:asciiTheme="minorHAnsi" w:hAnsiTheme="minorHAnsi" w:cstheme="minorHAnsi"/>
                <w:sz w:val="18"/>
                <w:szCs w:val="18"/>
                <w:highlight w:val="yellow"/>
              </w:rPr>
            </w:pPr>
          </w:p>
        </w:tc>
      </w:tr>
      <w:tr w:rsidR="004A6A51" w:rsidRPr="00C5022F" w14:paraId="1419DEDF" w14:textId="77777777" w:rsidTr="00F53A31">
        <w:trPr>
          <w:trHeight w:hRule="exact" w:val="255"/>
        </w:trPr>
        <w:tc>
          <w:tcPr>
            <w:tcW w:w="3251" w:type="dxa"/>
            <w:tcBorders>
              <w:top w:val="nil"/>
              <w:left w:val="single" w:sz="8" w:space="0" w:color="FFFFFF"/>
              <w:bottom w:val="single" w:sz="8" w:space="0" w:color="FFFFFF"/>
              <w:right w:val="single" w:sz="8" w:space="0" w:color="FFFFFF"/>
            </w:tcBorders>
            <w:shd w:val="clear" w:color="auto" w:fill="D9E2F3" w:themeFill="accent5" w:themeFillTint="33"/>
            <w:noWrap/>
            <w:vAlign w:val="center"/>
            <w:hideMark/>
          </w:tcPr>
          <w:p w14:paraId="4926BE3A" w14:textId="77777777" w:rsidR="004A6A51" w:rsidRPr="004975A4" w:rsidRDefault="004A6A51" w:rsidP="004A6A51">
            <w:pPr>
              <w:rPr>
                <w:rFonts w:asciiTheme="minorHAnsi" w:hAnsiTheme="minorHAnsi" w:cstheme="minorHAnsi"/>
                <w:color w:val="000000"/>
                <w:sz w:val="18"/>
                <w:szCs w:val="18"/>
              </w:rPr>
            </w:pPr>
            <w:r w:rsidRPr="004975A4">
              <w:rPr>
                <w:rFonts w:asciiTheme="minorHAnsi" w:hAnsiTheme="minorHAnsi" w:cstheme="minorHAnsi"/>
                <w:color w:val="000000"/>
                <w:sz w:val="18"/>
                <w:szCs w:val="18"/>
              </w:rPr>
              <w:t>Aplicações financeiras</w:t>
            </w:r>
          </w:p>
        </w:tc>
        <w:tc>
          <w:tcPr>
            <w:tcW w:w="1275" w:type="dxa"/>
            <w:tcBorders>
              <w:top w:val="nil"/>
              <w:left w:val="nil"/>
              <w:bottom w:val="single" w:sz="8" w:space="0" w:color="FFFFFF"/>
              <w:right w:val="single" w:sz="8" w:space="0" w:color="FFFFFF"/>
            </w:tcBorders>
            <w:shd w:val="clear" w:color="auto" w:fill="D9E2F3" w:themeFill="accent5" w:themeFillTint="33"/>
            <w:noWrap/>
            <w:vAlign w:val="center"/>
          </w:tcPr>
          <w:p w14:paraId="6E5C84D8" w14:textId="1521567D" w:rsidR="004A6A51" w:rsidRPr="004975A4" w:rsidRDefault="004A6A51" w:rsidP="004A6A51">
            <w:pPr>
              <w:jc w:val="right"/>
              <w:rPr>
                <w:rFonts w:asciiTheme="minorHAnsi" w:hAnsiTheme="minorHAnsi" w:cstheme="minorHAnsi"/>
                <w:color w:val="000000"/>
                <w:sz w:val="18"/>
                <w:szCs w:val="18"/>
                <w:highlight w:val="yellow"/>
              </w:rPr>
            </w:pPr>
            <w:r>
              <w:rPr>
                <w:rFonts w:ascii="Calibri" w:hAnsi="Calibri" w:cs="Calibri"/>
                <w:color w:val="000000"/>
                <w:sz w:val="18"/>
                <w:szCs w:val="18"/>
              </w:rPr>
              <w:t xml:space="preserve">      51 000 000 </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6E614123" w14:textId="7C4DC101" w:rsidR="004A6A51" w:rsidRPr="004975A4" w:rsidRDefault="004A6A51" w:rsidP="004A6A51">
            <w:pPr>
              <w:jc w:val="right"/>
              <w:rPr>
                <w:rFonts w:asciiTheme="minorHAnsi" w:hAnsiTheme="minorHAnsi" w:cstheme="minorHAnsi"/>
                <w:color w:val="000000"/>
                <w:sz w:val="18"/>
                <w:szCs w:val="18"/>
                <w:highlight w:val="yellow"/>
              </w:rPr>
            </w:pPr>
            <w:r>
              <w:rPr>
                <w:rFonts w:ascii="Calibri" w:hAnsi="Calibri" w:cs="Calibri"/>
                <w:color w:val="000000"/>
                <w:sz w:val="18"/>
                <w:szCs w:val="18"/>
              </w:rPr>
              <w:t xml:space="preserve">         69 000 000 </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240CC07F" w14:textId="640DECDD" w:rsidR="004A6A51" w:rsidRPr="004975A4" w:rsidRDefault="004A6A51" w:rsidP="004A6A51">
            <w:pPr>
              <w:jc w:val="right"/>
              <w:rPr>
                <w:rFonts w:asciiTheme="minorHAnsi" w:hAnsiTheme="minorHAnsi" w:cstheme="minorHAnsi"/>
                <w:color w:val="000000"/>
                <w:sz w:val="18"/>
                <w:szCs w:val="18"/>
                <w:highlight w:val="yellow"/>
              </w:rPr>
            </w:pPr>
            <w:r>
              <w:rPr>
                <w:rFonts w:ascii="Calibri" w:hAnsi="Calibri" w:cs="Calibri"/>
                <w:color w:val="000000"/>
                <w:sz w:val="18"/>
                <w:szCs w:val="18"/>
              </w:rPr>
              <w:t xml:space="preserve">       74 300 000 </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18418774" w14:textId="3AEC7CB3" w:rsidR="004A6A51" w:rsidRPr="004975A4" w:rsidRDefault="004A6A51" w:rsidP="004A6A51">
            <w:pPr>
              <w:jc w:val="right"/>
              <w:rPr>
                <w:rFonts w:asciiTheme="minorHAnsi" w:hAnsiTheme="minorHAnsi" w:cstheme="minorHAnsi"/>
                <w:sz w:val="18"/>
                <w:szCs w:val="18"/>
                <w:highlight w:val="yellow"/>
              </w:rPr>
            </w:pPr>
            <w:r>
              <w:rPr>
                <w:rFonts w:ascii="Calibri" w:hAnsi="Calibri" w:cs="Calibri"/>
                <w:color w:val="000000"/>
                <w:sz w:val="18"/>
                <w:szCs w:val="18"/>
              </w:rPr>
              <w:t>25 500 000</w:t>
            </w:r>
          </w:p>
        </w:tc>
        <w:tc>
          <w:tcPr>
            <w:tcW w:w="1456" w:type="dxa"/>
            <w:vAlign w:val="center"/>
            <w:hideMark/>
          </w:tcPr>
          <w:p w14:paraId="24F63347" w14:textId="77777777" w:rsidR="004A6A51" w:rsidRPr="00C5022F" w:rsidRDefault="004A6A51" w:rsidP="004A6A51">
            <w:pPr>
              <w:rPr>
                <w:rFonts w:asciiTheme="minorHAnsi" w:hAnsiTheme="minorHAnsi" w:cstheme="minorHAnsi"/>
                <w:sz w:val="18"/>
                <w:szCs w:val="18"/>
              </w:rPr>
            </w:pPr>
          </w:p>
        </w:tc>
      </w:tr>
      <w:tr w:rsidR="00AD793A" w:rsidRPr="00C5022F" w14:paraId="71EA8557" w14:textId="77777777" w:rsidTr="00F53A31">
        <w:trPr>
          <w:trHeight w:hRule="exact" w:val="255"/>
        </w:trPr>
        <w:tc>
          <w:tcPr>
            <w:tcW w:w="3251" w:type="dxa"/>
            <w:tcBorders>
              <w:top w:val="nil"/>
              <w:left w:val="single" w:sz="8" w:space="0" w:color="FFFFFF"/>
              <w:bottom w:val="single" w:sz="8" w:space="0" w:color="FFFFFF"/>
              <w:right w:val="single" w:sz="8" w:space="0" w:color="FFFFFF"/>
            </w:tcBorders>
            <w:shd w:val="clear" w:color="auto" w:fill="8EAADB" w:themeFill="accent5" w:themeFillTint="99"/>
            <w:noWrap/>
            <w:vAlign w:val="center"/>
            <w:hideMark/>
          </w:tcPr>
          <w:p w14:paraId="3F87CDB4" w14:textId="77777777" w:rsidR="00AD793A" w:rsidRPr="00AD793A" w:rsidRDefault="00AD793A" w:rsidP="00AD793A">
            <w:pPr>
              <w:jc w:val="right"/>
              <w:rPr>
                <w:rFonts w:asciiTheme="minorHAnsi" w:hAnsiTheme="minorHAnsi" w:cstheme="minorHAnsi"/>
                <w:b/>
                <w:bCs/>
                <w:color w:val="000000"/>
                <w:sz w:val="18"/>
                <w:szCs w:val="18"/>
              </w:rPr>
            </w:pPr>
            <w:r w:rsidRPr="00AD793A">
              <w:rPr>
                <w:rFonts w:asciiTheme="minorHAnsi" w:hAnsiTheme="minorHAnsi" w:cstheme="minorHAnsi"/>
                <w:b/>
                <w:bCs/>
                <w:color w:val="000000"/>
                <w:sz w:val="18"/>
                <w:szCs w:val="18"/>
              </w:rPr>
              <w:t>Total</w:t>
            </w:r>
          </w:p>
        </w:tc>
        <w:tc>
          <w:tcPr>
            <w:tcW w:w="1275" w:type="dxa"/>
            <w:tcBorders>
              <w:top w:val="nil"/>
              <w:left w:val="nil"/>
              <w:bottom w:val="single" w:sz="8" w:space="0" w:color="FFFFFF"/>
              <w:right w:val="single" w:sz="8" w:space="0" w:color="FFFFFF"/>
            </w:tcBorders>
            <w:shd w:val="clear" w:color="auto" w:fill="8EAADB" w:themeFill="accent5" w:themeFillTint="99"/>
            <w:noWrap/>
            <w:vAlign w:val="center"/>
          </w:tcPr>
          <w:p w14:paraId="57EB512C" w14:textId="747CED03" w:rsidR="00AD793A" w:rsidRPr="00AD793A" w:rsidRDefault="00AD793A" w:rsidP="00AD793A">
            <w:pPr>
              <w:jc w:val="right"/>
              <w:rPr>
                <w:rFonts w:asciiTheme="minorHAnsi" w:hAnsiTheme="minorHAnsi" w:cstheme="minorHAnsi"/>
                <w:b/>
                <w:bCs/>
                <w:color w:val="000000"/>
                <w:sz w:val="18"/>
                <w:szCs w:val="18"/>
                <w:highlight w:val="yellow"/>
              </w:rPr>
            </w:pPr>
            <w:r w:rsidRPr="00AD793A">
              <w:rPr>
                <w:rFonts w:ascii="Calibri" w:hAnsi="Calibri" w:cs="Calibri"/>
                <w:b/>
                <w:bCs/>
                <w:color w:val="000000"/>
                <w:sz w:val="18"/>
                <w:szCs w:val="18"/>
              </w:rPr>
              <w:t>53 109 729</w:t>
            </w:r>
          </w:p>
        </w:tc>
        <w:tc>
          <w:tcPr>
            <w:tcW w:w="1276" w:type="dxa"/>
            <w:tcBorders>
              <w:top w:val="nil"/>
              <w:left w:val="nil"/>
              <w:bottom w:val="single" w:sz="8" w:space="0" w:color="FFFFFF"/>
              <w:right w:val="single" w:sz="8" w:space="0" w:color="FFFFFF"/>
            </w:tcBorders>
            <w:shd w:val="clear" w:color="auto" w:fill="8EAADB" w:themeFill="accent5" w:themeFillTint="99"/>
            <w:noWrap/>
            <w:vAlign w:val="center"/>
          </w:tcPr>
          <w:p w14:paraId="7995FC91" w14:textId="6FEE4414" w:rsidR="00AD793A" w:rsidRPr="00AD793A" w:rsidRDefault="00AD793A" w:rsidP="00AD793A">
            <w:pPr>
              <w:jc w:val="right"/>
              <w:rPr>
                <w:rFonts w:asciiTheme="minorHAnsi" w:hAnsiTheme="minorHAnsi" w:cstheme="minorHAnsi"/>
                <w:b/>
                <w:bCs/>
                <w:color w:val="000000"/>
                <w:sz w:val="18"/>
                <w:szCs w:val="18"/>
                <w:highlight w:val="yellow"/>
              </w:rPr>
            </w:pPr>
            <w:r w:rsidRPr="00AD793A">
              <w:rPr>
                <w:rFonts w:ascii="Calibri" w:hAnsi="Calibri" w:cs="Calibri"/>
                <w:b/>
                <w:bCs/>
                <w:color w:val="000000"/>
                <w:sz w:val="18"/>
                <w:szCs w:val="18"/>
              </w:rPr>
              <w:t>71 543 055</w:t>
            </w:r>
          </w:p>
        </w:tc>
        <w:tc>
          <w:tcPr>
            <w:tcW w:w="1276" w:type="dxa"/>
            <w:tcBorders>
              <w:top w:val="nil"/>
              <w:left w:val="nil"/>
              <w:bottom w:val="single" w:sz="8" w:space="0" w:color="FFFFFF"/>
              <w:right w:val="single" w:sz="8" w:space="0" w:color="FFFFFF"/>
            </w:tcBorders>
            <w:shd w:val="clear" w:color="auto" w:fill="8EAADB" w:themeFill="accent5" w:themeFillTint="99"/>
            <w:noWrap/>
            <w:vAlign w:val="center"/>
          </w:tcPr>
          <w:p w14:paraId="0A0742FC" w14:textId="56211390" w:rsidR="00AD793A" w:rsidRPr="00AD793A" w:rsidRDefault="00AD793A" w:rsidP="00AD793A">
            <w:pPr>
              <w:jc w:val="right"/>
              <w:rPr>
                <w:rFonts w:asciiTheme="minorHAnsi" w:hAnsiTheme="minorHAnsi" w:cstheme="minorHAnsi"/>
                <w:b/>
                <w:bCs/>
                <w:color w:val="000000"/>
                <w:sz w:val="18"/>
                <w:szCs w:val="18"/>
                <w:highlight w:val="yellow"/>
              </w:rPr>
            </w:pPr>
            <w:r w:rsidRPr="00AD793A">
              <w:rPr>
                <w:rFonts w:ascii="Calibri" w:hAnsi="Calibri" w:cs="Calibri"/>
                <w:b/>
                <w:bCs/>
                <w:color w:val="000000"/>
                <w:sz w:val="18"/>
                <w:szCs w:val="18"/>
              </w:rPr>
              <w:t>76 177 358</w:t>
            </w:r>
          </w:p>
        </w:tc>
        <w:tc>
          <w:tcPr>
            <w:tcW w:w="1276" w:type="dxa"/>
            <w:tcBorders>
              <w:top w:val="nil"/>
              <w:left w:val="nil"/>
              <w:bottom w:val="single" w:sz="8" w:space="0" w:color="FFFFFF"/>
              <w:right w:val="single" w:sz="8" w:space="0" w:color="FFFFFF"/>
            </w:tcBorders>
            <w:shd w:val="clear" w:color="auto" w:fill="8EAADB" w:themeFill="accent5" w:themeFillTint="99"/>
            <w:noWrap/>
            <w:vAlign w:val="center"/>
          </w:tcPr>
          <w:p w14:paraId="53A17E36" w14:textId="4DECC80D" w:rsidR="00AD793A" w:rsidRPr="00AD793A" w:rsidRDefault="00AD793A" w:rsidP="00AD793A">
            <w:pPr>
              <w:jc w:val="right"/>
              <w:rPr>
                <w:rFonts w:asciiTheme="minorHAnsi" w:hAnsiTheme="minorHAnsi" w:cstheme="minorHAnsi"/>
                <w:b/>
                <w:bCs/>
                <w:color w:val="000000"/>
                <w:sz w:val="18"/>
                <w:szCs w:val="18"/>
                <w:highlight w:val="yellow"/>
              </w:rPr>
            </w:pPr>
            <w:r w:rsidRPr="00AD793A">
              <w:rPr>
                <w:rFonts w:ascii="Calibri" w:hAnsi="Calibri" w:cs="Calibri"/>
                <w:b/>
                <w:bCs/>
                <w:color w:val="000000"/>
                <w:sz w:val="18"/>
                <w:szCs w:val="18"/>
              </w:rPr>
              <w:t>26 600 254</w:t>
            </w:r>
          </w:p>
        </w:tc>
        <w:tc>
          <w:tcPr>
            <w:tcW w:w="1456" w:type="dxa"/>
            <w:vAlign w:val="center"/>
            <w:hideMark/>
          </w:tcPr>
          <w:p w14:paraId="7573AE16" w14:textId="77777777" w:rsidR="00AD793A" w:rsidRPr="00C5022F" w:rsidRDefault="00AD793A" w:rsidP="00AD793A">
            <w:pPr>
              <w:rPr>
                <w:rFonts w:asciiTheme="minorHAnsi" w:hAnsiTheme="minorHAnsi" w:cstheme="minorHAnsi"/>
                <w:sz w:val="18"/>
                <w:szCs w:val="18"/>
              </w:rPr>
            </w:pPr>
          </w:p>
        </w:tc>
      </w:tr>
    </w:tbl>
    <w:p w14:paraId="4D0A447B" w14:textId="77777777" w:rsidR="00B227B5" w:rsidRPr="00C5022F" w:rsidRDefault="00B227B5" w:rsidP="00B227B5">
      <w:pPr>
        <w:jc w:val="both"/>
        <w:rPr>
          <w:rFonts w:asciiTheme="minorHAnsi" w:hAnsiTheme="minorHAnsi" w:cstheme="minorHAnsi"/>
          <w:sz w:val="18"/>
          <w:szCs w:val="18"/>
          <w:lang w:eastAsia="en-US"/>
        </w:rPr>
      </w:pPr>
    </w:p>
    <w:p w14:paraId="1DF1EF7D" w14:textId="77777777" w:rsidR="00B227B5" w:rsidRPr="00C5022F" w:rsidRDefault="00B227B5" w:rsidP="00B227B5">
      <w:pPr>
        <w:jc w:val="both"/>
        <w:rPr>
          <w:rFonts w:asciiTheme="minorHAnsi" w:hAnsiTheme="minorHAnsi" w:cstheme="minorHAnsi"/>
          <w:sz w:val="18"/>
          <w:szCs w:val="18"/>
          <w:lang w:eastAsia="en-US"/>
        </w:rPr>
      </w:pPr>
    </w:p>
    <w:tbl>
      <w:tblPr>
        <w:tblW w:w="8354" w:type="dxa"/>
        <w:tblCellMar>
          <w:left w:w="70" w:type="dxa"/>
          <w:right w:w="70" w:type="dxa"/>
        </w:tblCellMar>
        <w:tblLook w:val="04A0" w:firstRow="1" w:lastRow="0" w:firstColumn="1" w:lastColumn="0" w:noHBand="0" w:noVBand="1"/>
      </w:tblPr>
      <w:tblGrid>
        <w:gridCol w:w="3251"/>
        <w:gridCol w:w="1275"/>
        <w:gridCol w:w="1276"/>
        <w:gridCol w:w="1276"/>
        <w:gridCol w:w="1276"/>
      </w:tblGrid>
      <w:tr w:rsidR="00B227B5" w:rsidRPr="00C5022F" w14:paraId="0724F676" w14:textId="77777777" w:rsidTr="00F53A31">
        <w:trPr>
          <w:trHeight w:hRule="exact" w:val="284"/>
          <w:tblHeader/>
        </w:trPr>
        <w:tc>
          <w:tcPr>
            <w:tcW w:w="3251" w:type="dxa"/>
            <w:vMerge w:val="restart"/>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657D48DA" w14:textId="77777777" w:rsidR="00B227B5" w:rsidRPr="00C5022F" w:rsidRDefault="00B227B5" w:rsidP="00F53A31">
            <w:pPr>
              <w:jc w:val="center"/>
              <w:rPr>
                <w:rFonts w:asciiTheme="minorHAnsi" w:hAnsiTheme="minorHAnsi" w:cstheme="minorHAnsi"/>
                <w:b/>
                <w:bCs/>
                <w:color w:val="000000"/>
                <w:sz w:val="18"/>
                <w:szCs w:val="18"/>
              </w:rPr>
            </w:pPr>
            <w:r w:rsidRPr="00C5022F">
              <w:rPr>
                <w:rFonts w:asciiTheme="minorHAnsi" w:hAnsiTheme="minorHAnsi" w:cstheme="minorHAnsi"/>
                <w:b/>
                <w:bCs/>
                <w:color w:val="000000"/>
                <w:sz w:val="18"/>
                <w:szCs w:val="18"/>
              </w:rPr>
              <w:lastRenderedPageBreak/>
              <w:t>Banca comercial *</w:t>
            </w:r>
          </w:p>
        </w:tc>
        <w:tc>
          <w:tcPr>
            <w:tcW w:w="1275" w:type="dxa"/>
            <w:vMerge w:val="restart"/>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1260C71D" w14:textId="77777777" w:rsidR="00B227B5" w:rsidRPr="00C5022F" w:rsidRDefault="00B227B5" w:rsidP="00F53A31">
            <w:pPr>
              <w:jc w:val="center"/>
              <w:rPr>
                <w:rFonts w:asciiTheme="minorHAnsi" w:hAnsiTheme="minorHAnsi" w:cstheme="minorHAnsi"/>
                <w:b/>
                <w:bCs/>
                <w:color w:val="000000"/>
                <w:sz w:val="18"/>
                <w:szCs w:val="18"/>
              </w:rPr>
            </w:pPr>
            <w:r w:rsidRPr="00C5022F">
              <w:rPr>
                <w:rFonts w:asciiTheme="minorHAnsi" w:hAnsiTheme="minorHAnsi" w:cstheme="minorHAnsi"/>
                <w:b/>
                <w:bCs/>
                <w:color w:val="000000"/>
                <w:sz w:val="18"/>
                <w:szCs w:val="18"/>
              </w:rPr>
              <w:t>1º trimestre €</w:t>
            </w:r>
          </w:p>
        </w:tc>
        <w:tc>
          <w:tcPr>
            <w:tcW w:w="1276" w:type="dxa"/>
            <w:vMerge w:val="restart"/>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25C356F0" w14:textId="77777777" w:rsidR="00B227B5" w:rsidRPr="00C5022F" w:rsidRDefault="00B227B5" w:rsidP="00F53A31">
            <w:pPr>
              <w:jc w:val="center"/>
              <w:rPr>
                <w:rFonts w:asciiTheme="minorHAnsi" w:hAnsiTheme="minorHAnsi" w:cstheme="minorHAnsi"/>
                <w:b/>
                <w:bCs/>
                <w:color w:val="000000"/>
                <w:sz w:val="18"/>
                <w:szCs w:val="18"/>
              </w:rPr>
            </w:pPr>
            <w:r w:rsidRPr="00C5022F">
              <w:rPr>
                <w:rFonts w:asciiTheme="minorHAnsi" w:hAnsiTheme="minorHAnsi" w:cstheme="minorHAnsi"/>
                <w:b/>
                <w:bCs/>
                <w:color w:val="000000"/>
                <w:sz w:val="18"/>
                <w:szCs w:val="18"/>
              </w:rPr>
              <w:t>2º trimestre €</w:t>
            </w:r>
          </w:p>
        </w:tc>
        <w:tc>
          <w:tcPr>
            <w:tcW w:w="1276" w:type="dxa"/>
            <w:vMerge w:val="restart"/>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51EAFFE4" w14:textId="77777777" w:rsidR="00B227B5" w:rsidRPr="00C5022F" w:rsidRDefault="00B227B5" w:rsidP="00F53A31">
            <w:pPr>
              <w:jc w:val="center"/>
              <w:rPr>
                <w:rFonts w:asciiTheme="minorHAnsi" w:hAnsiTheme="minorHAnsi" w:cstheme="minorHAnsi"/>
                <w:b/>
                <w:bCs/>
                <w:color w:val="000000"/>
                <w:sz w:val="18"/>
                <w:szCs w:val="18"/>
              </w:rPr>
            </w:pPr>
            <w:r w:rsidRPr="00C5022F">
              <w:rPr>
                <w:rFonts w:asciiTheme="minorHAnsi" w:hAnsiTheme="minorHAnsi" w:cstheme="minorHAnsi"/>
                <w:b/>
                <w:bCs/>
                <w:color w:val="000000"/>
                <w:sz w:val="18"/>
                <w:szCs w:val="18"/>
              </w:rPr>
              <w:t>3º trimestre €</w:t>
            </w:r>
          </w:p>
        </w:tc>
        <w:tc>
          <w:tcPr>
            <w:tcW w:w="1276" w:type="dxa"/>
            <w:vMerge w:val="restart"/>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3F67AB57" w14:textId="77777777" w:rsidR="00B227B5" w:rsidRPr="00C5022F" w:rsidRDefault="00B227B5" w:rsidP="00F53A31">
            <w:pPr>
              <w:jc w:val="center"/>
              <w:rPr>
                <w:rFonts w:asciiTheme="minorHAnsi" w:hAnsiTheme="minorHAnsi" w:cstheme="minorHAnsi"/>
                <w:b/>
                <w:bCs/>
                <w:color w:val="000000"/>
                <w:sz w:val="18"/>
                <w:szCs w:val="18"/>
              </w:rPr>
            </w:pPr>
            <w:r w:rsidRPr="00C5022F">
              <w:rPr>
                <w:rFonts w:asciiTheme="minorHAnsi" w:hAnsiTheme="minorHAnsi" w:cstheme="minorHAnsi"/>
                <w:b/>
                <w:bCs/>
                <w:color w:val="000000"/>
                <w:sz w:val="18"/>
                <w:szCs w:val="18"/>
              </w:rPr>
              <w:t>4º trimestre €</w:t>
            </w:r>
          </w:p>
        </w:tc>
      </w:tr>
      <w:tr w:rsidR="00B227B5" w:rsidRPr="00C5022F" w14:paraId="20AECCD1" w14:textId="77777777" w:rsidTr="00F53A31">
        <w:trPr>
          <w:trHeight w:hRule="exact" w:val="94"/>
        </w:trPr>
        <w:tc>
          <w:tcPr>
            <w:tcW w:w="3251" w:type="dxa"/>
            <w:vMerge/>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300FB5C8" w14:textId="77777777" w:rsidR="00B227B5" w:rsidRPr="00C5022F" w:rsidRDefault="00B227B5" w:rsidP="00F53A31">
            <w:pPr>
              <w:rPr>
                <w:rFonts w:asciiTheme="minorHAnsi" w:hAnsiTheme="minorHAnsi" w:cstheme="minorHAnsi"/>
                <w:b/>
                <w:bCs/>
                <w:color w:val="000000"/>
                <w:sz w:val="18"/>
                <w:szCs w:val="18"/>
              </w:rPr>
            </w:pPr>
          </w:p>
        </w:tc>
        <w:tc>
          <w:tcPr>
            <w:tcW w:w="1275" w:type="dxa"/>
            <w:vMerge/>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65BD73E0" w14:textId="77777777" w:rsidR="00B227B5" w:rsidRPr="00C5022F" w:rsidRDefault="00B227B5" w:rsidP="00F53A31">
            <w:pPr>
              <w:rPr>
                <w:rFonts w:asciiTheme="minorHAnsi" w:hAnsiTheme="minorHAnsi" w:cstheme="minorHAnsi"/>
                <w:b/>
                <w:bCs/>
                <w:color w:val="000000"/>
                <w:sz w:val="18"/>
                <w:szCs w:val="18"/>
              </w:rPr>
            </w:pPr>
          </w:p>
        </w:tc>
        <w:tc>
          <w:tcPr>
            <w:tcW w:w="1276" w:type="dxa"/>
            <w:vMerge/>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30133763" w14:textId="77777777" w:rsidR="00B227B5" w:rsidRPr="00C5022F" w:rsidRDefault="00B227B5" w:rsidP="00F53A31">
            <w:pPr>
              <w:rPr>
                <w:rFonts w:asciiTheme="minorHAnsi" w:hAnsiTheme="minorHAnsi" w:cstheme="minorHAnsi"/>
                <w:b/>
                <w:bCs/>
                <w:color w:val="000000"/>
                <w:sz w:val="18"/>
                <w:szCs w:val="18"/>
              </w:rPr>
            </w:pPr>
          </w:p>
        </w:tc>
        <w:tc>
          <w:tcPr>
            <w:tcW w:w="1276" w:type="dxa"/>
            <w:vMerge/>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6C4090BA" w14:textId="77777777" w:rsidR="00B227B5" w:rsidRPr="00C5022F" w:rsidRDefault="00B227B5" w:rsidP="00F53A31">
            <w:pPr>
              <w:rPr>
                <w:rFonts w:asciiTheme="minorHAnsi" w:hAnsiTheme="minorHAnsi" w:cstheme="minorHAnsi"/>
                <w:b/>
                <w:bCs/>
                <w:color w:val="000000"/>
                <w:sz w:val="18"/>
                <w:szCs w:val="18"/>
              </w:rPr>
            </w:pPr>
          </w:p>
        </w:tc>
        <w:tc>
          <w:tcPr>
            <w:tcW w:w="1276" w:type="dxa"/>
            <w:vMerge/>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03FD1F84" w14:textId="77777777" w:rsidR="00B227B5" w:rsidRPr="00C5022F" w:rsidRDefault="00B227B5" w:rsidP="00F53A31">
            <w:pPr>
              <w:rPr>
                <w:rFonts w:asciiTheme="minorHAnsi" w:hAnsiTheme="minorHAnsi" w:cstheme="minorHAnsi"/>
                <w:b/>
                <w:bCs/>
                <w:color w:val="000000"/>
                <w:sz w:val="18"/>
                <w:szCs w:val="18"/>
              </w:rPr>
            </w:pPr>
          </w:p>
        </w:tc>
      </w:tr>
      <w:tr w:rsidR="004A6A51" w:rsidRPr="009B0DA0" w14:paraId="2FE5D8BD" w14:textId="77777777" w:rsidTr="00F53A31">
        <w:trPr>
          <w:trHeight w:hRule="exact" w:val="255"/>
        </w:trPr>
        <w:tc>
          <w:tcPr>
            <w:tcW w:w="3251" w:type="dxa"/>
            <w:tcBorders>
              <w:top w:val="nil"/>
              <w:left w:val="single" w:sz="8" w:space="0" w:color="FFFFFF"/>
              <w:bottom w:val="single" w:sz="8" w:space="0" w:color="FFFFFF"/>
              <w:right w:val="single" w:sz="8" w:space="0" w:color="FFFFFF"/>
            </w:tcBorders>
            <w:shd w:val="clear" w:color="auto" w:fill="D9E2F3" w:themeFill="accent5" w:themeFillTint="33"/>
            <w:noWrap/>
            <w:vAlign w:val="center"/>
            <w:hideMark/>
          </w:tcPr>
          <w:p w14:paraId="6CF43ACD" w14:textId="63AEDAC4" w:rsidR="004A6A51" w:rsidRPr="004975A4" w:rsidRDefault="00D064AB" w:rsidP="004A6A51">
            <w:pPr>
              <w:rPr>
                <w:rFonts w:asciiTheme="minorHAnsi" w:hAnsiTheme="minorHAnsi" w:cstheme="minorHAnsi"/>
                <w:color w:val="000000"/>
                <w:sz w:val="18"/>
                <w:szCs w:val="18"/>
              </w:rPr>
            </w:pPr>
            <w:r>
              <w:rPr>
                <w:rFonts w:ascii="Calibri" w:hAnsi="Calibri" w:cs="Calibri"/>
                <w:color w:val="000000"/>
                <w:sz w:val="18"/>
                <w:szCs w:val="18"/>
              </w:rPr>
              <w:t>Abanca</w:t>
            </w:r>
            <w:r w:rsidR="004A6A51">
              <w:rPr>
                <w:rFonts w:ascii="Calibri" w:hAnsi="Calibri" w:cs="Calibri"/>
                <w:color w:val="000000"/>
                <w:sz w:val="18"/>
                <w:szCs w:val="18"/>
              </w:rPr>
              <w:t xml:space="preserve"> Portug</w:t>
            </w:r>
            <w:r>
              <w:rPr>
                <w:rFonts w:ascii="Calibri" w:hAnsi="Calibri" w:cs="Calibri"/>
                <w:color w:val="000000"/>
                <w:sz w:val="18"/>
                <w:szCs w:val="18"/>
              </w:rPr>
              <w:t>al</w:t>
            </w:r>
            <w:r w:rsidR="004A6A51">
              <w:rPr>
                <w:rFonts w:ascii="Calibri" w:hAnsi="Calibri" w:cs="Calibri"/>
                <w:color w:val="000000"/>
                <w:sz w:val="18"/>
                <w:szCs w:val="18"/>
              </w:rPr>
              <w:t>, S.A.</w:t>
            </w:r>
          </w:p>
        </w:tc>
        <w:tc>
          <w:tcPr>
            <w:tcW w:w="1275" w:type="dxa"/>
            <w:tcBorders>
              <w:top w:val="nil"/>
              <w:left w:val="nil"/>
              <w:bottom w:val="single" w:sz="8" w:space="0" w:color="FFFFFF"/>
              <w:right w:val="single" w:sz="8" w:space="0" w:color="FFFFFF"/>
            </w:tcBorders>
            <w:shd w:val="clear" w:color="auto" w:fill="D9E2F3" w:themeFill="accent5" w:themeFillTint="33"/>
            <w:noWrap/>
            <w:vAlign w:val="center"/>
          </w:tcPr>
          <w:p w14:paraId="7080B23F" w14:textId="518847DA" w:rsidR="004A6A51" w:rsidRPr="004975A4" w:rsidRDefault="004A6A51" w:rsidP="004A6A51">
            <w:pPr>
              <w:jc w:val="right"/>
              <w:rPr>
                <w:rFonts w:asciiTheme="minorHAnsi" w:hAnsiTheme="minorHAnsi" w:cstheme="minorHAnsi"/>
                <w:color w:val="000000"/>
                <w:sz w:val="18"/>
                <w:szCs w:val="18"/>
                <w:highlight w:val="yellow"/>
              </w:rPr>
            </w:pPr>
            <w:r>
              <w:rPr>
                <w:rFonts w:ascii="Calibri" w:hAnsi="Calibri" w:cs="Calibri"/>
                <w:color w:val="000000"/>
                <w:sz w:val="18"/>
                <w:szCs w:val="18"/>
              </w:rPr>
              <w:t>1 785 381</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14430AC2" w14:textId="54CEC5CE" w:rsidR="004A6A51" w:rsidRPr="004975A4" w:rsidRDefault="004A6A51" w:rsidP="004A6A51">
            <w:pPr>
              <w:jc w:val="right"/>
              <w:rPr>
                <w:rFonts w:asciiTheme="minorHAnsi" w:hAnsiTheme="minorHAnsi" w:cstheme="minorHAnsi"/>
                <w:color w:val="000000"/>
                <w:sz w:val="18"/>
                <w:szCs w:val="18"/>
                <w:highlight w:val="yellow"/>
              </w:rPr>
            </w:pPr>
            <w:r>
              <w:rPr>
                <w:rFonts w:ascii="Calibri" w:hAnsi="Calibri" w:cs="Calibri"/>
                <w:color w:val="000000"/>
                <w:sz w:val="18"/>
                <w:szCs w:val="18"/>
              </w:rPr>
              <w:t>1 497 976</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6B006F4B" w14:textId="3039427C" w:rsidR="004A6A51" w:rsidRPr="004975A4" w:rsidRDefault="004A6A51" w:rsidP="004A6A51">
            <w:pPr>
              <w:jc w:val="right"/>
              <w:rPr>
                <w:rFonts w:asciiTheme="minorHAnsi" w:hAnsiTheme="minorHAnsi" w:cstheme="minorHAnsi"/>
                <w:color w:val="000000"/>
                <w:sz w:val="18"/>
                <w:szCs w:val="18"/>
                <w:highlight w:val="yellow"/>
              </w:rPr>
            </w:pPr>
            <w:r>
              <w:rPr>
                <w:rFonts w:ascii="Calibri" w:hAnsi="Calibri" w:cs="Calibri"/>
                <w:color w:val="000000"/>
                <w:sz w:val="18"/>
                <w:szCs w:val="18"/>
              </w:rPr>
              <w:t>1 978 862</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0ABA80A4" w14:textId="015A559B" w:rsidR="004A6A51" w:rsidRPr="009B0DA0" w:rsidRDefault="004A6A51" w:rsidP="004A6A51">
            <w:pPr>
              <w:jc w:val="right"/>
              <w:rPr>
                <w:rFonts w:asciiTheme="minorHAnsi" w:hAnsiTheme="minorHAnsi" w:cstheme="minorHAnsi"/>
                <w:color w:val="000000"/>
                <w:sz w:val="18"/>
                <w:szCs w:val="18"/>
              </w:rPr>
            </w:pPr>
            <w:r w:rsidRPr="009B0DA0">
              <w:rPr>
                <w:rFonts w:ascii="Calibri" w:hAnsi="Calibri" w:cs="Calibri"/>
                <w:color w:val="000000"/>
                <w:sz w:val="18"/>
                <w:szCs w:val="18"/>
              </w:rPr>
              <w:t>2 421 557</w:t>
            </w:r>
          </w:p>
        </w:tc>
      </w:tr>
      <w:tr w:rsidR="00AD793A" w:rsidRPr="00C5022F" w14:paraId="3E2CFA96" w14:textId="77777777" w:rsidTr="00F53A31">
        <w:trPr>
          <w:trHeight w:hRule="exact" w:val="255"/>
        </w:trPr>
        <w:tc>
          <w:tcPr>
            <w:tcW w:w="3251" w:type="dxa"/>
            <w:tcBorders>
              <w:top w:val="nil"/>
              <w:left w:val="single" w:sz="8" w:space="0" w:color="FFFFFF"/>
              <w:bottom w:val="single" w:sz="8" w:space="0" w:color="FFFFFF"/>
              <w:right w:val="single" w:sz="8" w:space="0" w:color="FFFFFF"/>
            </w:tcBorders>
            <w:shd w:val="clear" w:color="auto" w:fill="D9E2F3" w:themeFill="accent5" w:themeFillTint="33"/>
            <w:noWrap/>
            <w:vAlign w:val="center"/>
            <w:hideMark/>
          </w:tcPr>
          <w:p w14:paraId="27AA5467" w14:textId="0C1AFC08" w:rsidR="00AD793A" w:rsidRPr="004975A4" w:rsidRDefault="00AD793A" w:rsidP="00AD793A">
            <w:pPr>
              <w:rPr>
                <w:rFonts w:asciiTheme="minorHAnsi" w:hAnsiTheme="minorHAnsi" w:cstheme="minorHAnsi"/>
                <w:color w:val="000000"/>
                <w:sz w:val="18"/>
                <w:szCs w:val="18"/>
              </w:rPr>
            </w:pPr>
            <w:r>
              <w:rPr>
                <w:rFonts w:ascii="Calibri" w:hAnsi="Calibri" w:cs="Calibri"/>
                <w:color w:val="000000"/>
                <w:sz w:val="18"/>
                <w:szCs w:val="18"/>
              </w:rPr>
              <w:t>Caixa Geral de Depósitos, S.A.</w:t>
            </w:r>
          </w:p>
        </w:tc>
        <w:tc>
          <w:tcPr>
            <w:tcW w:w="1275" w:type="dxa"/>
            <w:tcBorders>
              <w:top w:val="nil"/>
              <w:left w:val="nil"/>
              <w:bottom w:val="single" w:sz="8" w:space="0" w:color="FFFFFF"/>
              <w:right w:val="single" w:sz="8" w:space="0" w:color="FFFFFF"/>
            </w:tcBorders>
            <w:shd w:val="clear" w:color="auto" w:fill="D9E2F3" w:themeFill="accent5" w:themeFillTint="33"/>
            <w:noWrap/>
            <w:vAlign w:val="center"/>
          </w:tcPr>
          <w:p w14:paraId="4C74B8D7" w14:textId="6FDE52E7" w:rsidR="00AD793A" w:rsidRPr="004975A4" w:rsidRDefault="00AD793A" w:rsidP="00AD793A">
            <w:pPr>
              <w:jc w:val="right"/>
              <w:rPr>
                <w:rFonts w:asciiTheme="minorHAnsi" w:hAnsiTheme="minorHAnsi" w:cstheme="minorHAnsi"/>
                <w:color w:val="000000"/>
                <w:sz w:val="18"/>
                <w:szCs w:val="18"/>
                <w:highlight w:val="yellow"/>
              </w:rPr>
            </w:pPr>
            <w:r>
              <w:rPr>
                <w:rFonts w:ascii="Calibri" w:hAnsi="Calibri" w:cs="Calibri"/>
                <w:color w:val="000000"/>
                <w:sz w:val="18"/>
                <w:szCs w:val="18"/>
              </w:rPr>
              <w:t>71 579</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34E3E1E4" w14:textId="2F0AA2A1" w:rsidR="00AD793A" w:rsidRPr="004975A4" w:rsidRDefault="00AD793A" w:rsidP="00AD793A">
            <w:pPr>
              <w:jc w:val="right"/>
              <w:rPr>
                <w:rFonts w:asciiTheme="minorHAnsi" w:hAnsiTheme="minorHAnsi" w:cstheme="minorHAnsi"/>
                <w:color w:val="000000"/>
                <w:sz w:val="18"/>
                <w:szCs w:val="18"/>
                <w:highlight w:val="yellow"/>
              </w:rPr>
            </w:pPr>
            <w:r>
              <w:rPr>
                <w:rFonts w:ascii="Calibri" w:hAnsi="Calibri" w:cs="Calibri"/>
                <w:color w:val="000000"/>
                <w:sz w:val="18"/>
                <w:szCs w:val="18"/>
              </w:rPr>
              <w:t>45 219</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255DB874" w14:textId="1B8ECC94" w:rsidR="00AD793A" w:rsidRPr="004975A4" w:rsidRDefault="00AD793A" w:rsidP="00AD793A">
            <w:pPr>
              <w:jc w:val="right"/>
              <w:rPr>
                <w:rFonts w:asciiTheme="minorHAnsi" w:hAnsiTheme="minorHAnsi" w:cstheme="minorHAnsi"/>
                <w:color w:val="000000"/>
                <w:sz w:val="18"/>
                <w:szCs w:val="18"/>
                <w:highlight w:val="yellow"/>
              </w:rPr>
            </w:pPr>
            <w:r>
              <w:rPr>
                <w:rFonts w:ascii="Calibri" w:hAnsi="Calibri" w:cs="Calibri"/>
                <w:color w:val="000000"/>
                <w:sz w:val="18"/>
                <w:szCs w:val="18"/>
              </w:rPr>
              <w:t>125 277</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1779FEB4" w14:textId="69AB10A1" w:rsidR="00AD793A" w:rsidRPr="004975A4" w:rsidRDefault="00AD793A" w:rsidP="00AD793A">
            <w:pPr>
              <w:jc w:val="right"/>
              <w:rPr>
                <w:rFonts w:asciiTheme="minorHAnsi" w:hAnsiTheme="minorHAnsi" w:cstheme="minorHAnsi"/>
                <w:color w:val="000000"/>
                <w:sz w:val="18"/>
                <w:szCs w:val="18"/>
                <w:highlight w:val="yellow"/>
              </w:rPr>
            </w:pPr>
            <w:r>
              <w:rPr>
                <w:rFonts w:ascii="Calibri" w:hAnsi="Calibri" w:cs="Calibri"/>
                <w:color w:val="000000"/>
                <w:sz w:val="18"/>
                <w:szCs w:val="18"/>
              </w:rPr>
              <w:t>37 320</w:t>
            </w:r>
          </w:p>
        </w:tc>
      </w:tr>
      <w:tr w:rsidR="00AD793A" w:rsidRPr="00C5022F" w14:paraId="5E3A6FD5" w14:textId="77777777" w:rsidTr="00F53A31">
        <w:trPr>
          <w:trHeight w:hRule="exact" w:val="255"/>
        </w:trPr>
        <w:tc>
          <w:tcPr>
            <w:tcW w:w="3251" w:type="dxa"/>
            <w:tcBorders>
              <w:top w:val="nil"/>
              <w:left w:val="single" w:sz="8" w:space="0" w:color="FFFFFF"/>
              <w:bottom w:val="single" w:sz="8" w:space="0" w:color="FFFFFF"/>
              <w:right w:val="single" w:sz="8" w:space="0" w:color="FFFFFF"/>
            </w:tcBorders>
            <w:shd w:val="clear" w:color="auto" w:fill="D9E2F3" w:themeFill="accent5" w:themeFillTint="33"/>
            <w:noWrap/>
            <w:vAlign w:val="center"/>
            <w:hideMark/>
          </w:tcPr>
          <w:p w14:paraId="5E961300" w14:textId="2BFC6E0D" w:rsidR="00AD793A" w:rsidRPr="004975A4" w:rsidRDefault="00AD793A" w:rsidP="00AD793A">
            <w:pPr>
              <w:rPr>
                <w:rFonts w:asciiTheme="minorHAnsi" w:hAnsiTheme="minorHAnsi" w:cstheme="minorHAnsi"/>
                <w:color w:val="000000"/>
                <w:sz w:val="18"/>
                <w:szCs w:val="18"/>
              </w:rPr>
            </w:pPr>
            <w:r>
              <w:rPr>
                <w:rFonts w:ascii="Calibri" w:hAnsi="Calibri" w:cs="Calibri"/>
                <w:color w:val="000000"/>
                <w:sz w:val="18"/>
                <w:szCs w:val="18"/>
              </w:rPr>
              <w:t>Banco Comercial Português, S.A.</w:t>
            </w:r>
          </w:p>
        </w:tc>
        <w:tc>
          <w:tcPr>
            <w:tcW w:w="1275" w:type="dxa"/>
            <w:tcBorders>
              <w:top w:val="nil"/>
              <w:left w:val="nil"/>
              <w:bottom w:val="single" w:sz="8" w:space="0" w:color="FFFFFF"/>
              <w:right w:val="single" w:sz="8" w:space="0" w:color="FFFFFF"/>
            </w:tcBorders>
            <w:shd w:val="clear" w:color="auto" w:fill="D9E2F3" w:themeFill="accent5" w:themeFillTint="33"/>
            <w:noWrap/>
            <w:vAlign w:val="center"/>
          </w:tcPr>
          <w:p w14:paraId="3E63BDEB" w14:textId="1A697D88" w:rsidR="00AD793A" w:rsidRPr="004975A4" w:rsidRDefault="00AD793A" w:rsidP="00AD793A">
            <w:pPr>
              <w:jc w:val="right"/>
              <w:rPr>
                <w:rFonts w:asciiTheme="minorHAnsi" w:hAnsiTheme="minorHAnsi" w:cstheme="minorHAnsi"/>
                <w:color w:val="000000"/>
                <w:sz w:val="18"/>
                <w:szCs w:val="18"/>
                <w:highlight w:val="yellow"/>
              </w:rPr>
            </w:pPr>
            <w:r>
              <w:rPr>
                <w:rFonts w:ascii="Calibri" w:hAnsi="Calibri" w:cs="Calibri"/>
                <w:color w:val="000000"/>
                <w:sz w:val="18"/>
                <w:szCs w:val="18"/>
              </w:rPr>
              <w:t>562 597</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1379AED3" w14:textId="3FF97C44" w:rsidR="00AD793A" w:rsidRPr="004975A4" w:rsidRDefault="00AD793A" w:rsidP="00AD793A">
            <w:pPr>
              <w:jc w:val="right"/>
              <w:rPr>
                <w:rFonts w:asciiTheme="minorHAnsi" w:hAnsiTheme="minorHAnsi" w:cstheme="minorHAnsi"/>
                <w:color w:val="000000"/>
                <w:sz w:val="18"/>
                <w:szCs w:val="18"/>
                <w:highlight w:val="yellow"/>
              </w:rPr>
            </w:pPr>
            <w:r>
              <w:rPr>
                <w:rFonts w:ascii="Calibri" w:hAnsi="Calibri" w:cs="Calibri"/>
                <w:color w:val="000000"/>
                <w:sz w:val="18"/>
                <w:szCs w:val="18"/>
              </w:rPr>
              <w:t>49 983</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3E348EF2" w14:textId="4CC6CB8A" w:rsidR="00AD793A" w:rsidRPr="004975A4" w:rsidRDefault="00AD793A" w:rsidP="00AD793A">
            <w:pPr>
              <w:jc w:val="right"/>
              <w:rPr>
                <w:rFonts w:asciiTheme="minorHAnsi" w:hAnsiTheme="minorHAnsi" w:cstheme="minorHAnsi"/>
                <w:color w:val="000000"/>
                <w:sz w:val="18"/>
                <w:szCs w:val="18"/>
                <w:highlight w:val="yellow"/>
              </w:rPr>
            </w:pPr>
            <w:r>
              <w:rPr>
                <w:rFonts w:ascii="Calibri" w:hAnsi="Calibri" w:cs="Calibri"/>
                <w:color w:val="000000"/>
                <w:sz w:val="18"/>
                <w:szCs w:val="18"/>
              </w:rPr>
              <w:t>49 894</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015CBFE5" w14:textId="720268C1" w:rsidR="00AD793A" w:rsidRPr="004975A4" w:rsidRDefault="00AD793A" w:rsidP="00AD793A">
            <w:pPr>
              <w:jc w:val="right"/>
              <w:rPr>
                <w:rFonts w:asciiTheme="minorHAnsi" w:hAnsiTheme="minorHAnsi" w:cstheme="minorHAnsi"/>
                <w:color w:val="000000"/>
                <w:sz w:val="18"/>
                <w:szCs w:val="18"/>
                <w:highlight w:val="yellow"/>
              </w:rPr>
            </w:pPr>
            <w:r>
              <w:rPr>
                <w:rFonts w:ascii="Calibri" w:hAnsi="Calibri" w:cs="Calibri"/>
                <w:color w:val="000000"/>
                <w:sz w:val="18"/>
                <w:szCs w:val="18"/>
              </w:rPr>
              <w:t>49 836</w:t>
            </w:r>
          </w:p>
        </w:tc>
      </w:tr>
      <w:tr w:rsidR="00AD793A" w:rsidRPr="00C5022F" w14:paraId="02873EFE" w14:textId="77777777" w:rsidTr="00F53A31">
        <w:trPr>
          <w:trHeight w:hRule="exact" w:val="255"/>
        </w:trPr>
        <w:tc>
          <w:tcPr>
            <w:tcW w:w="3251" w:type="dxa"/>
            <w:tcBorders>
              <w:top w:val="nil"/>
              <w:left w:val="single" w:sz="8" w:space="0" w:color="FFFFFF"/>
              <w:bottom w:val="single" w:sz="8" w:space="0" w:color="FFFFFF"/>
              <w:right w:val="single" w:sz="8" w:space="0" w:color="FFFFFF"/>
            </w:tcBorders>
            <w:shd w:val="clear" w:color="auto" w:fill="8EAADB" w:themeFill="accent5" w:themeFillTint="99"/>
            <w:noWrap/>
            <w:vAlign w:val="center"/>
            <w:hideMark/>
          </w:tcPr>
          <w:p w14:paraId="02E12EB4" w14:textId="77777777" w:rsidR="00AD793A" w:rsidRPr="004975A4" w:rsidRDefault="00AD793A" w:rsidP="00AD793A">
            <w:pPr>
              <w:rPr>
                <w:rFonts w:asciiTheme="minorHAnsi" w:hAnsiTheme="minorHAnsi" w:cstheme="minorHAnsi"/>
                <w:b/>
                <w:bCs/>
                <w:color w:val="000000"/>
                <w:sz w:val="18"/>
                <w:szCs w:val="18"/>
              </w:rPr>
            </w:pPr>
            <w:r w:rsidRPr="004975A4">
              <w:rPr>
                <w:rFonts w:ascii="Calibri" w:hAnsi="Calibri" w:cs="Calibri"/>
                <w:b/>
                <w:bCs/>
                <w:color w:val="000000"/>
                <w:sz w:val="18"/>
                <w:szCs w:val="18"/>
              </w:rPr>
              <w:t>Total</w:t>
            </w:r>
          </w:p>
        </w:tc>
        <w:tc>
          <w:tcPr>
            <w:tcW w:w="1275" w:type="dxa"/>
            <w:tcBorders>
              <w:top w:val="nil"/>
              <w:left w:val="nil"/>
              <w:bottom w:val="single" w:sz="8" w:space="0" w:color="FFFFFF"/>
              <w:right w:val="single" w:sz="8" w:space="0" w:color="FFFFFF"/>
            </w:tcBorders>
            <w:shd w:val="clear" w:color="auto" w:fill="8EAADB" w:themeFill="accent5" w:themeFillTint="99"/>
            <w:noWrap/>
            <w:vAlign w:val="center"/>
          </w:tcPr>
          <w:p w14:paraId="13C952AF" w14:textId="7E066649" w:rsidR="00AD793A" w:rsidRPr="004975A4" w:rsidRDefault="00AD793A" w:rsidP="00AD793A">
            <w:pPr>
              <w:jc w:val="right"/>
              <w:rPr>
                <w:rFonts w:asciiTheme="minorHAnsi" w:hAnsiTheme="minorHAnsi" w:cstheme="minorHAnsi"/>
                <w:b/>
                <w:bCs/>
                <w:color w:val="000000"/>
                <w:sz w:val="18"/>
                <w:szCs w:val="18"/>
                <w:highlight w:val="yellow"/>
              </w:rPr>
            </w:pPr>
            <w:r>
              <w:rPr>
                <w:rFonts w:ascii="Calibri" w:hAnsi="Calibri" w:cs="Calibri"/>
                <w:b/>
                <w:bCs/>
                <w:color w:val="000000"/>
                <w:sz w:val="18"/>
                <w:szCs w:val="18"/>
              </w:rPr>
              <w:t>2 419 556</w:t>
            </w:r>
          </w:p>
        </w:tc>
        <w:tc>
          <w:tcPr>
            <w:tcW w:w="1276" w:type="dxa"/>
            <w:tcBorders>
              <w:top w:val="nil"/>
              <w:left w:val="nil"/>
              <w:bottom w:val="single" w:sz="8" w:space="0" w:color="FFFFFF"/>
              <w:right w:val="single" w:sz="8" w:space="0" w:color="FFFFFF"/>
            </w:tcBorders>
            <w:shd w:val="clear" w:color="auto" w:fill="8EAADB" w:themeFill="accent5" w:themeFillTint="99"/>
            <w:noWrap/>
            <w:vAlign w:val="center"/>
          </w:tcPr>
          <w:p w14:paraId="2D75CC42" w14:textId="466FF54C" w:rsidR="00AD793A" w:rsidRPr="004975A4" w:rsidRDefault="00AD793A" w:rsidP="00AD793A">
            <w:pPr>
              <w:jc w:val="right"/>
              <w:rPr>
                <w:rFonts w:asciiTheme="minorHAnsi" w:hAnsiTheme="minorHAnsi" w:cstheme="minorHAnsi"/>
                <w:b/>
                <w:bCs/>
                <w:color w:val="000000"/>
                <w:sz w:val="18"/>
                <w:szCs w:val="18"/>
                <w:highlight w:val="yellow"/>
              </w:rPr>
            </w:pPr>
            <w:r>
              <w:rPr>
                <w:rFonts w:ascii="Calibri" w:hAnsi="Calibri" w:cs="Calibri"/>
                <w:b/>
                <w:bCs/>
                <w:color w:val="000000"/>
                <w:sz w:val="18"/>
                <w:szCs w:val="18"/>
              </w:rPr>
              <w:t>1 593 178</w:t>
            </w:r>
          </w:p>
        </w:tc>
        <w:tc>
          <w:tcPr>
            <w:tcW w:w="1276" w:type="dxa"/>
            <w:tcBorders>
              <w:top w:val="nil"/>
              <w:left w:val="nil"/>
              <w:bottom w:val="single" w:sz="8" w:space="0" w:color="FFFFFF"/>
              <w:right w:val="single" w:sz="8" w:space="0" w:color="FFFFFF"/>
            </w:tcBorders>
            <w:shd w:val="clear" w:color="auto" w:fill="8EAADB" w:themeFill="accent5" w:themeFillTint="99"/>
            <w:noWrap/>
            <w:vAlign w:val="center"/>
          </w:tcPr>
          <w:p w14:paraId="1B29D1CD" w14:textId="4C2A3A4E" w:rsidR="00AD793A" w:rsidRPr="004975A4" w:rsidRDefault="00AD793A" w:rsidP="00AD793A">
            <w:pPr>
              <w:jc w:val="right"/>
              <w:rPr>
                <w:rFonts w:asciiTheme="minorHAnsi" w:hAnsiTheme="minorHAnsi" w:cstheme="minorHAnsi"/>
                <w:b/>
                <w:bCs/>
                <w:color w:val="000000"/>
                <w:sz w:val="18"/>
                <w:szCs w:val="18"/>
                <w:highlight w:val="yellow"/>
              </w:rPr>
            </w:pPr>
            <w:r>
              <w:rPr>
                <w:rFonts w:ascii="Calibri" w:hAnsi="Calibri" w:cs="Calibri"/>
                <w:b/>
                <w:bCs/>
                <w:color w:val="000000"/>
                <w:sz w:val="18"/>
                <w:szCs w:val="18"/>
              </w:rPr>
              <w:t>2 154 033</w:t>
            </w:r>
          </w:p>
        </w:tc>
        <w:tc>
          <w:tcPr>
            <w:tcW w:w="1276" w:type="dxa"/>
            <w:tcBorders>
              <w:top w:val="nil"/>
              <w:left w:val="nil"/>
              <w:bottom w:val="single" w:sz="8" w:space="0" w:color="FFFFFF"/>
              <w:right w:val="single" w:sz="8" w:space="0" w:color="FFFFFF"/>
            </w:tcBorders>
            <w:shd w:val="clear" w:color="auto" w:fill="8EAADB" w:themeFill="accent5" w:themeFillTint="99"/>
            <w:noWrap/>
            <w:vAlign w:val="center"/>
          </w:tcPr>
          <w:p w14:paraId="10009CAC" w14:textId="0B0B8FF7" w:rsidR="00AD793A" w:rsidRPr="004975A4" w:rsidRDefault="00AD793A" w:rsidP="00AD793A">
            <w:pPr>
              <w:jc w:val="right"/>
              <w:rPr>
                <w:rFonts w:asciiTheme="minorHAnsi" w:hAnsiTheme="minorHAnsi" w:cstheme="minorHAnsi"/>
                <w:b/>
                <w:bCs/>
                <w:color w:val="000000"/>
                <w:sz w:val="18"/>
                <w:szCs w:val="18"/>
                <w:highlight w:val="yellow"/>
              </w:rPr>
            </w:pPr>
            <w:r>
              <w:rPr>
                <w:rFonts w:ascii="Calibri" w:hAnsi="Calibri" w:cs="Calibri"/>
                <w:b/>
                <w:bCs/>
                <w:color w:val="000000"/>
                <w:sz w:val="18"/>
                <w:szCs w:val="18"/>
              </w:rPr>
              <w:t>2 508 714</w:t>
            </w:r>
          </w:p>
        </w:tc>
      </w:tr>
      <w:tr w:rsidR="00B227B5" w:rsidRPr="00C5022F" w14:paraId="04427F1C" w14:textId="77777777" w:rsidTr="00F53A31">
        <w:trPr>
          <w:trHeight w:hRule="exact" w:val="255"/>
        </w:trPr>
        <w:tc>
          <w:tcPr>
            <w:tcW w:w="3251" w:type="dxa"/>
            <w:tcBorders>
              <w:top w:val="nil"/>
              <w:left w:val="single" w:sz="8" w:space="0" w:color="FFFFFF"/>
              <w:bottom w:val="single" w:sz="8" w:space="0" w:color="FFFFFF"/>
              <w:right w:val="single" w:sz="8" w:space="0" w:color="FFFFFF"/>
            </w:tcBorders>
            <w:shd w:val="clear" w:color="auto" w:fill="8EAADB" w:themeFill="accent5" w:themeFillTint="99"/>
            <w:noWrap/>
            <w:vAlign w:val="center"/>
            <w:hideMark/>
          </w:tcPr>
          <w:p w14:paraId="198834D9" w14:textId="77777777" w:rsidR="00B227B5" w:rsidRPr="00C5022F" w:rsidRDefault="00B227B5" w:rsidP="00F53A31">
            <w:pPr>
              <w:rPr>
                <w:rFonts w:asciiTheme="minorHAnsi" w:hAnsiTheme="minorHAnsi" w:cstheme="minorHAnsi"/>
                <w:b/>
                <w:bCs/>
                <w:color w:val="000000"/>
                <w:sz w:val="18"/>
                <w:szCs w:val="18"/>
              </w:rPr>
            </w:pPr>
            <w:r w:rsidRPr="00C5022F">
              <w:rPr>
                <w:rFonts w:asciiTheme="minorHAnsi" w:hAnsiTheme="minorHAnsi" w:cstheme="minorHAnsi"/>
                <w:b/>
                <w:bCs/>
                <w:color w:val="000000"/>
                <w:sz w:val="18"/>
                <w:szCs w:val="18"/>
              </w:rPr>
              <w:t>Juros auferidos **</w:t>
            </w:r>
          </w:p>
        </w:tc>
        <w:tc>
          <w:tcPr>
            <w:tcW w:w="1275" w:type="dxa"/>
            <w:tcBorders>
              <w:top w:val="nil"/>
              <w:left w:val="nil"/>
              <w:bottom w:val="single" w:sz="8" w:space="0" w:color="FFFFFF"/>
              <w:right w:val="single" w:sz="8" w:space="0" w:color="FFFFFF"/>
            </w:tcBorders>
            <w:shd w:val="clear" w:color="auto" w:fill="8EAADB" w:themeFill="accent5" w:themeFillTint="99"/>
            <w:noWrap/>
            <w:vAlign w:val="center"/>
            <w:hideMark/>
          </w:tcPr>
          <w:p w14:paraId="19602082" w14:textId="77777777" w:rsidR="00B227B5" w:rsidRPr="00C5022F" w:rsidRDefault="00B227B5" w:rsidP="00F53A31">
            <w:pPr>
              <w:jc w:val="right"/>
              <w:rPr>
                <w:rFonts w:asciiTheme="minorHAnsi" w:hAnsiTheme="minorHAnsi" w:cstheme="minorHAnsi"/>
                <w:b/>
                <w:bCs/>
                <w:color w:val="000000"/>
                <w:sz w:val="18"/>
                <w:szCs w:val="18"/>
              </w:rPr>
            </w:pPr>
            <w:r w:rsidRPr="00C5022F">
              <w:rPr>
                <w:rFonts w:asciiTheme="minorHAnsi" w:hAnsiTheme="minorHAnsi" w:cstheme="minorHAnsi"/>
                <w:b/>
                <w:bCs/>
                <w:color w:val="000000"/>
                <w:sz w:val="18"/>
                <w:szCs w:val="18"/>
              </w:rPr>
              <w:t>0,00</w:t>
            </w:r>
          </w:p>
        </w:tc>
        <w:tc>
          <w:tcPr>
            <w:tcW w:w="1276" w:type="dxa"/>
            <w:tcBorders>
              <w:top w:val="nil"/>
              <w:left w:val="nil"/>
              <w:bottom w:val="single" w:sz="8" w:space="0" w:color="FFFFFF"/>
              <w:right w:val="single" w:sz="8" w:space="0" w:color="FFFFFF"/>
            </w:tcBorders>
            <w:shd w:val="clear" w:color="auto" w:fill="8EAADB" w:themeFill="accent5" w:themeFillTint="99"/>
            <w:noWrap/>
            <w:vAlign w:val="center"/>
            <w:hideMark/>
          </w:tcPr>
          <w:p w14:paraId="17CBE422" w14:textId="77777777" w:rsidR="00B227B5" w:rsidRPr="00C5022F" w:rsidRDefault="00B227B5" w:rsidP="00F53A31">
            <w:pPr>
              <w:jc w:val="right"/>
              <w:rPr>
                <w:rFonts w:asciiTheme="minorHAnsi" w:hAnsiTheme="minorHAnsi" w:cstheme="minorHAnsi"/>
                <w:b/>
                <w:bCs/>
                <w:color w:val="000000"/>
                <w:sz w:val="18"/>
                <w:szCs w:val="18"/>
              </w:rPr>
            </w:pPr>
            <w:r w:rsidRPr="00C5022F">
              <w:rPr>
                <w:rFonts w:asciiTheme="minorHAnsi" w:hAnsiTheme="minorHAnsi" w:cstheme="minorHAnsi"/>
                <w:b/>
                <w:bCs/>
                <w:color w:val="000000"/>
                <w:sz w:val="18"/>
                <w:szCs w:val="18"/>
              </w:rPr>
              <w:t>0,00</w:t>
            </w:r>
          </w:p>
        </w:tc>
        <w:tc>
          <w:tcPr>
            <w:tcW w:w="1276" w:type="dxa"/>
            <w:tcBorders>
              <w:top w:val="nil"/>
              <w:left w:val="nil"/>
              <w:bottom w:val="single" w:sz="8" w:space="0" w:color="FFFFFF"/>
              <w:right w:val="single" w:sz="8" w:space="0" w:color="FFFFFF"/>
            </w:tcBorders>
            <w:shd w:val="clear" w:color="auto" w:fill="8EAADB" w:themeFill="accent5" w:themeFillTint="99"/>
            <w:noWrap/>
            <w:vAlign w:val="center"/>
            <w:hideMark/>
          </w:tcPr>
          <w:p w14:paraId="03FBBC14" w14:textId="77777777" w:rsidR="00B227B5" w:rsidRPr="00C5022F" w:rsidRDefault="00B227B5" w:rsidP="00F53A31">
            <w:pPr>
              <w:jc w:val="right"/>
              <w:rPr>
                <w:rFonts w:asciiTheme="minorHAnsi" w:hAnsiTheme="minorHAnsi" w:cstheme="minorHAnsi"/>
                <w:b/>
                <w:bCs/>
                <w:color w:val="000000"/>
                <w:sz w:val="18"/>
                <w:szCs w:val="18"/>
              </w:rPr>
            </w:pPr>
            <w:r w:rsidRPr="00C5022F">
              <w:rPr>
                <w:rFonts w:asciiTheme="minorHAnsi" w:hAnsiTheme="minorHAnsi" w:cstheme="minorHAnsi"/>
                <w:b/>
                <w:bCs/>
                <w:color w:val="000000"/>
                <w:sz w:val="18"/>
                <w:szCs w:val="18"/>
              </w:rPr>
              <w:t>0,00</w:t>
            </w:r>
          </w:p>
        </w:tc>
        <w:tc>
          <w:tcPr>
            <w:tcW w:w="1276" w:type="dxa"/>
            <w:tcBorders>
              <w:top w:val="nil"/>
              <w:left w:val="nil"/>
              <w:bottom w:val="single" w:sz="8" w:space="0" w:color="FFFFFF"/>
              <w:right w:val="single" w:sz="8" w:space="0" w:color="FFFFFF"/>
            </w:tcBorders>
            <w:shd w:val="clear" w:color="auto" w:fill="8EAADB" w:themeFill="accent5" w:themeFillTint="99"/>
            <w:noWrap/>
            <w:vAlign w:val="center"/>
            <w:hideMark/>
          </w:tcPr>
          <w:p w14:paraId="6B6B08EE" w14:textId="77777777" w:rsidR="00B227B5" w:rsidRPr="00C5022F" w:rsidRDefault="00B227B5" w:rsidP="00F53A31">
            <w:pPr>
              <w:jc w:val="right"/>
              <w:rPr>
                <w:rFonts w:asciiTheme="minorHAnsi" w:hAnsiTheme="minorHAnsi" w:cstheme="minorHAnsi"/>
                <w:b/>
                <w:bCs/>
                <w:color w:val="000000"/>
                <w:sz w:val="18"/>
                <w:szCs w:val="18"/>
              </w:rPr>
            </w:pPr>
            <w:r w:rsidRPr="00C5022F">
              <w:rPr>
                <w:rFonts w:asciiTheme="minorHAnsi" w:hAnsiTheme="minorHAnsi" w:cstheme="minorHAnsi"/>
                <w:b/>
                <w:bCs/>
                <w:color w:val="000000"/>
                <w:sz w:val="18"/>
                <w:szCs w:val="18"/>
              </w:rPr>
              <w:t>0,00</w:t>
            </w:r>
          </w:p>
        </w:tc>
      </w:tr>
    </w:tbl>
    <w:p w14:paraId="06131756" w14:textId="77777777" w:rsidR="00B227B5" w:rsidRPr="00F37280" w:rsidRDefault="00B227B5" w:rsidP="00B227B5">
      <w:pPr>
        <w:jc w:val="both"/>
        <w:rPr>
          <w:rFonts w:asciiTheme="minorHAnsi" w:hAnsiTheme="minorHAnsi" w:cstheme="minorHAnsi"/>
          <w:sz w:val="14"/>
          <w:szCs w:val="14"/>
          <w:lang w:eastAsia="en-US"/>
        </w:rPr>
      </w:pPr>
      <w:r w:rsidRPr="00F37280">
        <w:rPr>
          <w:rFonts w:asciiTheme="minorHAnsi" w:hAnsiTheme="minorHAnsi" w:cstheme="minorHAnsi"/>
          <w:sz w:val="14"/>
          <w:szCs w:val="14"/>
          <w:lang w:eastAsia="en-US"/>
        </w:rPr>
        <w:t>* Identificar a instituição junto da qual se encontram as disponibilidades e/ou aplicações financeiras, acrescentando as linhas necessárias</w:t>
      </w:r>
      <w:r w:rsidRPr="00F37280">
        <w:rPr>
          <w:rFonts w:asciiTheme="minorHAnsi" w:hAnsiTheme="minorHAnsi" w:cstheme="minorHAnsi"/>
          <w:sz w:val="14"/>
          <w:szCs w:val="14"/>
          <w:lang w:eastAsia="en-US"/>
        </w:rPr>
        <w:tab/>
      </w:r>
    </w:p>
    <w:p w14:paraId="257300A1" w14:textId="54F985DD" w:rsidR="00B227B5" w:rsidRPr="00EF108A" w:rsidRDefault="00B227B5" w:rsidP="00B227B5">
      <w:pPr>
        <w:jc w:val="both"/>
        <w:rPr>
          <w:rFonts w:asciiTheme="minorHAnsi" w:hAnsiTheme="minorHAnsi" w:cstheme="minorHAnsi"/>
          <w:sz w:val="14"/>
          <w:szCs w:val="14"/>
          <w:lang w:eastAsia="en-US"/>
        </w:rPr>
      </w:pPr>
      <w:r w:rsidRPr="00F37280">
        <w:rPr>
          <w:rFonts w:asciiTheme="minorHAnsi" w:hAnsiTheme="minorHAnsi" w:cstheme="minorHAnsi"/>
          <w:sz w:val="14"/>
          <w:szCs w:val="14"/>
          <w:lang w:eastAsia="en-US"/>
        </w:rPr>
        <w:t>** Identificar os juros auferidos de todas as aplicações financeiras que se encontram junto da B</w:t>
      </w:r>
      <w:r w:rsidR="00094616">
        <w:rPr>
          <w:rFonts w:asciiTheme="minorHAnsi" w:hAnsiTheme="minorHAnsi" w:cstheme="minorHAnsi"/>
          <w:sz w:val="14"/>
          <w:szCs w:val="14"/>
          <w:lang w:eastAsia="en-US"/>
        </w:rPr>
        <w:t xml:space="preserve">anca </w:t>
      </w:r>
      <w:r w:rsidRPr="00F37280">
        <w:rPr>
          <w:rFonts w:asciiTheme="minorHAnsi" w:hAnsiTheme="minorHAnsi" w:cstheme="minorHAnsi"/>
          <w:sz w:val="14"/>
          <w:szCs w:val="14"/>
          <w:lang w:eastAsia="en-US"/>
        </w:rPr>
        <w:t>C</w:t>
      </w:r>
      <w:r w:rsidR="00094616">
        <w:rPr>
          <w:rFonts w:asciiTheme="minorHAnsi" w:hAnsiTheme="minorHAnsi" w:cstheme="minorHAnsi"/>
          <w:sz w:val="14"/>
          <w:szCs w:val="14"/>
          <w:lang w:eastAsia="en-US"/>
        </w:rPr>
        <w:t>ome</w:t>
      </w:r>
      <w:r w:rsidR="00253709">
        <w:rPr>
          <w:rFonts w:asciiTheme="minorHAnsi" w:hAnsiTheme="minorHAnsi" w:cstheme="minorHAnsi"/>
          <w:sz w:val="14"/>
          <w:szCs w:val="14"/>
          <w:lang w:eastAsia="en-US"/>
        </w:rPr>
        <w:t>r</w:t>
      </w:r>
      <w:r w:rsidR="00094616">
        <w:rPr>
          <w:rFonts w:asciiTheme="minorHAnsi" w:hAnsiTheme="minorHAnsi" w:cstheme="minorHAnsi"/>
          <w:sz w:val="14"/>
          <w:szCs w:val="14"/>
          <w:lang w:eastAsia="en-US"/>
        </w:rPr>
        <w:t>cial</w:t>
      </w:r>
      <w:r w:rsidRPr="00F37280">
        <w:rPr>
          <w:rFonts w:asciiTheme="minorHAnsi" w:hAnsiTheme="minorHAnsi" w:cstheme="minorHAnsi"/>
          <w:sz w:val="14"/>
          <w:szCs w:val="14"/>
          <w:lang w:eastAsia="en-US"/>
        </w:rPr>
        <w:tab/>
      </w:r>
      <w:r w:rsidRPr="00EF108A">
        <w:rPr>
          <w:rFonts w:asciiTheme="minorHAnsi" w:hAnsiTheme="minorHAnsi" w:cstheme="minorHAnsi"/>
          <w:sz w:val="14"/>
          <w:szCs w:val="14"/>
          <w:lang w:eastAsia="en-US"/>
        </w:rPr>
        <w:tab/>
      </w:r>
      <w:r w:rsidRPr="00EF108A">
        <w:rPr>
          <w:rFonts w:asciiTheme="minorHAnsi" w:hAnsiTheme="minorHAnsi" w:cstheme="minorHAnsi"/>
          <w:sz w:val="14"/>
          <w:szCs w:val="14"/>
          <w:lang w:eastAsia="en-US"/>
        </w:rPr>
        <w:tab/>
      </w:r>
      <w:r w:rsidRPr="00EF108A">
        <w:rPr>
          <w:rFonts w:asciiTheme="minorHAnsi" w:hAnsiTheme="minorHAnsi" w:cstheme="minorHAnsi"/>
          <w:sz w:val="14"/>
          <w:szCs w:val="14"/>
          <w:lang w:eastAsia="en-US"/>
        </w:rPr>
        <w:tab/>
      </w:r>
      <w:r w:rsidRPr="00EF108A">
        <w:rPr>
          <w:rFonts w:asciiTheme="minorHAnsi" w:hAnsiTheme="minorHAnsi" w:cstheme="minorHAnsi"/>
          <w:sz w:val="14"/>
          <w:szCs w:val="14"/>
          <w:lang w:eastAsia="en-US"/>
        </w:rPr>
        <w:tab/>
      </w:r>
    </w:p>
    <w:p w14:paraId="5D35FC6D" w14:textId="77777777" w:rsidR="00B227B5" w:rsidRDefault="00B227B5" w:rsidP="006D7C47">
      <w:pPr>
        <w:pStyle w:val="CorpotextoMP"/>
        <w:rPr>
          <w:rFonts w:asciiTheme="minorHAnsi" w:hAnsiTheme="minorHAnsi" w:cstheme="minorHAnsi"/>
          <w:b/>
          <w:sz w:val="22"/>
          <w:szCs w:val="22"/>
          <w:lang w:eastAsia="en-US"/>
        </w:rPr>
      </w:pPr>
    </w:p>
    <w:p w14:paraId="58264919" w14:textId="77777777" w:rsidR="00B227B5" w:rsidRDefault="00B227B5" w:rsidP="006D7C47">
      <w:pPr>
        <w:pStyle w:val="CorpotextoMP"/>
        <w:rPr>
          <w:rFonts w:asciiTheme="minorHAnsi" w:hAnsiTheme="minorHAnsi" w:cstheme="minorHAnsi"/>
          <w:b/>
          <w:sz w:val="22"/>
          <w:szCs w:val="22"/>
          <w:lang w:eastAsia="en-US"/>
        </w:rPr>
      </w:pPr>
    </w:p>
    <w:p w14:paraId="374B3AA9" w14:textId="282C06F8" w:rsidR="006D7C47" w:rsidRPr="005E02AB" w:rsidRDefault="00BA5EF3" w:rsidP="006D7C47">
      <w:pPr>
        <w:pStyle w:val="CorpotextoMP"/>
        <w:rPr>
          <w:rFonts w:asciiTheme="minorHAnsi" w:hAnsiTheme="minorHAnsi" w:cstheme="minorHAnsi"/>
          <w:b/>
          <w:sz w:val="22"/>
          <w:szCs w:val="22"/>
          <w:lang w:eastAsia="en-US"/>
        </w:rPr>
      </w:pPr>
      <w:r>
        <w:rPr>
          <w:rFonts w:asciiTheme="minorHAnsi" w:hAnsiTheme="minorHAnsi" w:cstheme="minorHAnsi"/>
          <w:b/>
          <w:sz w:val="22"/>
          <w:szCs w:val="22"/>
          <w:lang w:eastAsia="en-US"/>
        </w:rPr>
        <w:t>9</w:t>
      </w:r>
      <w:r w:rsidR="006D7C47" w:rsidRPr="005E02AB">
        <w:rPr>
          <w:rFonts w:asciiTheme="minorHAnsi" w:hAnsiTheme="minorHAnsi" w:cstheme="minorHAnsi"/>
          <w:b/>
          <w:sz w:val="22"/>
          <w:szCs w:val="22"/>
          <w:lang w:eastAsia="en-US"/>
        </w:rPr>
        <w:t xml:space="preserve">. Prazo Médio de Pagamento </w:t>
      </w:r>
      <w:r w:rsidR="006D7C47">
        <w:rPr>
          <w:rFonts w:asciiTheme="minorHAnsi" w:hAnsiTheme="minorHAnsi" w:cstheme="minorHAnsi"/>
          <w:b/>
          <w:sz w:val="22"/>
          <w:szCs w:val="22"/>
          <w:lang w:eastAsia="en-US"/>
        </w:rPr>
        <w:t>(PMP)</w:t>
      </w:r>
    </w:p>
    <w:p w14:paraId="5C162ADA" w14:textId="77777777" w:rsidR="006D7C47" w:rsidRPr="00D04375" w:rsidRDefault="006D7C47" w:rsidP="006D7C47">
      <w:pPr>
        <w:rPr>
          <w:rFonts w:asciiTheme="minorHAnsi" w:hAnsiTheme="minorHAnsi" w:cstheme="minorHAnsi"/>
          <w:sz w:val="22"/>
          <w:szCs w:val="16"/>
        </w:rPr>
      </w:pPr>
    </w:p>
    <w:tbl>
      <w:tblPr>
        <w:tblW w:w="5000" w:type="pct"/>
        <w:jc w:val="center"/>
        <w:tblCellMar>
          <w:left w:w="70" w:type="dxa"/>
          <w:right w:w="70" w:type="dxa"/>
        </w:tblCellMar>
        <w:tblLook w:val="04A0" w:firstRow="1" w:lastRow="0" w:firstColumn="1" w:lastColumn="0" w:noHBand="0" w:noVBand="1"/>
      </w:tblPr>
      <w:tblGrid>
        <w:gridCol w:w="3493"/>
        <w:gridCol w:w="1120"/>
        <w:gridCol w:w="1200"/>
        <w:gridCol w:w="1200"/>
        <w:gridCol w:w="1346"/>
      </w:tblGrid>
      <w:tr w:rsidR="006D7C47" w:rsidRPr="00D917F5" w14:paraId="3E857913" w14:textId="77777777" w:rsidTr="005379F8">
        <w:trPr>
          <w:trHeight w:val="300"/>
          <w:tblHeader/>
          <w:jc w:val="center"/>
        </w:trPr>
        <w:tc>
          <w:tcPr>
            <w:tcW w:w="2089" w:type="pct"/>
            <w:vMerge w:val="restart"/>
            <w:tcBorders>
              <w:top w:val="single" w:sz="4" w:space="0" w:color="FFFFFF"/>
              <w:left w:val="single" w:sz="4" w:space="0" w:color="FFFFFF"/>
              <w:bottom w:val="single" w:sz="4" w:space="0" w:color="FFFFFF"/>
              <w:right w:val="single" w:sz="4" w:space="0" w:color="FFFFFF"/>
            </w:tcBorders>
            <w:shd w:val="clear" w:color="auto" w:fill="8EAADB" w:themeFill="accent5" w:themeFillTint="99"/>
            <w:vAlign w:val="center"/>
            <w:hideMark/>
          </w:tcPr>
          <w:p w14:paraId="5976D5A5" w14:textId="77777777" w:rsidR="006D7C47" w:rsidRPr="00D917F5" w:rsidRDefault="006D7C47" w:rsidP="005379F8">
            <w:pPr>
              <w:jc w:val="center"/>
              <w:rPr>
                <w:rFonts w:ascii="Calibri" w:hAnsi="Calibri" w:cs="Calibri"/>
                <w:b/>
                <w:bCs/>
                <w:color w:val="000000"/>
                <w:sz w:val="18"/>
                <w:szCs w:val="18"/>
              </w:rPr>
            </w:pPr>
            <w:r w:rsidRPr="00D917F5">
              <w:rPr>
                <w:rFonts w:ascii="Calibri" w:hAnsi="Calibri" w:cs="Calibri"/>
                <w:b/>
                <w:bCs/>
                <w:color w:val="000000"/>
                <w:sz w:val="18"/>
                <w:szCs w:val="18"/>
              </w:rPr>
              <w:t>PMP</w:t>
            </w:r>
          </w:p>
        </w:tc>
        <w:tc>
          <w:tcPr>
            <w:tcW w:w="670" w:type="pct"/>
            <w:vMerge w:val="restart"/>
            <w:tcBorders>
              <w:top w:val="single" w:sz="4" w:space="0" w:color="FFFFFF"/>
              <w:left w:val="nil"/>
              <w:bottom w:val="single" w:sz="4" w:space="0" w:color="FFFFFF"/>
              <w:right w:val="single" w:sz="4" w:space="0" w:color="FFFFFF"/>
            </w:tcBorders>
            <w:shd w:val="clear" w:color="auto" w:fill="8EAADB" w:themeFill="accent5" w:themeFillTint="99"/>
            <w:vAlign w:val="center"/>
            <w:hideMark/>
          </w:tcPr>
          <w:p w14:paraId="3EEEFCB9" w14:textId="3816513A" w:rsidR="006D7C47" w:rsidRPr="00D917F5" w:rsidRDefault="006D7C47" w:rsidP="005379F8">
            <w:pPr>
              <w:jc w:val="center"/>
              <w:rPr>
                <w:rFonts w:ascii="Calibri" w:hAnsi="Calibri" w:cs="Calibri"/>
                <w:b/>
                <w:bCs/>
                <w:color w:val="000000"/>
                <w:sz w:val="18"/>
                <w:szCs w:val="18"/>
              </w:rPr>
            </w:pPr>
            <w:r w:rsidRPr="00D917F5">
              <w:rPr>
                <w:rFonts w:ascii="Calibri" w:hAnsi="Calibri" w:cs="Calibri"/>
                <w:b/>
                <w:bCs/>
                <w:color w:val="000000"/>
                <w:sz w:val="18"/>
                <w:szCs w:val="18"/>
              </w:rPr>
              <w:t>202</w:t>
            </w:r>
            <w:r w:rsidR="00BA5EF3">
              <w:rPr>
                <w:rFonts w:ascii="Calibri" w:hAnsi="Calibri" w:cs="Calibri"/>
                <w:b/>
                <w:bCs/>
                <w:color w:val="000000"/>
                <w:sz w:val="18"/>
                <w:szCs w:val="18"/>
              </w:rPr>
              <w:t>5</w:t>
            </w:r>
          </w:p>
        </w:tc>
        <w:tc>
          <w:tcPr>
            <w:tcW w:w="718" w:type="pct"/>
            <w:vMerge w:val="restart"/>
            <w:tcBorders>
              <w:top w:val="single" w:sz="4" w:space="0" w:color="FFFFFF"/>
              <w:left w:val="nil"/>
              <w:bottom w:val="single" w:sz="4" w:space="0" w:color="FFFFFF"/>
              <w:right w:val="single" w:sz="4" w:space="0" w:color="FFFFFF"/>
            </w:tcBorders>
            <w:shd w:val="clear" w:color="auto" w:fill="8EAADB" w:themeFill="accent5" w:themeFillTint="99"/>
            <w:vAlign w:val="center"/>
          </w:tcPr>
          <w:p w14:paraId="7162209E" w14:textId="689C6B3E" w:rsidR="006D7C47" w:rsidRPr="00D917F5" w:rsidRDefault="006D7C47" w:rsidP="005379F8">
            <w:pPr>
              <w:jc w:val="center"/>
              <w:rPr>
                <w:rFonts w:ascii="Calibri" w:hAnsi="Calibri" w:cs="Calibri"/>
                <w:b/>
                <w:bCs/>
                <w:color w:val="000000"/>
                <w:sz w:val="18"/>
                <w:szCs w:val="18"/>
              </w:rPr>
            </w:pPr>
            <w:r w:rsidRPr="00D917F5">
              <w:rPr>
                <w:rFonts w:ascii="Calibri" w:hAnsi="Calibri" w:cs="Calibri"/>
                <w:b/>
                <w:bCs/>
                <w:color w:val="000000"/>
                <w:sz w:val="18"/>
                <w:szCs w:val="18"/>
              </w:rPr>
              <w:t>202</w:t>
            </w:r>
            <w:r w:rsidR="00BA5EF3">
              <w:rPr>
                <w:rFonts w:ascii="Calibri" w:hAnsi="Calibri" w:cs="Calibri"/>
                <w:b/>
                <w:bCs/>
                <w:color w:val="000000"/>
                <w:sz w:val="18"/>
                <w:szCs w:val="18"/>
              </w:rPr>
              <w:t>4</w:t>
            </w:r>
          </w:p>
        </w:tc>
        <w:tc>
          <w:tcPr>
            <w:tcW w:w="1524" w:type="pct"/>
            <w:gridSpan w:val="2"/>
            <w:tcBorders>
              <w:top w:val="single" w:sz="4" w:space="0" w:color="FFFFFF"/>
              <w:left w:val="single" w:sz="4" w:space="0" w:color="FFFFFF"/>
              <w:bottom w:val="single" w:sz="4" w:space="0" w:color="FFFFFF"/>
              <w:right w:val="nil"/>
            </w:tcBorders>
            <w:shd w:val="clear" w:color="auto" w:fill="8EAADB" w:themeFill="accent5" w:themeFillTint="99"/>
            <w:vAlign w:val="center"/>
            <w:hideMark/>
          </w:tcPr>
          <w:p w14:paraId="5C8A3E50" w14:textId="6C8F0206" w:rsidR="006D7C47" w:rsidRPr="00D917F5" w:rsidRDefault="006D7C47" w:rsidP="005379F8">
            <w:pPr>
              <w:jc w:val="center"/>
              <w:rPr>
                <w:rFonts w:ascii="Calibri" w:hAnsi="Calibri" w:cs="Calibri"/>
                <w:b/>
                <w:bCs/>
                <w:color w:val="000000"/>
                <w:sz w:val="18"/>
                <w:szCs w:val="18"/>
              </w:rPr>
            </w:pPr>
            <w:r w:rsidRPr="00D917F5">
              <w:rPr>
                <w:rFonts w:ascii="Calibri" w:hAnsi="Calibri" w:cs="Calibri"/>
                <w:b/>
                <w:bCs/>
                <w:color w:val="000000"/>
                <w:sz w:val="18"/>
                <w:szCs w:val="18"/>
              </w:rPr>
              <w:t>Variação 2</w:t>
            </w:r>
            <w:r w:rsidR="00BA5EF3">
              <w:rPr>
                <w:rFonts w:ascii="Calibri" w:hAnsi="Calibri" w:cs="Calibri"/>
                <w:b/>
                <w:bCs/>
                <w:color w:val="000000"/>
                <w:sz w:val="18"/>
                <w:szCs w:val="18"/>
              </w:rPr>
              <w:t>5</w:t>
            </w:r>
            <w:r w:rsidRPr="00D917F5">
              <w:rPr>
                <w:rFonts w:ascii="Calibri" w:hAnsi="Calibri" w:cs="Calibri"/>
                <w:b/>
                <w:bCs/>
                <w:color w:val="000000"/>
                <w:sz w:val="18"/>
                <w:szCs w:val="18"/>
              </w:rPr>
              <w:t>/2</w:t>
            </w:r>
            <w:r w:rsidR="00BA5EF3">
              <w:rPr>
                <w:rFonts w:ascii="Calibri" w:hAnsi="Calibri" w:cs="Calibri"/>
                <w:b/>
                <w:bCs/>
                <w:color w:val="000000"/>
                <w:sz w:val="18"/>
                <w:szCs w:val="18"/>
              </w:rPr>
              <w:t>4</w:t>
            </w:r>
          </w:p>
        </w:tc>
      </w:tr>
      <w:tr w:rsidR="006D7C47" w:rsidRPr="00D917F5" w14:paraId="40D4E4C0" w14:textId="77777777" w:rsidTr="005379F8">
        <w:trPr>
          <w:trHeight w:val="286"/>
          <w:tblHeader/>
          <w:jc w:val="center"/>
        </w:trPr>
        <w:tc>
          <w:tcPr>
            <w:tcW w:w="2089" w:type="pct"/>
            <w:vMerge/>
            <w:tcBorders>
              <w:top w:val="single" w:sz="4" w:space="0" w:color="FFFFFF"/>
              <w:left w:val="single" w:sz="4" w:space="0" w:color="FFFFFF"/>
              <w:bottom w:val="single" w:sz="4" w:space="0" w:color="FFFFFF"/>
              <w:right w:val="single" w:sz="4" w:space="0" w:color="FFFFFF"/>
            </w:tcBorders>
            <w:shd w:val="clear" w:color="auto" w:fill="8EAADB" w:themeFill="accent5" w:themeFillTint="99"/>
            <w:vAlign w:val="center"/>
            <w:hideMark/>
          </w:tcPr>
          <w:p w14:paraId="2182AAF7" w14:textId="77777777" w:rsidR="006D7C47" w:rsidRPr="00D917F5" w:rsidRDefault="006D7C47" w:rsidP="005379F8">
            <w:pPr>
              <w:rPr>
                <w:rFonts w:ascii="Calibri" w:hAnsi="Calibri" w:cs="Calibri"/>
                <w:b/>
                <w:bCs/>
                <w:color w:val="000000"/>
                <w:sz w:val="18"/>
                <w:szCs w:val="18"/>
              </w:rPr>
            </w:pPr>
          </w:p>
        </w:tc>
        <w:tc>
          <w:tcPr>
            <w:tcW w:w="670" w:type="pct"/>
            <w:vMerge/>
            <w:tcBorders>
              <w:top w:val="single" w:sz="4" w:space="0" w:color="FFFFFF"/>
              <w:left w:val="nil"/>
              <w:bottom w:val="single" w:sz="4" w:space="0" w:color="FFFFFF"/>
              <w:right w:val="single" w:sz="4" w:space="0" w:color="FFFFFF"/>
            </w:tcBorders>
            <w:shd w:val="clear" w:color="auto" w:fill="8EAADB" w:themeFill="accent5" w:themeFillTint="99"/>
            <w:vAlign w:val="center"/>
            <w:hideMark/>
          </w:tcPr>
          <w:p w14:paraId="2CE59023" w14:textId="77777777" w:rsidR="006D7C47" w:rsidRPr="00D917F5" w:rsidRDefault="006D7C47" w:rsidP="005379F8">
            <w:pPr>
              <w:jc w:val="center"/>
              <w:rPr>
                <w:rFonts w:ascii="Calibri" w:hAnsi="Calibri" w:cs="Calibri"/>
                <w:b/>
                <w:bCs/>
                <w:color w:val="000000"/>
                <w:sz w:val="18"/>
                <w:szCs w:val="18"/>
              </w:rPr>
            </w:pPr>
          </w:p>
        </w:tc>
        <w:tc>
          <w:tcPr>
            <w:tcW w:w="718" w:type="pct"/>
            <w:vMerge/>
            <w:tcBorders>
              <w:top w:val="single" w:sz="4" w:space="0" w:color="FFFFFF"/>
              <w:left w:val="nil"/>
              <w:bottom w:val="single" w:sz="4" w:space="0" w:color="FFFFFF"/>
              <w:right w:val="single" w:sz="4" w:space="0" w:color="FFFFFF"/>
            </w:tcBorders>
            <w:shd w:val="clear" w:color="auto" w:fill="8EAADB" w:themeFill="accent5" w:themeFillTint="99"/>
            <w:vAlign w:val="center"/>
          </w:tcPr>
          <w:p w14:paraId="7DD75059" w14:textId="77777777" w:rsidR="006D7C47" w:rsidRPr="00D917F5" w:rsidRDefault="006D7C47" w:rsidP="005379F8">
            <w:pPr>
              <w:jc w:val="center"/>
              <w:rPr>
                <w:rFonts w:ascii="Calibri" w:hAnsi="Calibri" w:cs="Calibri"/>
                <w:b/>
                <w:bCs/>
                <w:color w:val="000000"/>
                <w:sz w:val="18"/>
                <w:szCs w:val="18"/>
              </w:rPr>
            </w:pPr>
          </w:p>
        </w:tc>
        <w:tc>
          <w:tcPr>
            <w:tcW w:w="718" w:type="pct"/>
            <w:tcBorders>
              <w:top w:val="nil"/>
              <w:left w:val="single" w:sz="4" w:space="0" w:color="FFFFFF"/>
              <w:bottom w:val="single" w:sz="4" w:space="0" w:color="FFFFFF"/>
              <w:right w:val="single" w:sz="4" w:space="0" w:color="FFFFFF"/>
            </w:tcBorders>
            <w:shd w:val="clear" w:color="auto" w:fill="8EAADB" w:themeFill="accent5" w:themeFillTint="99"/>
            <w:vAlign w:val="center"/>
            <w:hideMark/>
          </w:tcPr>
          <w:p w14:paraId="48326B08" w14:textId="77777777" w:rsidR="006D7C47" w:rsidRPr="00D917F5" w:rsidRDefault="006D7C47" w:rsidP="005379F8">
            <w:pPr>
              <w:jc w:val="center"/>
              <w:rPr>
                <w:rFonts w:ascii="Calibri" w:hAnsi="Calibri" w:cs="Calibri"/>
                <w:b/>
                <w:bCs/>
                <w:color w:val="000000"/>
                <w:sz w:val="18"/>
                <w:szCs w:val="18"/>
              </w:rPr>
            </w:pPr>
            <w:r w:rsidRPr="00D917F5">
              <w:rPr>
                <w:rFonts w:ascii="Calibri" w:hAnsi="Calibri" w:cs="Calibri"/>
                <w:b/>
                <w:bCs/>
                <w:color w:val="000000"/>
                <w:sz w:val="18"/>
                <w:szCs w:val="18"/>
              </w:rPr>
              <w:t>Valor</w:t>
            </w:r>
          </w:p>
        </w:tc>
        <w:tc>
          <w:tcPr>
            <w:tcW w:w="806" w:type="pct"/>
            <w:tcBorders>
              <w:top w:val="nil"/>
              <w:left w:val="nil"/>
              <w:bottom w:val="single" w:sz="4" w:space="0" w:color="FFFFFF"/>
              <w:right w:val="nil"/>
            </w:tcBorders>
            <w:shd w:val="clear" w:color="auto" w:fill="8EAADB" w:themeFill="accent5" w:themeFillTint="99"/>
            <w:vAlign w:val="center"/>
            <w:hideMark/>
          </w:tcPr>
          <w:p w14:paraId="5140DFC2" w14:textId="77777777" w:rsidR="006D7C47" w:rsidRPr="00D917F5" w:rsidRDefault="006D7C47" w:rsidP="005379F8">
            <w:pPr>
              <w:jc w:val="center"/>
              <w:rPr>
                <w:rFonts w:ascii="Calibri" w:hAnsi="Calibri" w:cs="Calibri"/>
                <w:b/>
                <w:bCs/>
                <w:color w:val="000000"/>
                <w:sz w:val="18"/>
                <w:szCs w:val="18"/>
              </w:rPr>
            </w:pPr>
            <w:r w:rsidRPr="00D917F5">
              <w:rPr>
                <w:rFonts w:ascii="Calibri" w:hAnsi="Calibri" w:cs="Calibri"/>
                <w:b/>
                <w:bCs/>
                <w:color w:val="000000"/>
                <w:sz w:val="18"/>
                <w:szCs w:val="18"/>
              </w:rPr>
              <w:t>%</w:t>
            </w:r>
          </w:p>
        </w:tc>
      </w:tr>
      <w:tr w:rsidR="006D7C47" w:rsidRPr="00D917F5" w14:paraId="19B76161" w14:textId="77777777" w:rsidTr="005379F8">
        <w:trPr>
          <w:trHeight w:val="229"/>
          <w:jc w:val="center"/>
        </w:trPr>
        <w:tc>
          <w:tcPr>
            <w:tcW w:w="2089" w:type="pct"/>
            <w:tcBorders>
              <w:top w:val="nil"/>
              <w:left w:val="single" w:sz="4" w:space="0" w:color="FFFFFF"/>
              <w:bottom w:val="single" w:sz="4" w:space="0" w:color="FFFFFF"/>
              <w:right w:val="single" w:sz="4" w:space="0" w:color="FFFFFF"/>
            </w:tcBorders>
            <w:shd w:val="clear" w:color="auto" w:fill="D9E2F3" w:themeFill="accent5" w:themeFillTint="33"/>
            <w:noWrap/>
            <w:vAlign w:val="center"/>
            <w:hideMark/>
          </w:tcPr>
          <w:p w14:paraId="42587A55" w14:textId="77777777" w:rsidR="006D7C47" w:rsidRPr="00D917F5" w:rsidRDefault="006D7C47" w:rsidP="005379F8">
            <w:pPr>
              <w:rPr>
                <w:rFonts w:ascii="Calibri" w:hAnsi="Calibri" w:cs="Calibri"/>
                <w:color w:val="000000"/>
                <w:sz w:val="18"/>
                <w:szCs w:val="18"/>
              </w:rPr>
            </w:pPr>
            <w:r w:rsidRPr="00D917F5">
              <w:rPr>
                <w:rFonts w:ascii="Calibri" w:hAnsi="Calibri" w:cs="Calibri"/>
                <w:color w:val="000000"/>
                <w:sz w:val="18"/>
                <w:szCs w:val="18"/>
              </w:rPr>
              <w:t>Prazo (dias)</w:t>
            </w:r>
          </w:p>
        </w:tc>
        <w:tc>
          <w:tcPr>
            <w:tcW w:w="670" w:type="pct"/>
            <w:tcBorders>
              <w:top w:val="nil"/>
              <w:left w:val="nil"/>
              <w:bottom w:val="single" w:sz="4" w:space="0" w:color="FFFFFF"/>
              <w:right w:val="single" w:sz="4" w:space="0" w:color="FFFFFF"/>
            </w:tcBorders>
            <w:shd w:val="clear" w:color="auto" w:fill="D9E2F3" w:themeFill="accent5" w:themeFillTint="33"/>
            <w:noWrap/>
            <w:vAlign w:val="center"/>
            <w:hideMark/>
          </w:tcPr>
          <w:p w14:paraId="5759EDE3" w14:textId="31B36CCE" w:rsidR="006D7C47" w:rsidRPr="00D917F5" w:rsidRDefault="009442B9" w:rsidP="005379F8">
            <w:pPr>
              <w:jc w:val="center"/>
              <w:rPr>
                <w:rFonts w:ascii="Calibri" w:hAnsi="Calibri" w:cs="Calibri"/>
                <w:sz w:val="18"/>
                <w:szCs w:val="18"/>
              </w:rPr>
            </w:pPr>
            <w:r>
              <w:rPr>
                <w:rFonts w:ascii="Calibri" w:hAnsi="Calibri" w:cs="Calibri"/>
                <w:sz w:val="18"/>
                <w:szCs w:val="18"/>
              </w:rPr>
              <w:t>12</w:t>
            </w:r>
          </w:p>
        </w:tc>
        <w:tc>
          <w:tcPr>
            <w:tcW w:w="718" w:type="pct"/>
            <w:tcBorders>
              <w:top w:val="nil"/>
              <w:left w:val="nil"/>
              <w:bottom w:val="single" w:sz="4" w:space="0" w:color="FFFFFF"/>
              <w:right w:val="single" w:sz="4" w:space="0" w:color="FFFFFF"/>
            </w:tcBorders>
            <w:shd w:val="clear" w:color="auto" w:fill="D9E2F3" w:themeFill="accent5" w:themeFillTint="33"/>
            <w:vAlign w:val="center"/>
          </w:tcPr>
          <w:p w14:paraId="30080398" w14:textId="31D92F97" w:rsidR="006D7C47" w:rsidRPr="00D917F5" w:rsidRDefault="006D7C47" w:rsidP="005379F8">
            <w:pPr>
              <w:jc w:val="center"/>
              <w:rPr>
                <w:rFonts w:ascii="Calibri" w:hAnsi="Calibri" w:cs="Calibri"/>
                <w:sz w:val="18"/>
                <w:szCs w:val="18"/>
              </w:rPr>
            </w:pPr>
            <w:r>
              <w:rPr>
                <w:rFonts w:ascii="Calibri" w:hAnsi="Calibri" w:cs="Calibri"/>
                <w:sz w:val="18"/>
                <w:szCs w:val="18"/>
              </w:rPr>
              <w:t>2</w:t>
            </w:r>
            <w:r w:rsidR="00BA5EF3">
              <w:rPr>
                <w:rFonts w:ascii="Calibri" w:hAnsi="Calibri" w:cs="Calibri"/>
                <w:sz w:val="18"/>
                <w:szCs w:val="18"/>
              </w:rPr>
              <w:t>7</w:t>
            </w:r>
          </w:p>
        </w:tc>
        <w:tc>
          <w:tcPr>
            <w:tcW w:w="718" w:type="pct"/>
            <w:tcBorders>
              <w:top w:val="nil"/>
              <w:left w:val="single" w:sz="4" w:space="0" w:color="FFFFFF"/>
              <w:bottom w:val="single" w:sz="4" w:space="0" w:color="FFFFFF"/>
              <w:right w:val="single" w:sz="4" w:space="0" w:color="FFFFFF"/>
            </w:tcBorders>
            <w:shd w:val="clear" w:color="auto" w:fill="D9E2F3" w:themeFill="accent5" w:themeFillTint="33"/>
            <w:noWrap/>
            <w:vAlign w:val="center"/>
          </w:tcPr>
          <w:p w14:paraId="3E7EA7CC" w14:textId="4B61F56D" w:rsidR="006D7C47" w:rsidRPr="00D917F5" w:rsidRDefault="006D7C47" w:rsidP="005379F8">
            <w:pPr>
              <w:jc w:val="center"/>
              <w:rPr>
                <w:rFonts w:ascii="Calibri" w:hAnsi="Calibri" w:cs="Calibri"/>
                <w:color w:val="000000"/>
                <w:sz w:val="18"/>
                <w:szCs w:val="18"/>
              </w:rPr>
            </w:pPr>
            <w:r w:rsidRPr="00D917F5">
              <w:rPr>
                <w:rFonts w:ascii="Calibri" w:hAnsi="Calibri" w:cs="Calibri"/>
                <w:color w:val="000000"/>
                <w:sz w:val="18"/>
                <w:szCs w:val="18"/>
              </w:rPr>
              <w:t>-</w:t>
            </w:r>
            <w:r w:rsidR="009442B9">
              <w:rPr>
                <w:rFonts w:ascii="Calibri" w:hAnsi="Calibri" w:cs="Calibri"/>
                <w:color w:val="000000"/>
                <w:sz w:val="18"/>
                <w:szCs w:val="18"/>
              </w:rPr>
              <w:t>1</w:t>
            </w:r>
            <w:r>
              <w:rPr>
                <w:rFonts w:ascii="Calibri" w:hAnsi="Calibri" w:cs="Calibri"/>
                <w:color w:val="000000"/>
                <w:sz w:val="18"/>
                <w:szCs w:val="18"/>
              </w:rPr>
              <w:t>5</w:t>
            </w:r>
          </w:p>
        </w:tc>
        <w:tc>
          <w:tcPr>
            <w:tcW w:w="806" w:type="pct"/>
            <w:tcBorders>
              <w:top w:val="nil"/>
              <w:left w:val="nil"/>
              <w:bottom w:val="single" w:sz="4" w:space="0" w:color="FFFFFF"/>
              <w:right w:val="single" w:sz="4" w:space="0" w:color="FFFFFF"/>
            </w:tcBorders>
            <w:shd w:val="clear" w:color="auto" w:fill="D9E2F3" w:themeFill="accent5" w:themeFillTint="33"/>
            <w:noWrap/>
            <w:vAlign w:val="center"/>
          </w:tcPr>
          <w:p w14:paraId="1BF82530" w14:textId="1434849E" w:rsidR="006D7C47" w:rsidRPr="00D917F5" w:rsidRDefault="006D7C47" w:rsidP="005379F8">
            <w:pPr>
              <w:jc w:val="center"/>
              <w:rPr>
                <w:rFonts w:ascii="Calibri" w:hAnsi="Calibri" w:cs="Calibri"/>
                <w:color w:val="000000"/>
                <w:sz w:val="18"/>
                <w:szCs w:val="18"/>
              </w:rPr>
            </w:pPr>
            <w:r w:rsidRPr="00D917F5">
              <w:rPr>
                <w:rFonts w:ascii="Calibri" w:hAnsi="Calibri" w:cs="Calibri"/>
                <w:color w:val="000000"/>
                <w:sz w:val="18"/>
                <w:szCs w:val="18"/>
              </w:rPr>
              <w:t>-</w:t>
            </w:r>
            <w:r>
              <w:rPr>
                <w:rFonts w:ascii="Calibri" w:hAnsi="Calibri" w:cs="Calibri"/>
                <w:color w:val="000000"/>
                <w:sz w:val="18"/>
                <w:szCs w:val="18"/>
              </w:rPr>
              <w:t>5</w:t>
            </w:r>
            <w:r w:rsidR="009442B9">
              <w:rPr>
                <w:rFonts w:ascii="Calibri" w:hAnsi="Calibri" w:cs="Calibri"/>
                <w:color w:val="000000"/>
                <w:sz w:val="18"/>
                <w:szCs w:val="18"/>
              </w:rPr>
              <w:t>6</w:t>
            </w:r>
            <w:r w:rsidRPr="00D917F5">
              <w:rPr>
                <w:rFonts w:ascii="Calibri" w:hAnsi="Calibri" w:cs="Calibri"/>
                <w:color w:val="000000"/>
                <w:sz w:val="18"/>
                <w:szCs w:val="18"/>
              </w:rPr>
              <w:t>%</w:t>
            </w:r>
          </w:p>
        </w:tc>
      </w:tr>
    </w:tbl>
    <w:p w14:paraId="2B1F8FE5" w14:textId="77777777" w:rsidR="006D7C47" w:rsidRDefault="006D7C47" w:rsidP="006D7C47">
      <w:pPr>
        <w:rPr>
          <w:rFonts w:asciiTheme="minorHAnsi" w:hAnsiTheme="minorHAnsi" w:cstheme="minorHAnsi"/>
          <w:sz w:val="22"/>
          <w:szCs w:val="22"/>
          <w:lang w:eastAsia="en-US"/>
        </w:rPr>
      </w:pPr>
    </w:p>
    <w:p w14:paraId="74E00CDE" w14:textId="77777777" w:rsidR="006D7C47" w:rsidRDefault="006D7C47" w:rsidP="006D7C47">
      <w:pPr>
        <w:pStyle w:val="CorpotextoMP"/>
        <w:rPr>
          <w:rFonts w:asciiTheme="minorHAnsi" w:hAnsiTheme="minorHAnsi" w:cstheme="minorHAnsi"/>
          <w:sz w:val="22"/>
          <w:szCs w:val="22"/>
          <w:lang w:eastAsia="en-US"/>
        </w:rPr>
      </w:pPr>
      <w:r>
        <w:rPr>
          <w:rFonts w:asciiTheme="minorHAnsi" w:hAnsiTheme="minorHAnsi" w:cstheme="minorHAnsi"/>
          <w:sz w:val="22"/>
          <w:szCs w:val="22"/>
          <w:lang w:eastAsia="en-US"/>
        </w:rPr>
        <w:t>C</w:t>
      </w:r>
      <w:r w:rsidRPr="00D738B9">
        <w:rPr>
          <w:rFonts w:asciiTheme="minorHAnsi" w:hAnsiTheme="minorHAnsi" w:cstheme="minorHAnsi"/>
          <w:sz w:val="22"/>
          <w:szCs w:val="22"/>
          <w:lang w:eastAsia="en-US"/>
        </w:rPr>
        <w:t>onforme definido no Decreto-Lei n.º 65-A/2011, de 17 de maio</w:t>
      </w:r>
      <w:r>
        <w:rPr>
          <w:rFonts w:asciiTheme="minorHAnsi" w:hAnsiTheme="minorHAnsi" w:cstheme="minorHAnsi"/>
          <w:sz w:val="22"/>
          <w:szCs w:val="22"/>
          <w:lang w:eastAsia="en-US"/>
        </w:rPr>
        <w:t>,</w:t>
      </w:r>
      <w:r w:rsidRPr="00D738B9">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os </w:t>
      </w:r>
      <w:r w:rsidRPr="00D738B9">
        <w:rPr>
          <w:rFonts w:asciiTheme="minorHAnsi" w:hAnsiTheme="minorHAnsi" w:cstheme="minorHAnsi"/>
          <w:sz w:val="22"/>
          <w:szCs w:val="22"/>
          <w:lang w:eastAsia="en-US"/>
        </w:rPr>
        <w:t>atr</w:t>
      </w:r>
      <w:r>
        <w:rPr>
          <w:rFonts w:asciiTheme="minorHAnsi" w:hAnsiTheme="minorHAnsi" w:cstheme="minorHAnsi"/>
          <w:sz w:val="22"/>
          <w:szCs w:val="22"/>
          <w:lang w:eastAsia="en-US"/>
        </w:rPr>
        <w:t>asos da PARVALOREM, nos pagamentos (</w:t>
      </w:r>
      <w:proofErr w:type="spellStart"/>
      <w:r w:rsidRPr="008531AC">
        <w:rPr>
          <w:rFonts w:asciiTheme="minorHAnsi" w:hAnsiTheme="minorHAnsi" w:cstheme="minorHAnsi"/>
          <w:i/>
          <w:sz w:val="22"/>
          <w:szCs w:val="22"/>
          <w:lang w:eastAsia="en-US"/>
        </w:rPr>
        <w:t>arrears</w:t>
      </w:r>
      <w:proofErr w:type="spellEnd"/>
      <w:r>
        <w:rPr>
          <w:rFonts w:asciiTheme="minorHAnsi" w:hAnsiTheme="minorHAnsi" w:cstheme="minorHAnsi"/>
          <w:sz w:val="22"/>
          <w:szCs w:val="22"/>
          <w:lang w:eastAsia="en-US"/>
        </w:rPr>
        <w:t>), são os constantes do quadro seguinte:</w:t>
      </w:r>
    </w:p>
    <w:p w14:paraId="525AA831" w14:textId="77777777" w:rsidR="006D7C47" w:rsidRPr="00D04375" w:rsidRDefault="006D7C47" w:rsidP="006D7C47">
      <w:pPr>
        <w:rPr>
          <w:rFonts w:asciiTheme="minorHAnsi" w:hAnsiTheme="minorHAnsi" w:cstheme="minorHAnsi"/>
          <w:sz w:val="22"/>
          <w:szCs w:val="16"/>
        </w:rPr>
      </w:pPr>
    </w:p>
    <w:tbl>
      <w:tblPr>
        <w:tblW w:w="5000" w:type="pct"/>
        <w:jc w:val="center"/>
        <w:tblCellMar>
          <w:left w:w="70" w:type="dxa"/>
          <w:right w:w="70" w:type="dxa"/>
        </w:tblCellMar>
        <w:tblLook w:val="04A0" w:firstRow="1" w:lastRow="0" w:firstColumn="1" w:lastColumn="0" w:noHBand="0" w:noVBand="1"/>
      </w:tblPr>
      <w:tblGrid>
        <w:gridCol w:w="3538"/>
        <w:gridCol w:w="1170"/>
        <w:gridCol w:w="1228"/>
        <w:gridCol w:w="1210"/>
        <w:gridCol w:w="1208"/>
      </w:tblGrid>
      <w:tr w:rsidR="006D7C47" w:rsidRPr="00EF25DB" w14:paraId="5828190A" w14:textId="77777777" w:rsidTr="005379F8">
        <w:trPr>
          <w:trHeight w:val="261"/>
          <w:tblHeader/>
          <w:jc w:val="center"/>
        </w:trPr>
        <w:tc>
          <w:tcPr>
            <w:tcW w:w="2118" w:type="pct"/>
            <w:vMerge w:val="restart"/>
            <w:tcBorders>
              <w:top w:val="single" w:sz="4" w:space="0" w:color="FFFFFF"/>
              <w:left w:val="single" w:sz="4" w:space="0" w:color="FFFFFF"/>
              <w:bottom w:val="single" w:sz="4" w:space="0" w:color="FFFFFF"/>
              <w:right w:val="single" w:sz="4" w:space="0" w:color="FFFFFF"/>
            </w:tcBorders>
            <w:shd w:val="clear" w:color="auto" w:fill="8EAADB" w:themeFill="accent5" w:themeFillTint="99"/>
            <w:vAlign w:val="center"/>
            <w:hideMark/>
          </w:tcPr>
          <w:p w14:paraId="7AF35044" w14:textId="77777777" w:rsidR="006D7C47" w:rsidRPr="00D917F5" w:rsidRDefault="006D7C47" w:rsidP="005379F8">
            <w:pPr>
              <w:jc w:val="center"/>
              <w:rPr>
                <w:rFonts w:ascii="Calibri" w:hAnsi="Calibri" w:cs="Calibri"/>
                <w:b/>
                <w:bCs/>
                <w:color w:val="000000"/>
                <w:sz w:val="18"/>
                <w:szCs w:val="18"/>
              </w:rPr>
            </w:pPr>
            <w:r w:rsidRPr="00D917F5">
              <w:rPr>
                <w:rFonts w:ascii="Calibri" w:hAnsi="Calibri" w:cs="Calibri"/>
                <w:b/>
                <w:bCs/>
                <w:color w:val="000000"/>
                <w:sz w:val="18"/>
                <w:szCs w:val="18"/>
              </w:rPr>
              <w:t xml:space="preserve">Dívidas vencidas </w:t>
            </w:r>
          </w:p>
        </w:tc>
        <w:tc>
          <w:tcPr>
            <w:tcW w:w="700" w:type="pct"/>
            <w:tcBorders>
              <w:top w:val="single" w:sz="4" w:space="0" w:color="FFFFFF"/>
              <w:left w:val="nil"/>
              <w:bottom w:val="single" w:sz="4" w:space="0" w:color="FFFFFF"/>
              <w:right w:val="single" w:sz="4" w:space="0" w:color="FFFFFF"/>
            </w:tcBorders>
            <w:shd w:val="clear" w:color="auto" w:fill="8EAADB" w:themeFill="accent5" w:themeFillTint="99"/>
            <w:vAlign w:val="center"/>
            <w:hideMark/>
          </w:tcPr>
          <w:p w14:paraId="635B3331" w14:textId="77777777" w:rsidR="006D7C47" w:rsidRPr="00D917F5" w:rsidRDefault="006D7C47" w:rsidP="005379F8">
            <w:pPr>
              <w:jc w:val="center"/>
              <w:rPr>
                <w:rFonts w:ascii="Calibri" w:hAnsi="Calibri" w:cs="Calibri"/>
                <w:b/>
                <w:bCs/>
                <w:color w:val="000000"/>
                <w:sz w:val="18"/>
                <w:szCs w:val="18"/>
              </w:rPr>
            </w:pPr>
            <w:r w:rsidRPr="00D917F5">
              <w:rPr>
                <w:rFonts w:ascii="Calibri" w:hAnsi="Calibri" w:cs="Calibri"/>
                <w:b/>
                <w:bCs/>
                <w:color w:val="000000"/>
                <w:sz w:val="18"/>
                <w:szCs w:val="18"/>
              </w:rPr>
              <w:t>Valor (€)</w:t>
            </w:r>
          </w:p>
        </w:tc>
        <w:tc>
          <w:tcPr>
            <w:tcW w:w="2182" w:type="pct"/>
            <w:gridSpan w:val="3"/>
            <w:tcBorders>
              <w:top w:val="single" w:sz="4" w:space="0" w:color="FFFFFF"/>
              <w:left w:val="nil"/>
              <w:bottom w:val="single" w:sz="4" w:space="0" w:color="FFFFFF"/>
              <w:right w:val="single" w:sz="4" w:space="0" w:color="FFFFFF"/>
            </w:tcBorders>
            <w:shd w:val="clear" w:color="auto" w:fill="8EAADB" w:themeFill="accent5" w:themeFillTint="99"/>
            <w:vAlign w:val="center"/>
            <w:hideMark/>
          </w:tcPr>
          <w:p w14:paraId="3CC7CD9F" w14:textId="77777777" w:rsidR="006D7C47" w:rsidRPr="00D917F5" w:rsidRDefault="006D7C47" w:rsidP="005379F8">
            <w:pPr>
              <w:jc w:val="center"/>
              <w:rPr>
                <w:rFonts w:ascii="Calibri" w:hAnsi="Calibri" w:cs="Calibri"/>
                <w:b/>
                <w:bCs/>
                <w:color w:val="000000"/>
                <w:sz w:val="18"/>
                <w:szCs w:val="18"/>
              </w:rPr>
            </w:pPr>
            <w:r w:rsidRPr="00D917F5">
              <w:rPr>
                <w:rFonts w:ascii="Calibri" w:hAnsi="Calibri" w:cs="Calibri"/>
                <w:b/>
                <w:bCs/>
                <w:color w:val="000000"/>
                <w:sz w:val="18"/>
                <w:szCs w:val="18"/>
              </w:rPr>
              <w:t xml:space="preserve">Valor das dívidas vencidas de acordo com o </w:t>
            </w:r>
            <w:proofErr w:type="spellStart"/>
            <w:r w:rsidRPr="00D917F5">
              <w:rPr>
                <w:rFonts w:ascii="Calibri" w:hAnsi="Calibri" w:cs="Calibri"/>
                <w:b/>
                <w:bCs/>
                <w:color w:val="000000"/>
                <w:sz w:val="18"/>
                <w:szCs w:val="18"/>
              </w:rPr>
              <w:t>art</w:t>
            </w:r>
            <w:proofErr w:type="spellEnd"/>
            <w:r w:rsidRPr="00D917F5">
              <w:rPr>
                <w:rFonts w:ascii="Calibri" w:hAnsi="Calibri" w:cs="Calibri"/>
                <w:b/>
                <w:bCs/>
                <w:color w:val="000000"/>
                <w:sz w:val="18"/>
                <w:szCs w:val="18"/>
              </w:rPr>
              <w:t>º 1º DL 65-A/2011 (€)</w:t>
            </w:r>
          </w:p>
        </w:tc>
      </w:tr>
      <w:tr w:rsidR="006D7C47" w:rsidRPr="00EF25DB" w14:paraId="27721154" w14:textId="77777777" w:rsidTr="005379F8">
        <w:trPr>
          <w:trHeight w:val="235"/>
          <w:tblHeader/>
          <w:jc w:val="center"/>
        </w:trPr>
        <w:tc>
          <w:tcPr>
            <w:tcW w:w="2118" w:type="pct"/>
            <w:vMerge/>
            <w:tcBorders>
              <w:top w:val="single" w:sz="4" w:space="0" w:color="FFFFFF"/>
              <w:left w:val="single" w:sz="4" w:space="0" w:color="FFFFFF"/>
              <w:bottom w:val="single" w:sz="4" w:space="0" w:color="FFFFFF"/>
              <w:right w:val="single" w:sz="4" w:space="0" w:color="FFFFFF"/>
            </w:tcBorders>
            <w:shd w:val="clear" w:color="auto" w:fill="8EAADB" w:themeFill="accent5" w:themeFillTint="99"/>
            <w:vAlign w:val="center"/>
            <w:hideMark/>
          </w:tcPr>
          <w:p w14:paraId="15556B07" w14:textId="77777777" w:rsidR="006D7C47" w:rsidRPr="00D917F5" w:rsidRDefault="006D7C47" w:rsidP="005379F8">
            <w:pPr>
              <w:rPr>
                <w:rFonts w:ascii="Calibri" w:hAnsi="Calibri" w:cs="Calibri"/>
                <w:b/>
                <w:bCs/>
                <w:color w:val="000000"/>
                <w:sz w:val="18"/>
                <w:szCs w:val="18"/>
              </w:rPr>
            </w:pPr>
          </w:p>
        </w:tc>
        <w:tc>
          <w:tcPr>
            <w:tcW w:w="700" w:type="pct"/>
            <w:tcBorders>
              <w:top w:val="nil"/>
              <w:left w:val="nil"/>
              <w:bottom w:val="single" w:sz="4" w:space="0" w:color="FFFFFF"/>
              <w:right w:val="single" w:sz="4" w:space="0" w:color="FFFFFF"/>
            </w:tcBorders>
            <w:shd w:val="clear" w:color="auto" w:fill="8EAADB" w:themeFill="accent5" w:themeFillTint="99"/>
            <w:vAlign w:val="center"/>
            <w:hideMark/>
          </w:tcPr>
          <w:p w14:paraId="08F7AF95" w14:textId="77777777" w:rsidR="006D7C47" w:rsidRPr="00D917F5" w:rsidRDefault="006D7C47" w:rsidP="005379F8">
            <w:pPr>
              <w:jc w:val="center"/>
              <w:rPr>
                <w:rFonts w:ascii="Calibri" w:hAnsi="Calibri" w:cs="Calibri"/>
                <w:b/>
                <w:bCs/>
                <w:color w:val="000000"/>
                <w:sz w:val="18"/>
                <w:szCs w:val="18"/>
              </w:rPr>
            </w:pPr>
            <w:r w:rsidRPr="00D917F5">
              <w:rPr>
                <w:rFonts w:ascii="Calibri" w:hAnsi="Calibri" w:cs="Calibri"/>
                <w:b/>
                <w:bCs/>
                <w:color w:val="000000"/>
                <w:sz w:val="18"/>
                <w:szCs w:val="18"/>
              </w:rPr>
              <w:t xml:space="preserve">0-90 dias </w:t>
            </w:r>
          </w:p>
        </w:tc>
        <w:tc>
          <w:tcPr>
            <w:tcW w:w="735" w:type="pct"/>
            <w:tcBorders>
              <w:top w:val="nil"/>
              <w:left w:val="nil"/>
              <w:bottom w:val="single" w:sz="4" w:space="0" w:color="FFFFFF"/>
              <w:right w:val="single" w:sz="4" w:space="0" w:color="FFFFFF"/>
            </w:tcBorders>
            <w:shd w:val="clear" w:color="auto" w:fill="8EAADB" w:themeFill="accent5" w:themeFillTint="99"/>
            <w:vAlign w:val="center"/>
            <w:hideMark/>
          </w:tcPr>
          <w:p w14:paraId="211797E9" w14:textId="77777777" w:rsidR="006D7C47" w:rsidRPr="00D917F5" w:rsidRDefault="006D7C47" w:rsidP="005379F8">
            <w:pPr>
              <w:jc w:val="center"/>
              <w:rPr>
                <w:rFonts w:ascii="Calibri" w:hAnsi="Calibri" w:cs="Calibri"/>
                <w:b/>
                <w:bCs/>
                <w:color w:val="000000"/>
                <w:sz w:val="18"/>
                <w:szCs w:val="18"/>
              </w:rPr>
            </w:pPr>
            <w:r w:rsidRPr="00D917F5">
              <w:rPr>
                <w:rFonts w:ascii="Calibri" w:hAnsi="Calibri" w:cs="Calibri"/>
                <w:b/>
                <w:bCs/>
                <w:color w:val="000000"/>
                <w:sz w:val="18"/>
                <w:szCs w:val="18"/>
              </w:rPr>
              <w:t>90-180 dias</w:t>
            </w:r>
          </w:p>
        </w:tc>
        <w:tc>
          <w:tcPr>
            <w:tcW w:w="724" w:type="pct"/>
            <w:tcBorders>
              <w:top w:val="nil"/>
              <w:left w:val="nil"/>
              <w:bottom w:val="single" w:sz="4" w:space="0" w:color="FFFFFF"/>
              <w:right w:val="single" w:sz="4" w:space="0" w:color="FFFFFF"/>
            </w:tcBorders>
            <w:shd w:val="clear" w:color="auto" w:fill="8EAADB" w:themeFill="accent5" w:themeFillTint="99"/>
            <w:vAlign w:val="center"/>
            <w:hideMark/>
          </w:tcPr>
          <w:p w14:paraId="212B82A3" w14:textId="77777777" w:rsidR="006D7C47" w:rsidRPr="00D917F5" w:rsidRDefault="006D7C47" w:rsidP="005379F8">
            <w:pPr>
              <w:jc w:val="center"/>
              <w:rPr>
                <w:rFonts w:ascii="Calibri" w:hAnsi="Calibri" w:cs="Calibri"/>
                <w:b/>
                <w:bCs/>
                <w:color w:val="000000"/>
                <w:sz w:val="18"/>
                <w:szCs w:val="18"/>
              </w:rPr>
            </w:pPr>
            <w:r w:rsidRPr="00D917F5">
              <w:rPr>
                <w:rFonts w:ascii="Calibri" w:hAnsi="Calibri" w:cs="Calibri"/>
                <w:b/>
                <w:bCs/>
                <w:color w:val="000000"/>
                <w:sz w:val="18"/>
                <w:szCs w:val="18"/>
              </w:rPr>
              <w:t>180-365 dias</w:t>
            </w:r>
          </w:p>
        </w:tc>
        <w:tc>
          <w:tcPr>
            <w:tcW w:w="723" w:type="pct"/>
            <w:tcBorders>
              <w:top w:val="nil"/>
              <w:left w:val="nil"/>
              <w:bottom w:val="single" w:sz="4" w:space="0" w:color="FFFFFF"/>
              <w:right w:val="single" w:sz="4" w:space="0" w:color="FFFFFF"/>
            </w:tcBorders>
            <w:shd w:val="clear" w:color="auto" w:fill="8EAADB" w:themeFill="accent5" w:themeFillTint="99"/>
            <w:vAlign w:val="center"/>
            <w:hideMark/>
          </w:tcPr>
          <w:p w14:paraId="1D3F7B83" w14:textId="77777777" w:rsidR="006D7C47" w:rsidRPr="00D917F5" w:rsidRDefault="006D7C47" w:rsidP="005379F8">
            <w:pPr>
              <w:jc w:val="center"/>
              <w:rPr>
                <w:rFonts w:ascii="Calibri" w:hAnsi="Calibri" w:cs="Calibri"/>
                <w:b/>
                <w:bCs/>
                <w:color w:val="000000"/>
                <w:sz w:val="18"/>
                <w:szCs w:val="18"/>
              </w:rPr>
            </w:pPr>
            <w:r w:rsidRPr="00D917F5">
              <w:rPr>
                <w:rFonts w:ascii="Calibri" w:hAnsi="Calibri" w:cs="Calibri"/>
                <w:b/>
                <w:bCs/>
                <w:color w:val="000000"/>
                <w:sz w:val="18"/>
                <w:szCs w:val="18"/>
              </w:rPr>
              <w:t>&gt; 360 dias</w:t>
            </w:r>
          </w:p>
        </w:tc>
      </w:tr>
      <w:tr w:rsidR="006D7C47" w:rsidRPr="00EF25DB" w14:paraId="6B711951" w14:textId="77777777" w:rsidTr="005379F8">
        <w:trPr>
          <w:trHeight w:val="225"/>
          <w:jc w:val="center"/>
        </w:trPr>
        <w:tc>
          <w:tcPr>
            <w:tcW w:w="2118" w:type="pct"/>
            <w:tcBorders>
              <w:top w:val="nil"/>
              <w:left w:val="single" w:sz="4" w:space="0" w:color="FFFFFF"/>
              <w:bottom w:val="single" w:sz="4" w:space="0" w:color="FFFFFF"/>
              <w:right w:val="single" w:sz="4" w:space="0" w:color="FFFFFF"/>
            </w:tcBorders>
            <w:shd w:val="clear" w:color="auto" w:fill="D9E2F3" w:themeFill="accent5" w:themeFillTint="33"/>
            <w:noWrap/>
            <w:vAlign w:val="center"/>
            <w:hideMark/>
          </w:tcPr>
          <w:p w14:paraId="5E0F9AF5" w14:textId="77777777" w:rsidR="006D7C47" w:rsidRPr="00D917F5" w:rsidRDefault="006D7C47" w:rsidP="005379F8">
            <w:pPr>
              <w:rPr>
                <w:rFonts w:ascii="Calibri" w:hAnsi="Calibri" w:cs="Calibri"/>
                <w:color w:val="000000"/>
                <w:sz w:val="18"/>
                <w:szCs w:val="18"/>
              </w:rPr>
            </w:pPr>
            <w:r w:rsidRPr="00D917F5">
              <w:rPr>
                <w:rFonts w:ascii="Calibri" w:hAnsi="Calibri" w:cs="Calibri"/>
                <w:color w:val="000000"/>
                <w:sz w:val="18"/>
                <w:szCs w:val="18"/>
              </w:rPr>
              <w:t>Aquisições de bens e serviços</w:t>
            </w:r>
          </w:p>
        </w:tc>
        <w:tc>
          <w:tcPr>
            <w:tcW w:w="700" w:type="pct"/>
            <w:tcBorders>
              <w:top w:val="nil"/>
              <w:left w:val="nil"/>
              <w:bottom w:val="single" w:sz="4" w:space="0" w:color="FFFFFF"/>
              <w:right w:val="single" w:sz="4" w:space="0" w:color="FFFFFF"/>
            </w:tcBorders>
            <w:shd w:val="clear" w:color="auto" w:fill="D9E2F3" w:themeFill="accent5" w:themeFillTint="33"/>
            <w:noWrap/>
            <w:vAlign w:val="center"/>
            <w:hideMark/>
          </w:tcPr>
          <w:p w14:paraId="17B881DF" w14:textId="20EA6F0A" w:rsidR="006D7C47" w:rsidRPr="00D917F5" w:rsidRDefault="00BA5EF3" w:rsidP="005379F8">
            <w:pPr>
              <w:jc w:val="center"/>
              <w:rPr>
                <w:rFonts w:ascii="Calibri" w:hAnsi="Calibri" w:cs="Calibri"/>
                <w:color w:val="000000"/>
                <w:sz w:val="18"/>
                <w:szCs w:val="18"/>
                <w:highlight w:val="yellow"/>
              </w:rPr>
            </w:pPr>
            <w:r w:rsidRPr="00BA5EF3">
              <w:rPr>
                <w:rFonts w:ascii="Calibri" w:hAnsi="Calibri" w:cs="Calibri"/>
                <w:color w:val="000000"/>
                <w:sz w:val="18"/>
                <w:szCs w:val="18"/>
              </w:rPr>
              <w:t>37</w:t>
            </w:r>
            <w:r>
              <w:rPr>
                <w:rFonts w:ascii="Calibri" w:hAnsi="Calibri" w:cs="Calibri"/>
                <w:color w:val="000000"/>
                <w:sz w:val="18"/>
                <w:szCs w:val="18"/>
              </w:rPr>
              <w:t xml:space="preserve"> </w:t>
            </w:r>
            <w:r w:rsidRPr="00BA5EF3">
              <w:rPr>
                <w:rFonts w:ascii="Calibri" w:hAnsi="Calibri" w:cs="Calibri"/>
                <w:color w:val="000000"/>
                <w:sz w:val="18"/>
                <w:szCs w:val="18"/>
              </w:rPr>
              <w:t>41</w:t>
            </w:r>
            <w:r>
              <w:rPr>
                <w:rFonts w:ascii="Calibri" w:hAnsi="Calibri" w:cs="Calibri"/>
                <w:color w:val="000000"/>
                <w:sz w:val="18"/>
                <w:szCs w:val="18"/>
              </w:rPr>
              <w:t>2</w:t>
            </w:r>
          </w:p>
        </w:tc>
        <w:tc>
          <w:tcPr>
            <w:tcW w:w="735" w:type="pct"/>
            <w:tcBorders>
              <w:top w:val="nil"/>
              <w:left w:val="nil"/>
              <w:bottom w:val="single" w:sz="4" w:space="0" w:color="FFFFFF"/>
              <w:right w:val="single" w:sz="4" w:space="0" w:color="FFFFFF"/>
            </w:tcBorders>
            <w:shd w:val="clear" w:color="auto" w:fill="D9E2F3" w:themeFill="accent5" w:themeFillTint="33"/>
            <w:noWrap/>
            <w:vAlign w:val="center"/>
            <w:hideMark/>
          </w:tcPr>
          <w:p w14:paraId="1C5B0BD3" w14:textId="77777777" w:rsidR="006D7C47" w:rsidRPr="00D917F5" w:rsidRDefault="006D7C47" w:rsidP="005379F8">
            <w:pPr>
              <w:jc w:val="center"/>
              <w:rPr>
                <w:rFonts w:ascii="Calibri" w:hAnsi="Calibri" w:cs="Calibri"/>
                <w:color w:val="000000"/>
                <w:sz w:val="18"/>
                <w:szCs w:val="18"/>
              </w:rPr>
            </w:pPr>
          </w:p>
        </w:tc>
        <w:tc>
          <w:tcPr>
            <w:tcW w:w="724" w:type="pct"/>
            <w:tcBorders>
              <w:top w:val="nil"/>
              <w:left w:val="nil"/>
              <w:bottom w:val="single" w:sz="4" w:space="0" w:color="FFFFFF"/>
              <w:right w:val="single" w:sz="4" w:space="0" w:color="FFFFFF"/>
            </w:tcBorders>
            <w:shd w:val="clear" w:color="auto" w:fill="D9E2F3" w:themeFill="accent5" w:themeFillTint="33"/>
            <w:noWrap/>
            <w:vAlign w:val="center"/>
          </w:tcPr>
          <w:p w14:paraId="6BE15FE3" w14:textId="77777777" w:rsidR="006D7C47" w:rsidRPr="00D917F5" w:rsidRDefault="006D7C47" w:rsidP="005379F8">
            <w:pPr>
              <w:jc w:val="center"/>
              <w:rPr>
                <w:rFonts w:ascii="Calibri" w:hAnsi="Calibri" w:cs="Calibri"/>
                <w:color w:val="000000"/>
                <w:sz w:val="18"/>
                <w:szCs w:val="18"/>
              </w:rPr>
            </w:pPr>
          </w:p>
        </w:tc>
        <w:tc>
          <w:tcPr>
            <w:tcW w:w="723" w:type="pct"/>
            <w:tcBorders>
              <w:top w:val="nil"/>
              <w:left w:val="nil"/>
              <w:bottom w:val="single" w:sz="4" w:space="0" w:color="FFFFFF"/>
              <w:right w:val="single" w:sz="4" w:space="0" w:color="FFFFFF"/>
            </w:tcBorders>
            <w:shd w:val="clear" w:color="auto" w:fill="D9E2F3" w:themeFill="accent5" w:themeFillTint="33"/>
            <w:noWrap/>
            <w:vAlign w:val="center"/>
          </w:tcPr>
          <w:p w14:paraId="4028772F" w14:textId="77777777" w:rsidR="006D7C47" w:rsidRPr="00D917F5" w:rsidRDefault="006D7C47" w:rsidP="005379F8">
            <w:pPr>
              <w:rPr>
                <w:rFonts w:ascii="Calibri" w:hAnsi="Calibri" w:cs="Calibri"/>
                <w:color w:val="000000"/>
                <w:sz w:val="18"/>
                <w:szCs w:val="18"/>
              </w:rPr>
            </w:pPr>
          </w:p>
        </w:tc>
      </w:tr>
      <w:tr w:rsidR="006D7C47" w:rsidRPr="00EF25DB" w14:paraId="61D0F72F" w14:textId="77777777" w:rsidTr="005379F8">
        <w:trPr>
          <w:trHeight w:val="285"/>
          <w:jc w:val="center"/>
        </w:trPr>
        <w:tc>
          <w:tcPr>
            <w:tcW w:w="2118" w:type="pct"/>
            <w:tcBorders>
              <w:top w:val="nil"/>
              <w:left w:val="single" w:sz="4" w:space="0" w:color="FFFFFF"/>
              <w:bottom w:val="single" w:sz="4" w:space="0" w:color="FFFFFF"/>
              <w:right w:val="single" w:sz="4" w:space="0" w:color="FFFFFF"/>
            </w:tcBorders>
            <w:shd w:val="clear" w:color="auto" w:fill="D9E2F3" w:themeFill="accent5" w:themeFillTint="33"/>
            <w:noWrap/>
            <w:vAlign w:val="center"/>
            <w:hideMark/>
          </w:tcPr>
          <w:p w14:paraId="6CE5310F" w14:textId="77777777" w:rsidR="006D7C47" w:rsidRPr="00D917F5" w:rsidRDefault="006D7C47" w:rsidP="005379F8">
            <w:pPr>
              <w:rPr>
                <w:rFonts w:ascii="Calibri" w:hAnsi="Calibri" w:cs="Calibri"/>
                <w:color w:val="000000"/>
                <w:sz w:val="18"/>
                <w:szCs w:val="18"/>
              </w:rPr>
            </w:pPr>
            <w:r w:rsidRPr="00D917F5">
              <w:rPr>
                <w:rFonts w:ascii="Calibri" w:hAnsi="Calibri" w:cs="Calibri"/>
                <w:color w:val="000000"/>
                <w:sz w:val="18"/>
                <w:szCs w:val="18"/>
              </w:rPr>
              <w:t>Aquisições de capital</w:t>
            </w:r>
          </w:p>
        </w:tc>
        <w:tc>
          <w:tcPr>
            <w:tcW w:w="700" w:type="pct"/>
            <w:tcBorders>
              <w:top w:val="nil"/>
              <w:left w:val="nil"/>
              <w:bottom w:val="single" w:sz="4" w:space="0" w:color="FFFFFF"/>
              <w:right w:val="single" w:sz="4" w:space="0" w:color="FFFFFF"/>
            </w:tcBorders>
            <w:shd w:val="clear" w:color="auto" w:fill="D9E2F3" w:themeFill="accent5" w:themeFillTint="33"/>
            <w:noWrap/>
            <w:vAlign w:val="center"/>
            <w:hideMark/>
          </w:tcPr>
          <w:p w14:paraId="2F97F760" w14:textId="77777777" w:rsidR="006D7C47" w:rsidRPr="00D917F5" w:rsidRDefault="006D7C47" w:rsidP="005379F8">
            <w:pPr>
              <w:rPr>
                <w:rFonts w:ascii="Calibri" w:hAnsi="Calibri" w:cs="Calibri"/>
                <w:color w:val="000000"/>
                <w:sz w:val="18"/>
                <w:szCs w:val="18"/>
              </w:rPr>
            </w:pPr>
            <w:r w:rsidRPr="00D917F5">
              <w:rPr>
                <w:rFonts w:ascii="Calibri" w:hAnsi="Calibri" w:cs="Calibri"/>
                <w:color w:val="000000"/>
                <w:sz w:val="18"/>
                <w:szCs w:val="18"/>
              </w:rPr>
              <w:t> </w:t>
            </w:r>
          </w:p>
        </w:tc>
        <w:tc>
          <w:tcPr>
            <w:tcW w:w="735" w:type="pct"/>
            <w:tcBorders>
              <w:top w:val="nil"/>
              <w:left w:val="nil"/>
              <w:bottom w:val="single" w:sz="4" w:space="0" w:color="FFFFFF"/>
              <w:right w:val="single" w:sz="4" w:space="0" w:color="FFFFFF"/>
            </w:tcBorders>
            <w:shd w:val="clear" w:color="auto" w:fill="D9E2F3" w:themeFill="accent5" w:themeFillTint="33"/>
            <w:noWrap/>
            <w:vAlign w:val="center"/>
            <w:hideMark/>
          </w:tcPr>
          <w:p w14:paraId="73F9D924" w14:textId="77777777" w:rsidR="006D7C47" w:rsidRPr="00D917F5" w:rsidRDefault="006D7C47" w:rsidP="005379F8">
            <w:pPr>
              <w:rPr>
                <w:rFonts w:ascii="Calibri" w:hAnsi="Calibri" w:cs="Calibri"/>
                <w:color w:val="000000"/>
                <w:sz w:val="18"/>
                <w:szCs w:val="18"/>
              </w:rPr>
            </w:pPr>
            <w:r w:rsidRPr="00D917F5">
              <w:rPr>
                <w:rFonts w:ascii="Calibri" w:hAnsi="Calibri" w:cs="Calibri"/>
                <w:color w:val="000000"/>
                <w:sz w:val="18"/>
                <w:szCs w:val="18"/>
              </w:rPr>
              <w:t> </w:t>
            </w:r>
          </w:p>
        </w:tc>
        <w:tc>
          <w:tcPr>
            <w:tcW w:w="724" w:type="pct"/>
            <w:tcBorders>
              <w:top w:val="nil"/>
              <w:left w:val="nil"/>
              <w:bottom w:val="single" w:sz="4" w:space="0" w:color="FFFFFF"/>
              <w:right w:val="single" w:sz="4" w:space="0" w:color="FFFFFF"/>
            </w:tcBorders>
            <w:shd w:val="clear" w:color="auto" w:fill="D9E2F3" w:themeFill="accent5" w:themeFillTint="33"/>
            <w:noWrap/>
            <w:vAlign w:val="center"/>
            <w:hideMark/>
          </w:tcPr>
          <w:p w14:paraId="530C2DEB" w14:textId="77777777" w:rsidR="006D7C47" w:rsidRPr="00D917F5" w:rsidRDefault="006D7C47" w:rsidP="005379F8">
            <w:pPr>
              <w:rPr>
                <w:rFonts w:ascii="Calibri" w:hAnsi="Calibri" w:cs="Calibri"/>
                <w:color w:val="000000"/>
                <w:sz w:val="18"/>
                <w:szCs w:val="18"/>
              </w:rPr>
            </w:pPr>
            <w:r w:rsidRPr="00D917F5">
              <w:rPr>
                <w:rFonts w:ascii="Calibri" w:hAnsi="Calibri" w:cs="Calibri"/>
                <w:color w:val="000000"/>
                <w:sz w:val="18"/>
                <w:szCs w:val="18"/>
              </w:rPr>
              <w:t> </w:t>
            </w:r>
          </w:p>
        </w:tc>
        <w:tc>
          <w:tcPr>
            <w:tcW w:w="723" w:type="pct"/>
            <w:tcBorders>
              <w:top w:val="nil"/>
              <w:left w:val="nil"/>
              <w:bottom w:val="single" w:sz="4" w:space="0" w:color="FFFFFF"/>
              <w:right w:val="single" w:sz="4" w:space="0" w:color="FFFFFF"/>
            </w:tcBorders>
            <w:shd w:val="clear" w:color="auto" w:fill="D9E2F3" w:themeFill="accent5" w:themeFillTint="33"/>
            <w:noWrap/>
            <w:vAlign w:val="center"/>
            <w:hideMark/>
          </w:tcPr>
          <w:p w14:paraId="154A6352" w14:textId="77777777" w:rsidR="006D7C47" w:rsidRPr="00D917F5" w:rsidRDefault="006D7C47" w:rsidP="005379F8">
            <w:pPr>
              <w:rPr>
                <w:rFonts w:ascii="Calibri" w:hAnsi="Calibri" w:cs="Calibri"/>
                <w:color w:val="000000"/>
                <w:sz w:val="18"/>
                <w:szCs w:val="18"/>
              </w:rPr>
            </w:pPr>
            <w:r w:rsidRPr="00D917F5">
              <w:rPr>
                <w:rFonts w:ascii="Calibri" w:hAnsi="Calibri" w:cs="Calibri"/>
                <w:color w:val="000000"/>
                <w:sz w:val="18"/>
                <w:szCs w:val="18"/>
              </w:rPr>
              <w:t> </w:t>
            </w:r>
          </w:p>
        </w:tc>
      </w:tr>
      <w:tr w:rsidR="006D7C47" w:rsidRPr="00EF25DB" w14:paraId="572F7FE9" w14:textId="77777777" w:rsidTr="005379F8">
        <w:trPr>
          <w:trHeight w:val="275"/>
          <w:jc w:val="center"/>
        </w:trPr>
        <w:tc>
          <w:tcPr>
            <w:tcW w:w="2118" w:type="pct"/>
            <w:tcBorders>
              <w:top w:val="nil"/>
              <w:left w:val="single" w:sz="4" w:space="0" w:color="FFFFFF"/>
              <w:bottom w:val="single" w:sz="4" w:space="0" w:color="FFFFFF"/>
              <w:right w:val="single" w:sz="4" w:space="0" w:color="FFFFFF"/>
            </w:tcBorders>
            <w:shd w:val="clear" w:color="auto" w:fill="8EAADB" w:themeFill="accent5" w:themeFillTint="99"/>
            <w:vAlign w:val="center"/>
            <w:hideMark/>
          </w:tcPr>
          <w:p w14:paraId="28A7C155" w14:textId="77777777" w:rsidR="006D7C47" w:rsidRPr="00D917F5" w:rsidRDefault="006D7C47" w:rsidP="005379F8">
            <w:pPr>
              <w:jc w:val="center"/>
              <w:rPr>
                <w:rFonts w:ascii="Calibri" w:hAnsi="Calibri" w:cs="Calibri"/>
                <w:b/>
                <w:bCs/>
                <w:color w:val="000000"/>
                <w:sz w:val="18"/>
                <w:szCs w:val="18"/>
              </w:rPr>
            </w:pPr>
            <w:r w:rsidRPr="00D917F5">
              <w:rPr>
                <w:rFonts w:ascii="Calibri" w:hAnsi="Calibri" w:cs="Calibri"/>
                <w:b/>
                <w:bCs/>
                <w:color w:val="000000"/>
                <w:sz w:val="18"/>
                <w:szCs w:val="18"/>
              </w:rPr>
              <w:t>Total</w:t>
            </w:r>
          </w:p>
        </w:tc>
        <w:tc>
          <w:tcPr>
            <w:tcW w:w="700" w:type="pct"/>
            <w:tcBorders>
              <w:top w:val="nil"/>
              <w:left w:val="nil"/>
              <w:bottom w:val="single" w:sz="4" w:space="0" w:color="FFFFFF"/>
              <w:right w:val="single" w:sz="4" w:space="0" w:color="FFFFFF"/>
            </w:tcBorders>
            <w:shd w:val="clear" w:color="auto" w:fill="8EAADB" w:themeFill="accent5" w:themeFillTint="99"/>
            <w:noWrap/>
            <w:vAlign w:val="center"/>
            <w:hideMark/>
          </w:tcPr>
          <w:p w14:paraId="46B0AC00" w14:textId="77777777" w:rsidR="006D7C47" w:rsidRPr="00D917F5" w:rsidRDefault="006D7C47" w:rsidP="005379F8">
            <w:pPr>
              <w:jc w:val="center"/>
              <w:rPr>
                <w:rFonts w:ascii="Calibri" w:hAnsi="Calibri" w:cs="Calibri"/>
                <w:color w:val="000000"/>
                <w:sz w:val="18"/>
                <w:szCs w:val="18"/>
                <w:highlight w:val="yellow"/>
              </w:rPr>
            </w:pPr>
            <w:r w:rsidRPr="005D4BE6">
              <w:rPr>
                <w:rFonts w:ascii="Calibri" w:hAnsi="Calibri" w:cs="Calibri"/>
                <w:color w:val="000000"/>
                <w:sz w:val="18"/>
                <w:szCs w:val="18"/>
              </w:rPr>
              <w:t>4</w:t>
            </w:r>
            <w:r>
              <w:rPr>
                <w:rFonts w:ascii="Calibri" w:hAnsi="Calibri" w:cs="Calibri"/>
                <w:color w:val="000000"/>
                <w:sz w:val="18"/>
                <w:szCs w:val="18"/>
              </w:rPr>
              <w:t xml:space="preserve"> </w:t>
            </w:r>
            <w:r w:rsidRPr="005D4BE6">
              <w:rPr>
                <w:rFonts w:ascii="Calibri" w:hAnsi="Calibri" w:cs="Calibri"/>
                <w:color w:val="000000"/>
                <w:sz w:val="18"/>
                <w:szCs w:val="18"/>
              </w:rPr>
              <w:t>800,64</w:t>
            </w:r>
          </w:p>
        </w:tc>
        <w:tc>
          <w:tcPr>
            <w:tcW w:w="735" w:type="pct"/>
            <w:tcBorders>
              <w:top w:val="nil"/>
              <w:left w:val="nil"/>
              <w:bottom w:val="single" w:sz="4" w:space="0" w:color="FFFFFF"/>
              <w:right w:val="single" w:sz="4" w:space="0" w:color="FFFFFF"/>
            </w:tcBorders>
            <w:shd w:val="clear" w:color="auto" w:fill="8EAADB" w:themeFill="accent5" w:themeFillTint="99"/>
            <w:noWrap/>
            <w:vAlign w:val="center"/>
          </w:tcPr>
          <w:p w14:paraId="02C358D7" w14:textId="77777777" w:rsidR="006D7C47" w:rsidRPr="00D917F5" w:rsidRDefault="006D7C47" w:rsidP="005379F8">
            <w:pPr>
              <w:jc w:val="center"/>
              <w:rPr>
                <w:rFonts w:ascii="Calibri" w:hAnsi="Calibri" w:cs="Calibri"/>
                <w:color w:val="000000"/>
                <w:sz w:val="18"/>
                <w:szCs w:val="18"/>
              </w:rPr>
            </w:pPr>
            <w:r w:rsidRPr="00D917F5">
              <w:rPr>
                <w:rFonts w:ascii="Calibri" w:hAnsi="Calibri" w:cs="Calibri"/>
                <w:color w:val="000000"/>
                <w:sz w:val="18"/>
                <w:szCs w:val="18"/>
              </w:rPr>
              <w:t>-</w:t>
            </w:r>
          </w:p>
        </w:tc>
        <w:tc>
          <w:tcPr>
            <w:tcW w:w="724" w:type="pct"/>
            <w:tcBorders>
              <w:top w:val="nil"/>
              <w:left w:val="nil"/>
              <w:bottom w:val="single" w:sz="4" w:space="0" w:color="FFFFFF"/>
              <w:right w:val="single" w:sz="4" w:space="0" w:color="FFFFFF"/>
            </w:tcBorders>
            <w:shd w:val="clear" w:color="auto" w:fill="8EAADB" w:themeFill="accent5" w:themeFillTint="99"/>
            <w:noWrap/>
            <w:vAlign w:val="center"/>
          </w:tcPr>
          <w:p w14:paraId="1B33E59B" w14:textId="77777777" w:rsidR="006D7C47" w:rsidRPr="00D917F5" w:rsidRDefault="006D7C47" w:rsidP="005379F8">
            <w:pPr>
              <w:jc w:val="center"/>
              <w:rPr>
                <w:rFonts w:ascii="Calibri" w:hAnsi="Calibri" w:cs="Calibri"/>
                <w:color w:val="000000"/>
                <w:sz w:val="18"/>
                <w:szCs w:val="18"/>
              </w:rPr>
            </w:pPr>
            <w:r w:rsidRPr="00D917F5">
              <w:rPr>
                <w:rFonts w:ascii="Calibri" w:hAnsi="Calibri" w:cs="Calibri"/>
                <w:color w:val="000000"/>
                <w:sz w:val="18"/>
                <w:szCs w:val="18"/>
              </w:rPr>
              <w:t>-</w:t>
            </w:r>
          </w:p>
        </w:tc>
        <w:tc>
          <w:tcPr>
            <w:tcW w:w="723" w:type="pct"/>
            <w:tcBorders>
              <w:top w:val="nil"/>
              <w:left w:val="nil"/>
              <w:bottom w:val="single" w:sz="4" w:space="0" w:color="FFFFFF"/>
              <w:right w:val="single" w:sz="4" w:space="0" w:color="FFFFFF"/>
            </w:tcBorders>
            <w:shd w:val="clear" w:color="auto" w:fill="8EAADB" w:themeFill="accent5" w:themeFillTint="99"/>
            <w:noWrap/>
            <w:vAlign w:val="center"/>
            <w:hideMark/>
          </w:tcPr>
          <w:p w14:paraId="30FC3950" w14:textId="77777777" w:rsidR="006D7C47" w:rsidRPr="00D917F5" w:rsidRDefault="006D7C47" w:rsidP="005379F8">
            <w:pPr>
              <w:jc w:val="center"/>
              <w:rPr>
                <w:rFonts w:ascii="Calibri" w:hAnsi="Calibri" w:cs="Calibri"/>
                <w:color w:val="000000"/>
                <w:sz w:val="18"/>
                <w:szCs w:val="18"/>
              </w:rPr>
            </w:pPr>
            <w:r w:rsidRPr="00D917F5">
              <w:rPr>
                <w:rFonts w:ascii="Calibri" w:hAnsi="Calibri" w:cs="Calibri"/>
                <w:color w:val="000000"/>
                <w:sz w:val="18"/>
                <w:szCs w:val="18"/>
              </w:rPr>
              <w:t>-</w:t>
            </w:r>
          </w:p>
        </w:tc>
      </w:tr>
    </w:tbl>
    <w:p w14:paraId="544B0348" w14:textId="77777777" w:rsidR="006D7C47" w:rsidRPr="00EF25DB" w:rsidRDefault="006D7C47" w:rsidP="006D7C47">
      <w:pPr>
        <w:jc w:val="both"/>
        <w:rPr>
          <w:rFonts w:asciiTheme="minorHAnsi" w:hAnsiTheme="minorHAnsi" w:cstheme="minorHAnsi"/>
          <w:sz w:val="16"/>
          <w:szCs w:val="16"/>
          <w:lang w:eastAsia="en-US"/>
        </w:rPr>
      </w:pPr>
    </w:p>
    <w:p w14:paraId="5CC9C1BD" w14:textId="77777777" w:rsidR="006D7C47" w:rsidRDefault="006D7C47" w:rsidP="006D7C47">
      <w:pPr>
        <w:rPr>
          <w:rFonts w:asciiTheme="minorHAnsi" w:hAnsiTheme="minorHAnsi" w:cstheme="minorHAnsi"/>
          <w:b/>
          <w:sz w:val="22"/>
          <w:szCs w:val="22"/>
          <w:lang w:eastAsia="en-US"/>
        </w:rPr>
      </w:pPr>
      <w:bookmarkStart w:id="62" w:name="_Hlk44348249"/>
    </w:p>
    <w:p w14:paraId="2691DAE1" w14:textId="77777777" w:rsidR="008A0314" w:rsidRDefault="008A0314" w:rsidP="006D7C47">
      <w:pPr>
        <w:rPr>
          <w:rFonts w:asciiTheme="minorHAnsi" w:hAnsiTheme="minorHAnsi" w:cstheme="minorHAnsi"/>
          <w:b/>
          <w:sz w:val="22"/>
          <w:szCs w:val="22"/>
          <w:lang w:eastAsia="en-US"/>
        </w:rPr>
      </w:pPr>
    </w:p>
    <w:p w14:paraId="7F90025B" w14:textId="77777777" w:rsidR="009442B9" w:rsidRPr="005E02AB" w:rsidRDefault="009442B9" w:rsidP="009442B9">
      <w:pPr>
        <w:pStyle w:val="CorpotextoMP"/>
        <w:rPr>
          <w:rFonts w:asciiTheme="minorHAnsi" w:hAnsiTheme="minorHAnsi" w:cstheme="minorHAnsi"/>
          <w:b/>
          <w:sz w:val="22"/>
          <w:szCs w:val="22"/>
          <w:lang w:eastAsia="en-US"/>
        </w:rPr>
      </w:pPr>
      <w:r>
        <w:rPr>
          <w:rFonts w:asciiTheme="minorHAnsi" w:hAnsiTheme="minorHAnsi" w:cstheme="minorHAnsi"/>
          <w:b/>
          <w:sz w:val="22"/>
          <w:szCs w:val="22"/>
          <w:lang w:eastAsia="en-US"/>
        </w:rPr>
        <w:t xml:space="preserve">10. </w:t>
      </w:r>
      <w:r w:rsidRPr="005E02AB">
        <w:rPr>
          <w:rFonts w:asciiTheme="minorHAnsi" w:hAnsiTheme="minorHAnsi" w:cstheme="minorHAnsi"/>
          <w:b/>
          <w:sz w:val="22"/>
          <w:szCs w:val="22"/>
          <w:lang w:eastAsia="en-US"/>
        </w:rPr>
        <w:t xml:space="preserve">Estatuto de Gestor Público </w:t>
      </w:r>
      <w:r>
        <w:rPr>
          <w:rFonts w:asciiTheme="minorHAnsi" w:hAnsiTheme="minorHAnsi" w:cstheme="minorHAnsi"/>
          <w:b/>
          <w:sz w:val="22"/>
          <w:szCs w:val="22"/>
          <w:lang w:eastAsia="en-US"/>
        </w:rPr>
        <w:t>(EGP)</w:t>
      </w:r>
    </w:p>
    <w:p w14:paraId="52B75A7D" w14:textId="77777777" w:rsidR="009442B9" w:rsidRDefault="009442B9" w:rsidP="009442B9">
      <w:pPr>
        <w:rPr>
          <w:rFonts w:asciiTheme="minorHAnsi" w:hAnsiTheme="minorHAnsi" w:cstheme="minorHAnsi"/>
          <w:b/>
          <w:sz w:val="22"/>
          <w:szCs w:val="22"/>
          <w:lang w:eastAsia="en-US"/>
        </w:rPr>
      </w:pPr>
    </w:p>
    <w:p w14:paraId="5F1749F2" w14:textId="76D9D8F8" w:rsidR="009442B9" w:rsidRPr="00066508" w:rsidRDefault="009442B9" w:rsidP="009442B9">
      <w:pPr>
        <w:pStyle w:val="CorpotextoMP"/>
        <w:numPr>
          <w:ilvl w:val="0"/>
          <w:numId w:val="35"/>
        </w:numPr>
        <w:rPr>
          <w:rFonts w:asciiTheme="minorHAnsi" w:hAnsiTheme="minorHAnsi" w:cstheme="minorHAnsi"/>
          <w:b/>
          <w:sz w:val="22"/>
          <w:szCs w:val="22"/>
          <w:lang w:eastAsia="en-US"/>
        </w:rPr>
      </w:pPr>
      <w:r w:rsidRPr="00066508">
        <w:rPr>
          <w:rFonts w:asciiTheme="minorHAnsi" w:hAnsiTheme="minorHAnsi" w:cstheme="minorHAnsi"/>
          <w:b/>
          <w:sz w:val="22"/>
          <w:szCs w:val="22"/>
          <w:lang w:eastAsia="en-US"/>
        </w:rPr>
        <w:t>Objetivos de gestão</w:t>
      </w:r>
    </w:p>
    <w:p w14:paraId="1B7CAF45" w14:textId="77777777" w:rsidR="009442B9" w:rsidRDefault="009442B9" w:rsidP="009442B9">
      <w:pPr>
        <w:rPr>
          <w:rFonts w:asciiTheme="minorHAnsi" w:hAnsiTheme="minorHAnsi" w:cstheme="minorHAnsi"/>
          <w:sz w:val="22"/>
          <w:szCs w:val="22"/>
          <w:highlight w:val="yellow"/>
          <w:lang w:eastAsia="en-US"/>
        </w:rPr>
      </w:pPr>
    </w:p>
    <w:p w14:paraId="195CA231" w14:textId="77777777" w:rsidR="009442B9" w:rsidRPr="00F7464C" w:rsidRDefault="009442B9" w:rsidP="009442B9">
      <w:pPr>
        <w:jc w:val="both"/>
        <w:rPr>
          <w:rFonts w:asciiTheme="minorHAnsi" w:hAnsiTheme="minorHAnsi" w:cstheme="minorHAnsi"/>
          <w:sz w:val="22"/>
          <w:szCs w:val="22"/>
          <w:lang w:eastAsia="en-US"/>
        </w:rPr>
      </w:pPr>
      <w:r w:rsidRPr="00F7464C">
        <w:rPr>
          <w:rFonts w:asciiTheme="minorHAnsi" w:hAnsiTheme="minorHAnsi" w:cstheme="minorHAnsi"/>
          <w:sz w:val="22"/>
          <w:szCs w:val="22"/>
          <w:lang w:eastAsia="en-US"/>
        </w:rPr>
        <w:t>Conforme previsto no artigo 38º do Decreto-Lei n.º 133/2013, de 3 de outubro, que aprova o regime jurídico aplicável ao SEE, o acionista tem o dever de definir quer os objetivos e resultados a alcançar em cada ano e triénio, em especial os económicos e financeiros, quer as orientações a aplicar no desenvolvimento da atividade empresarial reportada a cada triénio.</w:t>
      </w:r>
    </w:p>
    <w:p w14:paraId="11C6E727" w14:textId="77777777" w:rsidR="009442B9" w:rsidRPr="00F7464C" w:rsidRDefault="009442B9" w:rsidP="009442B9">
      <w:pPr>
        <w:jc w:val="both"/>
        <w:rPr>
          <w:rFonts w:asciiTheme="minorHAnsi" w:hAnsiTheme="minorHAnsi" w:cstheme="minorHAnsi"/>
          <w:sz w:val="22"/>
          <w:szCs w:val="22"/>
          <w:lang w:eastAsia="en-US"/>
        </w:rPr>
      </w:pPr>
    </w:p>
    <w:p w14:paraId="169E833C" w14:textId="718F485E" w:rsidR="009442B9" w:rsidRPr="00F7464C" w:rsidRDefault="009442B9" w:rsidP="009442B9">
      <w:pPr>
        <w:jc w:val="both"/>
        <w:rPr>
          <w:rFonts w:asciiTheme="minorHAnsi" w:hAnsiTheme="minorHAnsi" w:cstheme="minorHAnsi"/>
          <w:sz w:val="22"/>
          <w:szCs w:val="22"/>
          <w:lang w:eastAsia="en-US"/>
        </w:rPr>
      </w:pPr>
      <w:r w:rsidRPr="00F7464C">
        <w:rPr>
          <w:rFonts w:asciiTheme="minorHAnsi" w:hAnsiTheme="minorHAnsi" w:cstheme="minorHAnsi"/>
          <w:sz w:val="22"/>
          <w:szCs w:val="22"/>
          <w:lang w:eastAsia="en-US"/>
        </w:rPr>
        <w:t>O ministério se</w:t>
      </w:r>
      <w:r>
        <w:rPr>
          <w:rFonts w:asciiTheme="minorHAnsi" w:hAnsiTheme="minorHAnsi" w:cstheme="minorHAnsi"/>
          <w:sz w:val="22"/>
          <w:szCs w:val="22"/>
          <w:lang w:eastAsia="en-US"/>
        </w:rPr>
        <w:t>c</w:t>
      </w:r>
      <w:r w:rsidRPr="00F7464C">
        <w:rPr>
          <w:rFonts w:asciiTheme="minorHAnsi" w:hAnsiTheme="minorHAnsi" w:cstheme="minorHAnsi"/>
          <w:sz w:val="22"/>
          <w:szCs w:val="22"/>
          <w:lang w:eastAsia="en-US"/>
        </w:rPr>
        <w:t>torialmente responsável pela Tutela da Sociedade deverá emitir as orientações específicas aplicadas a cada empresa e definir os objetivos a alcançar no exercício da respetiva atividade operacional. Relativamente ao triénio correspondente ao mandato de 202</w:t>
      </w:r>
      <w:r w:rsidR="00D803F7">
        <w:rPr>
          <w:rFonts w:asciiTheme="minorHAnsi" w:hAnsiTheme="minorHAnsi" w:cstheme="minorHAnsi"/>
          <w:sz w:val="22"/>
          <w:szCs w:val="22"/>
          <w:lang w:eastAsia="en-US"/>
        </w:rPr>
        <w:t>5</w:t>
      </w:r>
      <w:r w:rsidRPr="00F7464C">
        <w:rPr>
          <w:rFonts w:asciiTheme="minorHAnsi" w:hAnsiTheme="minorHAnsi" w:cstheme="minorHAnsi"/>
          <w:sz w:val="22"/>
          <w:szCs w:val="22"/>
          <w:lang w:eastAsia="en-US"/>
        </w:rPr>
        <w:t>-202</w:t>
      </w:r>
      <w:r w:rsidR="00D803F7">
        <w:rPr>
          <w:rFonts w:asciiTheme="minorHAnsi" w:hAnsiTheme="minorHAnsi" w:cstheme="minorHAnsi"/>
          <w:sz w:val="22"/>
          <w:szCs w:val="22"/>
          <w:lang w:eastAsia="en-US"/>
        </w:rPr>
        <w:t>7</w:t>
      </w:r>
      <w:r w:rsidRPr="00F7464C">
        <w:rPr>
          <w:rFonts w:asciiTheme="minorHAnsi" w:hAnsiTheme="minorHAnsi" w:cstheme="minorHAnsi"/>
          <w:sz w:val="22"/>
          <w:szCs w:val="22"/>
          <w:lang w:eastAsia="en-US"/>
        </w:rPr>
        <w:t>, os objetivos e métricas decorrem das orientações vertidas nos contratos de gestão já submetidos a apreciação, bem como as orientações que vêm sendo transmitidas em Assembleia Geral e pela Tutela na sequência das propostas que lhe são submetidas, assim como as orientações e objetivos definidos pela Tutela, a cada momento, para as empresas PAR, SEE e nos Orçamentos de Estado e Decreto-Lei da execução orçamental aprovados em cada ano.</w:t>
      </w:r>
    </w:p>
    <w:p w14:paraId="5A1D53E3" w14:textId="77777777" w:rsidR="009442B9" w:rsidRPr="00F7464C" w:rsidRDefault="009442B9" w:rsidP="009442B9">
      <w:pPr>
        <w:jc w:val="both"/>
        <w:rPr>
          <w:rFonts w:asciiTheme="minorHAnsi" w:hAnsiTheme="minorHAnsi" w:cstheme="minorHAnsi"/>
          <w:sz w:val="22"/>
          <w:szCs w:val="22"/>
          <w:lang w:eastAsia="en-US"/>
        </w:rPr>
      </w:pPr>
    </w:p>
    <w:p w14:paraId="3228030F" w14:textId="4A06F893" w:rsidR="009442B9" w:rsidRDefault="009442B9" w:rsidP="009442B9">
      <w:pPr>
        <w:jc w:val="both"/>
        <w:rPr>
          <w:rFonts w:asciiTheme="minorHAnsi" w:hAnsiTheme="minorHAnsi" w:cstheme="minorHAnsi"/>
          <w:sz w:val="22"/>
          <w:szCs w:val="22"/>
          <w:lang w:eastAsia="en-US"/>
        </w:rPr>
      </w:pPr>
      <w:r w:rsidRPr="00F7464C">
        <w:rPr>
          <w:rFonts w:asciiTheme="minorHAnsi" w:hAnsiTheme="minorHAnsi" w:cstheme="minorHAnsi"/>
          <w:sz w:val="22"/>
          <w:szCs w:val="22"/>
          <w:lang w:eastAsia="en-US"/>
        </w:rPr>
        <w:t>Assim, constituem objetivos estratégicos propostos para o triénio 202</w:t>
      </w:r>
      <w:r w:rsidR="003D188A">
        <w:rPr>
          <w:rFonts w:asciiTheme="minorHAnsi" w:hAnsiTheme="minorHAnsi" w:cstheme="minorHAnsi"/>
          <w:sz w:val="22"/>
          <w:szCs w:val="22"/>
          <w:lang w:eastAsia="en-US"/>
        </w:rPr>
        <w:t>5</w:t>
      </w:r>
      <w:r w:rsidRPr="00F7464C">
        <w:rPr>
          <w:rFonts w:asciiTheme="minorHAnsi" w:hAnsiTheme="minorHAnsi" w:cstheme="minorHAnsi"/>
          <w:sz w:val="22"/>
          <w:szCs w:val="22"/>
          <w:lang w:eastAsia="en-US"/>
        </w:rPr>
        <w:t>-202</w:t>
      </w:r>
      <w:r w:rsidR="003D188A">
        <w:rPr>
          <w:rFonts w:asciiTheme="minorHAnsi" w:hAnsiTheme="minorHAnsi" w:cstheme="minorHAnsi"/>
          <w:sz w:val="22"/>
          <w:szCs w:val="22"/>
          <w:lang w:eastAsia="en-US"/>
        </w:rPr>
        <w:t>7</w:t>
      </w:r>
      <w:r w:rsidRPr="00F7464C">
        <w:rPr>
          <w:rFonts w:asciiTheme="minorHAnsi" w:hAnsiTheme="minorHAnsi" w:cstheme="minorHAnsi"/>
          <w:sz w:val="22"/>
          <w:szCs w:val="22"/>
          <w:lang w:eastAsia="en-US"/>
        </w:rPr>
        <w:t>, com os respetivos ponderadores para efeitos de aferição do grau de cumprimento global dos objetivos:</w:t>
      </w:r>
    </w:p>
    <w:p w14:paraId="440A16E3" w14:textId="77777777" w:rsidR="009442B9" w:rsidRDefault="009442B9" w:rsidP="009442B9">
      <w:pPr>
        <w:pStyle w:val="efcorpodetextoRGS"/>
        <w:spacing w:line="240" w:lineRule="auto"/>
        <w:rPr>
          <w:i/>
          <w:iCs/>
          <w:color w:val="FF0000"/>
          <w:sz w:val="18"/>
          <w:szCs w:val="18"/>
        </w:rPr>
      </w:pPr>
    </w:p>
    <w:p w14:paraId="2C9D8838" w14:textId="087AEA2F" w:rsidR="00D803F7" w:rsidRDefault="00D803F7" w:rsidP="00D803F7"/>
    <w:tbl>
      <w:tblPr>
        <w:tblW w:w="8512" w:type="dxa"/>
        <w:tblCellMar>
          <w:left w:w="70" w:type="dxa"/>
          <w:right w:w="70" w:type="dxa"/>
        </w:tblCellMar>
        <w:tblLook w:val="04A0" w:firstRow="1" w:lastRow="0" w:firstColumn="1" w:lastColumn="0" w:noHBand="0" w:noVBand="1"/>
      </w:tblPr>
      <w:tblGrid>
        <w:gridCol w:w="146"/>
        <w:gridCol w:w="8220"/>
        <w:gridCol w:w="146"/>
      </w:tblGrid>
      <w:tr w:rsidR="00D803F7" w:rsidRPr="002A6FDB" w14:paraId="617F7FA3" w14:textId="77777777" w:rsidTr="00627E9C">
        <w:trPr>
          <w:gridAfter w:val="1"/>
          <w:wAfter w:w="146" w:type="dxa"/>
          <w:trHeight w:val="450"/>
          <w:tblHeader/>
        </w:trPr>
        <w:tc>
          <w:tcPr>
            <w:tcW w:w="8366" w:type="dxa"/>
            <w:gridSpan w:val="2"/>
            <w:vMerge w:val="restart"/>
            <w:tcBorders>
              <w:top w:val="nil"/>
              <w:left w:val="nil"/>
              <w:bottom w:val="nil"/>
            </w:tcBorders>
            <w:shd w:val="clear" w:color="auto" w:fill="8EAADB"/>
            <w:vAlign w:val="center"/>
            <w:hideMark/>
          </w:tcPr>
          <w:p w14:paraId="327F878A" w14:textId="77777777" w:rsidR="00D803F7" w:rsidRPr="00CE6A2D" w:rsidRDefault="00D803F7" w:rsidP="00862163">
            <w:pPr>
              <w:rPr>
                <w:rFonts w:ascii="Calibri" w:hAnsi="Calibri" w:cs="Calibri"/>
                <w:b/>
                <w:bCs/>
                <w:color w:val="FFFFFF"/>
                <w:sz w:val="20"/>
                <w:szCs w:val="20"/>
                <w:highlight w:val="yellow"/>
              </w:rPr>
            </w:pPr>
            <w:r w:rsidRPr="003D188A">
              <w:rPr>
                <w:rFonts w:ascii="Calibri" w:hAnsi="Calibri" w:cs="Calibri"/>
                <w:b/>
                <w:bCs/>
                <w:sz w:val="20"/>
                <w:szCs w:val="20"/>
              </w:rPr>
              <w:lastRenderedPageBreak/>
              <w:t>Objetivos e Metas Definidas</w:t>
            </w:r>
          </w:p>
        </w:tc>
      </w:tr>
      <w:tr w:rsidR="00D803F7" w:rsidRPr="002A6FDB" w14:paraId="64CFCE39" w14:textId="77777777" w:rsidTr="00627E9C">
        <w:trPr>
          <w:trHeight w:val="66"/>
        </w:trPr>
        <w:tc>
          <w:tcPr>
            <w:tcW w:w="8366" w:type="dxa"/>
            <w:gridSpan w:val="2"/>
            <w:vMerge/>
            <w:tcBorders>
              <w:top w:val="nil"/>
              <w:left w:val="nil"/>
              <w:bottom w:val="nil"/>
            </w:tcBorders>
            <w:shd w:val="clear" w:color="auto" w:fill="8EAADB"/>
            <w:vAlign w:val="center"/>
            <w:hideMark/>
          </w:tcPr>
          <w:p w14:paraId="73508D7E" w14:textId="77777777" w:rsidR="00D803F7" w:rsidRPr="00CE6A2D" w:rsidRDefault="00D803F7" w:rsidP="00862163">
            <w:pPr>
              <w:rPr>
                <w:rFonts w:ascii="Calibri" w:hAnsi="Calibri" w:cs="Calibri"/>
                <w:b/>
                <w:bCs/>
                <w:color w:val="FFFFFF"/>
                <w:sz w:val="20"/>
                <w:szCs w:val="20"/>
                <w:highlight w:val="yellow"/>
              </w:rPr>
            </w:pPr>
          </w:p>
        </w:tc>
        <w:tc>
          <w:tcPr>
            <w:tcW w:w="146" w:type="dxa"/>
            <w:tcBorders>
              <w:top w:val="nil"/>
              <w:left w:val="nil"/>
              <w:bottom w:val="nil"/>
              <w:right w:val="nil"/>
            </w:tcBorders>
            <w:noWrap/>
            <w:vAlign w:val="bottom"/>
            <w:hideMark/>
          </w:tcPr>
          <w:p w14:paraId="74510F95" w14:textId="77777777" w:rsidR="00D803F7" w:rsidRPr="002A6FDB" w:rsidRDefault="00D803F7" w:rsidP="00862163">
            <w:pPr>
              <w:rPr>
                <w:rFonts w:ascii="Calibri" w:hAnsi="Calibri" w:cs="Calibri"/>
                <w:b/>
                <w:bCs/>
                <w:color w:val="FFFFFF"/>
                <w:sz w:val="20"/>
                <w:szCs w:val="20"/>
                <w:highlight w:val="yellow"/>
              </w:rPr>
            </w:pPr>
          </w:p>
        </w:tc>
      </w:tr>
      <w:tr w:rsidR="00D803F7" w:rsidRPr="002A6FDB" w14:paraId="04AA5FF2" w14:textId="77777777" w:rsidTr="00627E9C">
        <w:trPr>
          <w:trHeight w:val="288"/>
        </w:trPr>
        <w:tc>
          <w:tcPr>
            <w:tcW w:w="146" w:type="dxa"/>
            <w:shd w:val="clear" w:color="auto" w:fill="D9E2F3"/>
            <w:hideMark/>
          </w:tcPr>
          <w:p w14:paraId="13274DBB" w14:textId="77777777" w:rsidR="00D803F7" w:rsidRPr="00413F17" w:rsidRDefault="00D803F7" w:rsidP="00862163">
            <w:pPr>
              <w:rPr>
                <w:rFonts w:ascii="Calibri" w:hAnsi="Calibri" w:cs="Calibri"/>
                <w:color w:val="000000"/>
                <w:sz w:val="18"/>
                <w:szCs w:val="18"/>
                <w:u w:val="single"/>
              </w:rPr>
            </w:pPr>
          </w:p>
        </w:tc>
        <w:tc>
          <w:tcPr>
            <w:tcW w:w="8220" w:type="dxa"/>
            <w:shd w:val="clear" w:color="auto" w:fill="D9E2F3"/>
            <w:hideMark/>
          </w:tcPr>
          <w:p w14:paraId="65DDBD6C" w14:textId="77777777" w:rsidR="00D803F7" w:rsidRPr="003D188A" w:rsidRDefault="00D803F7" w:rsidP="00862163">
            <w:pPr>
              <w:rPr>
                <w:rFonts w:ascii="Calibri" w:hAnsi="Calibri" w:cs="Calibri"/>
                <w:b/>
                <w:bCs/>
                <w:color w:val="000000"/>
                <w:sz w:val="18"/>
                <w:szCs w:val="18"/>
                <w:u w:val="single"/>
              </w:rPr>
            </w:pPr>
          </w:p>
          <w:tbl>
            <w:tblPr>
              <w:tblW w:w="8080" w:type="dxa"/>
              <w:tblBorders>
                <w:bottom w:val="single" w:sz="4" w:space="0" w:color="5B9BD5"/>
                <w:insideH w:val="single" w:sz="4" w:space="0" w:color="5B9BD5"/>
                <w:insideV w:val="single" w:sz="4" w:space="0" w:color="5B9BD5"/>
              </w:tblBorders>
              <w:shd w:val="clear" w:color="auto" w:fill="D9E2F3"/>
              <w:tblCellMar>
                <w:left w:w="70" w:type="dxa"/>
                <w:right w:w="70" w:type="dxa"/>
              </w:tblCellMar>
              <w:tblLook w:val="04A0" w:firstRow="1" w:lastRow="0" w:firstColumn="1" w:lastColumn="0" w:noHBand="0" w:noVBand="1"/>
            </w:tblPr>
            <w:tblGrid>
              <w:gridCol w:w="8080"/>
            </w:tblGrid>
            <w:tr w:rsidR="00D803F7" w:rsidRPr="003D188A" w14:paraId="7962F43D" w14:textId="77777777" w:rsidTr="00627E9C">
              <w:trPr>
                <w:trHeight w:val="300"/>
              </w:trPr>
              <w:tc>
                <w:tcPr>
                  <w:tcW w:w="8080" w:type="dxa"/>
                  <w:tcBorders>
                    <w:bottom w:val="nil"/>
                  </w:tcBorders>
                  <w:shd w:val="clear" w:color="auto" w:fill="D9E2F3"/>
                  <w:hideMark/>
                </w:tcPr>
                <w:p w14:paraId="06B8C4CF" w14:textId="77777777" w:rsidR="00D803F7" w:rsidRPr="003D188A" w:rsidRDefault="00D803F7" w:rsidP="003D188A">
                  <w:pPr>
                    <w:shd w:val="clear" w:color="auto" w:fill="D9E2F3"/>
                    <w:rPr>
                      <w:rFonts w:ascii="Calibri" w:hAnsi="Calibri" w:cs="Calibri"/>
                      <w:b/>
                      <w:bCs/>
                      <w:color w:val="000000"/>
                      <w:sz w:val="18"/>
                      <w:szCs w:val="18"/>
                      <w:u w:val="single"/>
                    </w:rPr>
                  </w:pPr>
                  <w:r w:rsidRPr="003D188A">
                    <w:rPr>
                      <w:rFonts w:ascii="Calibri" w:hAnsi="Calibri" w:cs="Calibri"/>
                      <w:b/>
                      <w:bCs/>
                      <w:color w:val="000000"/>
                      <w:sz w:val="18"/>
                      <w:szCs w:val="18"/>
                      <w:u w:val="single"/>
                    </w:rPr>
                    <w:t>Objetivos estratégicos:</w:t>
                  </w:r>
                </w:p>
              </w:tc>
            </w:tr>
            <w:tr w:rsidR="00D803F7" w:rsidRPr="003D188A" w14:paraId="2516E0BD" w14:textId="77777777" w:rsidTr="00627E9C">
              <w:trPr>
                <w:trHeight w:val="300"/>
              </w:trPr>
              <w:tc>
                <w:tcPr>
                  <w:tcW w:w="8080" w:type="dxa"/>
                  <w:tcBorders>
                    <w:top w:val="nil"/>
                    <w:bottom w:val="nil"/>
                  </w:tcBorders>
                  <w:shd w:val="clear" w:color="auto" w:fill="D9E2F3"/>
                  <w:hideMark/>
                </w:tcPr>
                <w:p w14:paraId="6440CD75" w14:textId="77777777" w:rsidR="00D803F7" w:rsidRPr="003D188A" w:rsidRDefault="00D803F7" w:rsidP="003D188A">
                  <w:pPr>
                    <w:shd w:val="clear" w:color="auto" w:fill="D9E2F3"/>
                    <w:ind w:firstLineChars="100" w:firstLine="180"/>
                    <w:rPr>
                      <w:rFonts w:ascii="Calibri" w:hAnsi="Calibri" w:cs="Calibri"/>
                      <w:color w:val="000000"/>
                      <w:sz w:val="18"/>
                      <w:szCs w:val="18"/>
                    </w:rPr>
                  </w:pPr>
                  <w:r w:rsidRPr="003D188A">
                    <w:rPr>
                      <w:rFonts w:ascii="Calibri" w:hAnsi="Calibri" w:cs="Calibri"/>
                      <w:color w:val="000000"/>
                      <w:sz w:val="18"/>
                      <w:szCs w:val="18"/>
                    </w:rPr>
                    <w:t xml:space="preserve">Lançamento de Plano de Rescisões </w:t>
                  </w:r>
                </w:p>
              </w:tc>
            </w:tr>
            <w:tr w:rsidR="00D803F7" w:rsidRPr="003D188A" w14:paraId="372C8519" w14:textId="77777777" w:rsidTr="00627E9C">
              <w:trPr>
                <w:trHeight w:val="300"/>
              </w:trPr>
              <w:tc>
                <w:tcPr>
                  <w:tcW w:w="8080" w:type="dxa"/>
                  <w:tcBorders>
                    <w:top w:val="nil"/>
                    <w:bottom w:val="nil"/>
                  </w:tcBorders>
                  <w:shd w:val="clear" w:color="auto" w:fill="D9E2F3"/>
                  <w:hideMark/>
                </w:tcPr>
                <w:p w14:paraId="79B88753" w14:textId="77777777" w:rsidR="00D803F7" w:rsidRPr="003D188A" w:rsidRDefault="00D803F7" w:rsidP="003D188A">
                  <w:pPr>
                    <w:shd w:val="clear" w:color="auto" w:fill="D9E2F3"/>
                    <w:ind w:firstLineChars="100" w:firstLine="180"/>
                    <w:rPr>
                      <w:rFonts w:ascii="Calibri" w:hAnsi="Calibri" w:cs="Calibri"/>
                      <w:color w:val="000000"/>
                      <w:sz w:val="18"/>
                      <w:szCs w:val="18"/>
                    </w:rPr>
                  </w:pPr>
                  <w:r w:rsidRPr="003D188A">
                    <w:rPr>
                      <w:rFonts w:ascii="Calibri" w:hAnsi="Calibri" w:cs="Calibri"/>
                      <w:color w:val="000000"/>
                      <w:sz w:val="18"/>
                      <w:szCs w:val="18"/>
                    </w:rPr>
                    <w:t>Preparação da Deliberação de Dissolução e Seleção de Assessores para Concursos</w:t>
                  </w:r>
                </w:p>
              </w:tc>
            </w:tr>
            <w:tr w:rsidR="00D803F7" w:rsidRPr="003D188A" w14:paraId="4E7D3BFB" w14:textId="77777777" w:rsidTr="00627E9C">
              <w:trPr>
                <w:trHeight w:val="300"/>
              </w:trPr>
              <w:tc>
                <w:tcPr>
                  <w:tcW w:w="8080" w:type="dxa"/>
                  <w:tcBorders>
                    <w:top w:val="nil"/>
                    <w:bottom w:val="nil"/>
                  </w:tcBorders>
                  <w:shd w:val="clear" w:color="auto" w:fill="D9E2F3"/>
                  <w:hideMark/>
                </w:tcPr>
                <w:p w14:paraId="41FAD2FE" w14:textId="77777777" w:rsidR="00D803F7" w:rsidRPr="003D188A" w:rsidRDefault="00D803F7" w:rsidP="003D188A">
                  <w:pPr>
                    <w:shd w:val="clear" w:color="auto" w:fill="D9E2F3"/>
                    <w:ind w:firstLineChars="100" w:firstLine="180"/>
                    <w:rPr>
                      <w:rFonts w:ascii="Calibri" w:hAnsi="Calibri" w:cs="Calibri"/>
                      <w:color w:val="000000"/>
                      <w:sz w:val="18"/>
                      <w:szCs w:val="18"/>
                    </w:rPr>
                  </w:pPr>
                  <w:r w:rsidRPr="003D188A">
                    <w:rPr>
                      <w:rFonts w:ascii="Calibri" w:hAnsi="Calibri" w:cs="Calibri"/>
                      <w:color w:val="000000"/>
                      <w:sz w:val="18"/>
                      <w:szCs w:val="18"/>
                    </w:rPr>
                    <w:t xml:space="preserve">Regularização de ativos e de reclassificação do valor bruto da carteira em balanço </w:t>
                  </w:r>
                </w:p>
              </w:tc>
            </w:tr>
            <w:tr w:rsidR="00D803F7" w:rsidRPr="003D188A" w14:paraId="13204F2B" w14:textId="77777777" w:rsidTr="00627E9C">
              <w:trPr>
                <w:trHeight w:val="300"/>
              </w:trPr>
              <w:tc>
                <w:tcPr>
                  <w:tcW w:w="8080" w:type="dxa"/>
                  <w:tcBorders>
                    <w:top w:val="nil"/>
                    <w:bottom w:val="nil"/>
                  </w:tcBorders>
                  <w:shd w:val="clear" w:color="auto" w:fill="D9E2F3"/>
                  <w:hideMark/>
                </w:tcPr>
                <w:p w14:paraId="3572E0A1" w14:textId="77777777" w:rsidR="00D803F7" w:rsidRPr="003D188A" w:rsidRDefault="00D803F7" w:rsidP="003D188A">
                  <w:pPr>
                    <w:shd w:val="clear" w:color="auto" w:fill="D9E2F3"/>
                    <w:ind w:firstLineChars="100" w:firstLine="180"/>
                    <w:rPr>
                      <w:rFonts w:ascii="Calibri" w:hAnsi="Calibri" w:cs="Calibri"/>
                      <w:color w:val="000000"/>
                      <w:sz w:val="18"/>
                      <w:szCs w:val="18"/>
                    </w:rPr>
                  </w:pPr>
                  <w:r w:rsidRPr="003D188A">
                    <w:rPr>
                      <w:rFonts w:ascii="Calibri" w:hAnsi="Calibri" w:cs="Calibri"/>
                      <w:color w:val="000000"/>
                      <w:sz w:val="18"/>
                      <w:szCs w:val="18"/>
                    </w:rPr>
                    <w:t>Aceleração da recuperação de crédito</w:t>
                  </w:r>
                </w:p>
              </w:tc>
            </w:tr>
            <w:tr w:rsidR="00D803F7" w:rsidRPr="003D188A" w14:paraId="169BDB1F" w14:textId="77777777" w:rsidTr="00627E9C">
              <w:trPr>
                <w:trHeight w:val="300"/>
              </w:trPr>
              <w:tc>
                <w:tcPr>
                  <w:tcW w:w="8080" w:type="dxa"/>
                  <w:tcBorders>
                    <w:top w:val="nil"/>
                    <w:bottom w:val="nil"/>
                  </w:tcBorders>
                  <w:shd w:val="clear" w:color="auto" w:fill="D9E2F3"/>
                  <w:hideMark/>
                </w:tcPr>
                <w:p w14:paraId="5989CD75" w14:textId="77777777" w:rsidR="00D803F7" w:rsidRPr="003D188A" w:rsidRDefault="00D803F7" w:rsidP="003D188A">
                  <w:pPr>
                    <w:shd w:val="clear" w:color="auto" w:fill="D9E2F3"/>
                    <w:ind w:firstLineChars="100" w:firstLine="180"/>
                    <w:rPr>
                      <w:rFonts w:ascii="Calibri" w:hAnsi="Calibri" w:cs="Calibri"/>
                      <w:color w:val="000000"/>
                      <w:sz w:val="18"/>
                      <w:szCs w:val="18"/>
                    </w:rPr>
                  </w:pPr>
                  <w:r w:rsidRPr="003D188A">
                    <w:rPr>
                      <w:rFonts w:ascii="Calibri" w:hAnsi="Calibri" w:cs="Calibri"/>
                      <w:color w:val="000000"/>
                      <w:sz w:val="18"/>
                      <w:szCs w:val="18"/>
                    </w:rPr>
                    <w:t>Alienação de imóveis</w:t>
                  </w:r>
                </w:p>
              </w:tc>
            </w:tr>
          </w:tbl>
          <w:p w14:paraId="7431F107" w14:textId="77777777" w:rsidR="00D803F7" w:rsidRPr="003D188A" w:rsidRDefault="00D803F7" w:rsidP="003D188A">
            <w:pPr>
              <w:shd w:val="clear" w:color="auto" w:fill="D9E2F3"/>
              <w:rPr>
                <w:rFonts w:ascii="Calibri" w:hAnsi="Calibri" w:cs="Calibri"/>
                <w:b/>
                <w:bCs/>
                <w:color w:val="000000"/>
                <w:sz w:val="18"/>
                <w:szCs w:val="18"/>
                <w:u w:val="single"/>
              </w:rPr>
            </w:pPr>
          </w:p>
          <w:tbl>
            <w:tblPr>
              <w:tblW w:w="8080" w:type="dxa"/>
              <w:tblBorders>
                <w:bottom w:val="single" w:sz="4" w:space="0" w:color="5B9BD5"/>
                <w:insideH w:val="single" w:sz="4" w:space="0" w:color="5B9BD5"/>
                <w:insideV w:val="single" w:sz="4" w:space="0" w:color="5B9BD5"/>
              </w:tblBorders>
              <w:shd w:val="clear" w:color="auto" w:fill="D9E2F3"/>
              <w:tblCellMar>
                <w:left w:w="70" w:type="dxa"/>
                <w:right w:w="70" w:type="dxa"/>
              </w:tblCellMar>
              <w:tblLook w:val="04A0" w:firstRow="1" w:lastRow="0" w:firstColumn="1" w:lastColumn="0" w:noHBand="0" w:noVBand="1"/>
            </w:tblPr>
            <w:tblGrid>
              <w:gridCol w:w="8080"/>
            </w:tblGrid>
            <w:tr w:rsidR="00D803F7" w:rsidRPr="003D188A" w14:paraId="6A3853DC" w14:textId="77777777" w:rsidTr="00627E9C">
              <w:trPr>
                <w:trHeight w:val="300"/>
              </w:trPr>
              <w:tc>
                <w:tcPr>
                  <w:tcW w:w="8080" w:type="dxa"/>
                  <w:tcBorders>
                    <w:bottom w:val="nil"/>
                  </w:tcBorders>
                  <w:shd w:val="clear" w:color="auto" w:fill="D9E2F3"/>
                  <w:hideMark/>
                </w:tcPr>
                <w:p w14:paraId="3AF87F4C" w14:textId="77777777" w:rsidR="00D803F7" w:rsidRPr="003D188A" w:rsidRDefault="00D803F7" w:rsidP="003D188A">
                  <w:pPr>
                    <w:shd w:val="clear" w:color="auto" w:fill="D9E2F3"/>
                    <w:rPr>
                      <w:rFonts w:ascii="Calibri" w:hAnsi="Calibri" w:cs="Calibri"/>
                      <w:b/>
                      <w:bCs/>
                      <w:color w:val="000000"/>
                      <w:sz w:val="18"/>
                      <w:szCs w:val="18"/>
                      <w:u w:val="single"/>
                    </w:rPr>
                  </w:pPr>
                  <w:r w:rsidRPr="003D188A">
                    <w:rPr>
                      <w:rFonts w:ascii="Calibri" w:hAnsi="Calibri" w:cs="Calibri"/>
                      <w:b/>
                      <w:bCs/>
                      <w:color w:val="000000"/>
                      <w:sz w:val="18"/>
                      <w:szCs w:val="18"/>
                      <w:u w:val="single"/>
                    </w:rPr>
                    <w:t>Objetivos setoriais:</w:t>
                  </w:r>
                </w:p>
              </w:tc>
            </w:tr>
            <w:tr w:rsidR="00D803F7" w:rsidRPr="003D188A" w14:paraId="31E4B089" w14:textId="77777777" w:rsidTr="00627E9C">
              <w:trPr>
                <w:trHeight w:val="300"/>
              </w:trPr>
              <w:tc>
                <w:tcPr>
                  <w:tcW w:w="8080" w:type="dxa"/>
                  <w:tcBorders>
                    <w:top w:val="nil"/>
                    <w:bottom w:val="nil"/>
                  </w:tcBorders>
                  <w:shd w:val="clear" w:color="auto" w:fill="D9E2F3"/>
                  <w:hideMark/>
                </w:tcPr>
                <w:p w14:paraId="0DF6032E" w14:textId="77777777" w:rsidR="00D803F7" w:rsidRPr="003D188A" w:rsidRDefault="00D803F7" w:rsidP="003D188A">
                  <w:pPr>
                    <w:shd w:val="clear" w:color="auto" w:fill="D9E2F3"/>
                    <w:ind w:firstLineChars="100" w:firstLine="180"/>
                    <w:rPr>
                      <w:rFonts w:ascii="Calibri" w:hAnsi="Calibri" w:cs="Calibri"/>
                      <w:color w:val="000000"/>
                      <w:sz w:val="18"/>
                      <w:szCs w:val="18"/>
                    </w:rPr>
                  </w:pPr>
                  <w:r w:rsidRPr="003D188A">
                    <w:rPr>
                      <w:rFonts w:ascii="Calibri" w:hAnsi="Calibri" w:cs="Calibri"/>
                      <w:color w:val="000000"/>
                      <w:sz w:val="18"/>
                      <w:szCs w:val="18"/>
                    </w:rPr>
                    <w:t>Redução dos FSE</w:t>
                  </w:r>
                </w:p>
              </w:tc>
            </w:tr>
            <w:tr w:rsidR="00D803F7" w:rsidRPr="003D188A" w14:paraId="3D7BFB98" w14:textId="77777777" w:rsidTr="00627E9C">
              <w:trPr>
                <w:trHeight w:val="300"/>
              </w:trPr>
              <w:tc>
                <w:tcPr>
                  <w:tcW w:w="8080" w:type="dxa"/>
                  <w:tcBorders>
                    <w:top w:val="nil"/>
                    <w:bottom w:val="nil"/>
                  </w:tcBorders>
                  <w:shd w:val="clear" w:color="auto" w:fill="D9E2F3"/>
                  <w:hideMark/>
                </w:tcPr>
                <w:p w14:paraId="2D5553C8" w14:textId="77777777" w:rsidR="00D803F7" w:rsidRPr="003D188A" w:rsidRDefault="00D803F7" w:rsidP="003D188A">
                  <w:pPr>
                    <w:shd w:val="clear" w:color="auto" w:fill="D9E2F3"/>
                    <w:ind w:firstLineChars="100" w:firstLine="180"/>
                    <w:rPr>
                      <w:rFonts w:ascii="Calibri" w:hAnsi="Calibri" w:cs="Calibri"/>
                      <w:color w:val="000000"/>
                      <w:sz w:val="18"/>
                      <w:szCs w:val="18"/>
                    </w:rPr>
                  </w:pPr>
                  <w:r w:rsidRPr="003D188A">
                    <w:rPr>
                      <w:rFonts w:ascii="Calibri" w:hAnsi="Calibri" w:cs="Calibri"/>
                      <w:color w:val="000000"/>
                      <w:sz w:val="18"/>
                      <w:szCs w:val="18"/>
                    </w:rPr>
                    <w:t>Variação do endividamento financeiro</w:t>
                  </w:r>
                </w:p>
              </w:tc>
            </w:tr>
            <w:tr w:rsidR="00D803F7" w:rsidRPr="003D188A" w14:paraId="53D2C987" w14:textId="77777777" w:rsidTr="00627E9C">
              <w:trPr>
                <w:trHeight w:val="300"/>
              </w:trPr>
              <w:tc>
                <w:tcPr>
                  <w:tcW w:w="8080" w:type="dxa"/>
                  <w:tcBorders>
                    <w:top w:val="nil"/>
                    <w:bottom w:val="nil"/>
                  </w:tcBorders>
                  <w:shd w:val="clear" w:color="auto" w:fill="D9E2F3"/>
                  <w:hideMark/>
                </w:tcPr>
                <w:p w14:paraId="586FCB30" w14:textId="77777777" w:rsidR="00D803F7" w:rsidRPr="003D188A" w:rsidRDefault="00D803F7" w:rsidP="003D188A">
                  <w:pPr>
                    <w:shd w:val="clear" w:color="auto" w:fill="D9E2F3"/>
                    <w:ind w:firstLineChars="100" w:firstLine="180"/>
                    <w:rPr>
                      <w:rFonts w:ascii="Calibri" w:hAnsi="Calibri" w:cs="Calibri"/>
                      <w:color w:val="000000"/>
                      <w:sz w:val="18"/>
                      <w:szCs w:val="18"/>
                    </w:rPr>
                  </w:pPr>
                  <w:r w:rsidRPr="003D188A">
                    <w:rPr>
                      <w:rFonts w:ascii="Calibri" w:hAnsi="Calibri" w:cs="Calibri"/>
                      <w:color w:val="000000"/>
                      <w:sz w:val="18"/>
                      <w:szCs w:val="18"/>
                    </w:rPr>
                    <w:t>Redução do consumo de combustíveis e de energia</w:t>
                  </w:r>
                </w:p>
              </w:tc>
            </w:tr>
          </w:tbl>
          <w:p w14:paraId="588A18C2" w14:textId="77777777" w:rsidR="00D803F7" w:rsidRPr="003D188A" w:rsidRDefault="00D803F7" w:rsidP="003D188A">
            <w:pPr>
              <w:shd w:val="clear" w:color="auto" w:fill="D9E2F3"/>
              <w:rPr>
                <w:rFonts w:ascii="Calibri" w:hAnsi="Calibri" w:cs="Calibri"/>
                <w:b/>
                <w:bCs/>
                <w:color w:val="000000"/>
                <w:sz w:val="18"/>
                <w:szCs w:val="18"/>
                <w:u w:val="single"/>
              </w:rPr>
            </w:pPr>
          </w:p>
          <w:tbl>
            <w:tblPr>
              <w:tblW w:w="8080" w:type="dxa"/>
              <w:shd w:val="clear" w:color="auto" w:fill="D9E2F3"/>
              <w:tblCellMar>
                <w:left w:w="70" w:type="dxa"/>
                <w:right w:w="70" w:type="dxa"/>
              </w:tblCellMar>
              <w:tblLook w:val="04A0" w:firstRow="1" w:lastRow="0" w:firstColumn="1" w:lastColumn="0" w:noHBand="0" w:noVBand="1"/>
            </w:tblPr>
            <w:tblGrid>
              <w:gridCol w:w="8080"/>
            </w:tblGrid>
            <w:tr w:rsidR="00D803F7" w:rsidRPr="003D188A" w14:paraId="12DC84F6" w14:textId="77777777" w:rsidTr="003D188A">
              <w:trPr>
                <w:trHeight w:val="300"/>
              </w:trPr>
              <w:tc>
                <w:tcPr>
                  <w:tcW w:w="8080" w:type="dxa"/>
                  <w:tcBorders>
                    <w:left w:val="nil"/>
                    <w:bottom w:val="nil"/>
                  </w:tcBorders>
                  <w:shd w:val="clear" w:color="auto" w:fill="D9E2F3"/>
                  <w:hideMark/>
                </w:tcPr>
                <w:p w14:paraId="44E4A6B7" w14:textId="77777777" w:rsidR="00D803F7" w:rsidRPr="003D188A" w:rsidRDefault="00D803F7" w:rsidP="003D188A">
                  <w:pPr>
                    <w:shd w:val="clear" w:color="auto" w:fill="D9E2F3"/>
                    <w:rPr>
                      <w:rFonts w:ascii="Calibri" w:hAnsi="Calibri" w:cs="Calibri"/>
                      <w:b/>
                      <w:bCs/>
                      <w:color w:val="000000"/>
                      <w:sz w:val="18"/>
                      <w:szCs w:val="18"/>
                      <w:u w:val="single"/>
                    </w:rPr>
                  </w:pPr>
                  <w:r w:rsidRPr="003D188A">
                    <w:rPr>
                      <w:rFonts w:ascii="Calibri" w:hAnsi="Calibri" w:cs="Calibri"/>
                      <w:b/>
                      <w:bCs/>
                      <w:color w:val="000000"/>
                      <w:sz w:val="18"/>
                      <w:szCs w:val="18"/>
                      <w:u w:val="single"/>
                    </w:rPr>
                    <w:t>Objetivos específicos:</w:t>
                  </w:r>
                </w:p>
              </w:tc>
            </w:tr>
            <w:tr w:rsidR="00D803F7" w:rsidRPr="003D188A" w14:paraId="7350BFAB" w14:textId="77777777" w:rsidTr="00627E9C">
              <w:trPr>
                <w:trHeight w:val="300"/>
              </w:trPr>
              <w:tc>
                <w:tcPr>
                  <w:tcW w:w="8080" w:type="dxa"/>
                  <w:tcBorders>
                    <w:top w:val="nil"/>
                    <w:left w:val="nil"/>
                  </w:tcBorders>
                  <w:shd w:val="clear" w:color="auto" w:fill="D9E2F3"/>
                  <w:hideMark/>
                </w:tcPr>
                <w:p w14:paraId="30E599F9" w14:textId="77777777" w:rsidR="00D803F7" w:rsidRPr="003D188A" w:rsidRDefault="00D803F7" w:rsidP="003D188A">
                  <w:pPr>
                    <w:shd w:val="clear" w:color="auto" w:fill="D9E2F3"/>
                    <w:rPr>
                      <w:rFonts w:ascii="Calibri" w:hAnsi="Calibri" w:cs="Calibri"/>
                      <w:color w:val="000000"/>
                      <w:sz w:val="18"/>
                      <w:szCs w:val="18"/>
                      <w:u w:val="single"/>
                    </w:rPr>
                  </w:pPr>
                  <w:r w:rsidRPr="003D188A">
                    <w:rPr>
                      <w:rFonts w:ascii="Calibri" w:hAnsi="Calibri" w:cs="Calibri"/>
                      <w:color w:val="000000"/>
                      <w:sz w:val="18"/>
                      <w:szCs w:val="18"/>
                      <w:u w:val="single"/>
                    </w:rPr>
                    <w:t>Indicador (Sofia Torres):</w:t>
                  </w:r>
                </w:p>
              </w:tc>
            </w:tr>
            <w:tr w:rsidR="00D803F7" w:rsidRPr="003D188A" w14:paraId="5A89ED13" w14:textId="77777777" w:rsidTr="00627E9C">
              <w:trPr>
                <w:trHeight w:val="300"/>
              </w:trPr>
              <w:tc>
                <w:tcPr>
                  <w:tcW w:w="8080" w:type="dxa"/>
                  <w:tcBorders>
                    <w:left w:val="nil"/>
                  </w:tcBorders>
                  <w:shd w:val="clear" w:color="auto" w:fill="D9E2F3"/>
                  <w:hideMark/>
                </w:tcPr>
                <w:p w14:paraId="7BD5F7A2" w14:textId="77777777" w:rsidR="00D803F7" w:rsidRPr="003D188A" w:rsidRDefault="00D803F7" w:rsidP="003D188A">
                  <w:pPr>
                    <w:shd w:val="clear" w:color="auto" w:fill="D9E2F3"/>
                    <w:ind w:firstLineChars="100" w:firstLine="180"/>
                    <w:rPr>
                      <w:rFonts w:ascii="Calibri" w:hAnsi="Calibri" w:cs="Calibri"/>
                      <w:color w:val="000000"/>
                      <w:sz w:val="18"/>
                      <w:szCs w:val="18"/>
                    </w:rPr>
                  </w:pPr>
                  <w:r w:rsidRPr="003D188A">
                    <w:rPr>
                      <w:rFonts w:ascii="Calibri" w:hAnsi="Calibri" w:cs="Calibri"/>
                      <w:color w:val="000000"/>
                      <w:sz w:val="18"/>
                      <w:szCs w:val="18"/>
                    </w:rPr>
                    <w:t>Redução dos custos com pessoal</w:t>
                  </w:r>
                </w:p>
              </w:tc>
            </w:tr>
            <w:tr w:rsidR="00D803F7" w:rsidRPr="003D188A" w14:paraId="01258E5B" w14:textId="77777777" w:rsidTr="00627E9C">
              <w:trPr>
                <w:trHeight w:val="165"/>
              </w:trPr>
              <w:tc>
                <w:tcPr>
                  <w:tcW w:w="8080" w:type="dxa"/>
                  <w:tcBorders>
                    <w:left w:val="nil"/>
                    <w:bottom w:val="nil"/>
                    <w:right w:val="nil"/>
                  </w:tcBorders>
                  <w:shd w:val="clear" w:color="auto" w:fill="D9E2F3"/>
                  <w:noWrap/>
                  <w:hideMark/>
                </w:tcPr>
                <w:p w14:paraId="7858C90A" w14:textId="77777777" w:rsidR="00D803F7" w:rsidRPr="003D188A" w:rsidRDefault="00D803F7" w:rsidP="003D188A">
                  <w:pPr>
                    <w:shd w:val="clear" w:color="auto" w:fill="D9E2F3"/>
                    <w:rPr>
                      <w:rFonts w:ascii="Calibri" w:hAnsi="Calibri" w:cs="Calibri"/>
                      <w:color w:val="000000"/>
                      <w:sz w:val="18"/>
                      <w:szCs w:val="18"/>
                    </w:rPr>
                  </w:pPr>
                  <w:r w:rsidRPr="003D188A">
                    <w:rPr>
                      <w:rFonts w:ascii="Calibri" w:hAnsi="Calibri" w:cs="Calibri"/>
                      <w:color w:val="000000"/>
                      <w:sz w:val="18"/>
                      <w:szCs w:val="18"/>
                    </w:rPr>
                    <w:t> </w:t>
                  </w:r>
                </w:p>
              </w:tc>
            </w:tr>
            <w:tr w:rsidR="00D803F7" w:rsidRPr="003D188A" w14:paraId="6DFA1EC0" w14:textId="77777777" w:rsidTr="00627E9C">
              <w:trPr>
                <w:trHeight w:val="300"/>
              </w:trPr>
              <w:tc>
                <w:tcPr>
                  <w:tcW w:w="8080" w:type="dxa"/>
                  <w:tcBorders>
                    <w:top w:val="nil"/>
                    <w:left w:val="nil"/>
                  </w:tcBorders>
                  <w:shd w:val="clear" w:color="auto" w:fill="D9E2F3"/>
                  <w:hideMark/>
                </w:tcPr>
                <w:p w14:paraId="18D2E724" w14:textId="77777777" w:rsidR="00D803F7" w:rsidRPr="003D188A" w:rsidRDefault="00D803F7" w:rsidP="003D188A">
                  <w:pPr>
                    <w:shd w:val="clear" w:color="auto" w:fill="D9E2F3"/>
                    <w:rPr>
                      <w:rFonts w:ascii="Calibri" w:hAnsi="Calibri" w:cs="Calibri"/>
                      <w:color w:val="000000"/>
                      <w:sz w:val="18"/>
                      <w:szCs w:val="18"/>
                      <w:u w:val="single"/>
                    </w:rPr>
                  </w:pPr>
                  <w:r w:rsidRPr="003D188A">
                    <w:rPr>
                      <w:rFonts w:ascii="Calibri" w:hAnsi="Calibri" w:cs="Calibri"/>
                      <w:color w:val="000000"/>
                      <w:sz w:val="18"/>
                      <w:szCs w:val="18"/>
                      <w:u w:val="single"/>
                    </w:rPr>
                    <w:t>Indicador (António José Duarte):</w:t>
                  </w:r>
                </w:p>
              </w:tc>
            </w:tr>
            <w:tr w:rsidR="00D803F7" w:rsidRPr="003D188A" w14:paraId="10448FF1" w14:textId="77777777" w:rsidTr="00627E9C">
              <w:trPr>
                <w:trHeight w:val="300"/>
              </w:trPr>
              <w:tc>
                <w:tcPr>
                  <w:tcW w:w="8080" w:type="dxa"/>
                  <w:tcBorders>
                    <w:left w:val="nil"/>
                  </w:tcBorders>
                  <w:shd w:val="clear" w:color="auto" w:fill="D9E2F3"/>
                  <w:hideMark/>
                </w:tcPr>
                <w:p w14:paraId="2F7AACD1" w14:textId="77777777" w:rsidR="00D803F7" w:rsidRPr="003D188A" w:rsidRDefault="00D803F7" w:rsidP="003D188A">
                  <w:pPr>
                    <w:shd w:val="clear" w:color="auto" w:fill="D9E2F3"/>
                    <w:ind w:firstLineChars="100" w:firstLine="180"/>
                    <w:rPr>
                      <w:rFonts w:ascii="Calibri" w:hAnsi="Calibri" w:cs="Calibri"/>
                      <w:color w:val="000000"/>
                      <w:sz w:val="18"/>
                      <w:szCs w:val="18"/>
                    </w:rPr>
                  </w:pPr>
                  <w:r w:rsidRPr="003D188A">
                    <w:rPr>
                      <w:rFonts w:ascii="Calibri" w:hAnsi="Calibri" w:cs="Calibri"/>
                      <w:color w:val="000000"/>
                      <w:sz w:val="18"/>
                      <w:szCs w:val="18"/>
                    </w:rPr>
                    <w:t>Recuperação da carteira de crédito em valores monetários</w:t>
                  </w:r>
                </w:p>
              </w:tc>
            </w:tr>
            <w:tr w:rsidR="00D803F7" w:rsidRPr="003D188A" w14:paraId="4F5C7088" w14:textId="77777777" w:rsidTr="00627E9C">
              <w:trPr>
                <w:trHeight w:val="180"/>
              </w:trPr>
              <w:tc>
                <w:tcPr>
                  <w:tcW w:w="8080" w:type="dxa"/>
                  <w:tcBorders>
                    <w:left w:val="nil"/>
                    <w:bottom w:val="nil"/>
                    <w:right w:val="nil"/>
                  </w:tcBorders>
                  <w:shd w:val="clear" w:color="auto" w:fill="D9E2F3"/>
                  <w:noWrap/>
                  <w:hideMark/>
                </w:tcPr>
                <w:p w14:paraId="3152C500" w14:textId="77777777" w:rsidR="00D803F7" w:rsidRPr="003D188A" w:rsidRDefault="00D803F7" w:rsidP="003D188A">
                  <w:pPr>
                    <w:shd w:val="clear" w:color="auto" w:fill="D9E2F3"/>
                    <w:rPr>
                      <w:rFonts w:ascii="Calibri" w:hAnsi="Calibri" w:cs="Calibri"/>
                      <w:color w:val="000000"/>
                      <w:sz w:val="18"/>
                      <w:szCs w:val="18"/>
                    </w:rPr>
                  </w:pPr>
                  <w:r w:rsidRPr="003D188A">
                    <w:rPr>
                      <w:rFonts w:ascii="Calibri" w:hAnsi="Calibri" w:cs="Calibri"/>
                      <w:color w:val="000000"/>
                      <w:sz w:val="18"/>
                      <w:szCs w:val="18"/>
                    </w:rPr>
                    <w:t> </w:t>
                  </w:r>
                </w:p>
              </w:tc>
            </w:tr>
            <w:tr w:rsidR="00D803F7" w:rsidRPr="003D188A" w14:paraId="06959A60" w14:textId="77777777" w:rsidTr="00627E9C">
              <w:trPr>
                <w:trHeight w:val="300"/>
              </w:trPr>
              <w:tc>
                <w:tcPr>
                  <w:tcW w:w="8080" w:type="dxa"/>
                  <w:tcBorders>
                    <w:top w:val="nil"/>
                    <w:left w:val="nil"/>
                  </w:tcBorders>
                  <w:shd w:val="clear" w:color="auto" w:fill="D9E2F3"/>
                  <w:hideMark/>
                </w:tcPr>
                <w:p w14:paraId="285601F3" w14:textId="460B73F5" w:rsidR="00D803F7" w:rsidRPr="003D188A" w:rsidRDefault="00D803F7" w:rsidP="003D188A">
                  <w:pPr>
                    <w:shd w:val="clear" w:color="auto" w:fill="D9E2F3"/>
                    <w:rPr>
                      <w:rFonts w:ascii="Calibri" w:hAnsi="Calibri" w:cs="Calibri"/>
                      <w:color w:val="000000"/>
                      <w:sz w:val="18"/>
                      <w:szCs w:val="18"/>
                      <w:u w:val="single"/>
                    </w:rPr>
                  </w:pPr>
                  <w:r w:rsidRPr="003D188A">
                    <w:rPr>
                      <w:rFonts w:ascii="Calibri" w:hAnsi="Calibri" w:cs="Calibri"/>
                      <w:color w:val="000000"/>
                      <w:sz w:val="18"/>
                      <w:szCs w:val="18"/>
                      <w:u w:val="single"/>
                    </w:rPr>
                    <w:t>Indicador (Joaquim Valente):</w:t>
                  </w:r>
                </w:p>
              </w:tc>
            </w:tr>
            <w:tr w:rsidR="00D803F7" w:rsidRPr="003D188A" w14:paraId="7FE3F944" w14:textId="77777777" w:rsidTr="00627E9C">
              <w:trPr>
                <w:trHeight w:val="300"/>
              </w:trPr>
              <w:tc>
                <w:tcPr>
                  <w:tcW w:w="8080" w:type="dxa"/>
                  <w:tcBorders>
                    <w:left w:val="nil"/>
                  </w:tcBorders>
                  <w:shd w:val="clear" w:color="auto" w:fill="D9E2F3"/>
                  <w:hideMark/>
                </w:tcPr>
                <w:p w14:paraId="34501936" w14:textId="77777777" w:rsidR="00D803F7" w:rsidRPr="003D188A" w:rsidRDefault="00D803F7" w:rsidP="003D188A">
                  <w:pPr>
                    <w:shd w:val="clear" w:color="auto" w:fill="D9E2F3"/>
                    <w:ind w:firstLineChars="100" w:firstLine="180"/>
                    <w:rPr>
                      <w:rFonts w:ascii="Calibri" w:hAnsi="Calibri" w:cs="Calibri"/>
                      <w:color w:val="000000"/>
                      <w:sz w:val="18"/>
                      <w:szCs w:val="18"/>
                    </w:rPr>
                  </w:pPr>
                  <w:r w:rsidRPr="003D188A">
                    <w:rPr>
                      <w:rFonts w:ascii="Calibri" w:hAnsi="Calibri" w:cs="Calibri"/>
                      <w:color w:val="000000"/>
                      <w:sz w:val="18"/>
                      <w:szCs w:val="18"/>
                    </w:rPr>
                    <w:t>Encaixe financeiro com carteira de imóveis</w:t>
                  </w:r>
                </w:p>
              </w:tc>
            </w:tr>
          </w:tbl>
          <w:p w14:paraId="67DE9EEF" w14:textId="77777777" w:rsidR="00D803F7" w:rsidRPr="003D188A" w:rsidRDefault="00D803F7" w:rsidP="00862163">
            <w:pPr>
              <w:rPr>
                <w:rFonts w:ascii="Calibri" w:hAnsi="Calibri" w:cs="Calibri"/>
                <w:color w:val="000000"/>
                <w:sz w:val="18"/>
                <w:szCs w:val="18"/>
                <w:u w:val="single"/>
              </w:rPr>
            </w:pPr>
          </w:p>
        </w:tc>
        <w:tc>
          <w:tcPr>
            <w:tcW w:w="146" w:type="dxa"/>
            <w:tcBorders>
              <w:left w:val="nil"/>
            </w:tcBorders>
            <w:vAlign w:val="center"/>
            <w:hideMark/>
          </w:tcPr>
          <w:p w14:paraId="62843321" w14:textId="77777777" w:rsidR="00D803F7" w:rsidRPr="00413F17" w:rsidRDefault="00D803F7" w:rsidP="00862163">
            <w:pPr>
              <w:rPr>
                <w:sz w:val="20"/>
                <w:szCs w:val="20"/>
              </w:rPr>
            </w:pPr>
          </w:p>
        </w:tc>
      </w:tr>
    </w:tbl>
    <w:p w14:paraId="61DE100C" w14:textId="77777777" w:rsidR="00D803F7" w:rsidRDefault="00D803F7" w:rsidP="00D803F7">
      <w:pPr>
        <w:jc w:val="both"/>
        <w:rPr>
          <w:rFonts w:cstheme="minorHAnsi"/>
        </w:rPr>
      </w:pPr>
    </w:p>
    <w:p w14:paraId="1F1A79B9" w14:textId="77777777" w:rsidR="00D803F7" w:rsidRPr="003D188A" w:rsidRDefault="00D803F7" w:rsidP="00D803F7">
      <w:pPr>
        <w:jc w:val="both"/>
        <w:rPr>
          <w:rFonts w:asciiTheme="minorHAnsi" w:hAnsiTheme="minorHAnsi" w:cstheme="minorHAnsi"/>
          <w:sz w:val="22"/>
          <w:szCs w:val="22"/>
          <w:lang w:eastAsia="en-US"/>
        </w:rPr>
      </w:pPr>
      <w:r w:rsidRPr="003D188A">
        <w:rPr>
          <w:rFonts w:asciiTheme="minorHAnsi" w:hAnsiTheme="minorHAnsi" w:cstheme="minorHAnsi"/>
          <w:sz w:val="22"/>
          <w:szCs w:val="22"/>
          <w:lang w:eastAsia="en-US"/>
        </w:rPr>
        <w:t xml:space="preserve">O grau de cumprimento dos objetivos definidos foi determinado nos termos da Portaria n.º 317-A/2021 de 23 de dezembro. </w:t>
      </w:r>
    </w:p>
    <w:p w14:paraId="5E5DE087" w14:textId="77777777" w:rsidR="003D188A" w:rsidRPr="003D188A" w:rsidRDefault="003D188A" w:rsidP="00D803F7">
      <w:pPr>
        <w:pStyle w:val="efcorpodetextoRGS"/>
        <w:rPr>
          <w:rFonts w:eastAsia="Times New Roman"/>
          <w:kern w:val="0"/>
        </w:rPr>
      </w:pPr>
    </w:p>
    <w:p w14:paraId="55BC6E1F" w14:textId="6E76CB30" w:rsidR="00D803F7" w:rsidRPr="003D188A" w:rsidRDefault="00D803F7" w:rsidP="00D803F7">
      <w:pPr>
        <w:pStyle w:val="efcorpodetextoRGS"/>
        <w:rPr>
          <w:rFonts w:eastAsia="Times New Roman"/>
          <w:kern w:val="0"/>
        </w:rPr>
      </w:pPr>
      <w:r w:rsidRPr="003D188A">
        <w:rPr>
          <w:rFonts w:eastAsia="Times New Roman"/>
          <w:kern w:val="0"/>
        </w:rPr>
        <w:t>O grau de cumprimento dos objetivos para 2025 foi, relativamente a cada Gestor, positivo.</w:t>
      </w:r>
    </w:p>
    <w:p w14:paraId="38D972C7" w14:textId="77777777" w:rsidR="00D803F7" w:rsidRPr="003D188A" w:rsidRDefault="00D803F7" w:rsidP="00D803F7">
      <w:pPr>
        <w:spacing w:line="276" w:lineRule="auto"/>
        <w:rPr>
          <w:rFonts w:asciiTheme="minorHAnsi" w:hAnsiTheme="minorHAnsi" w:cstheme="minorHAnsi"/>
          <w:sz w:val="22"/>
          <w:szCs w:val="22"/>
          <w:lang w:eastAsia="en-US"/>
        </w:rPr>
      </w:pPr>
    </w:p>
    <w:p w14:paraId="1E49A1DC" w14:textId="77777777" w:rsidR="009442B9" w:rsidRDefault="009442B9" w:rsidP="009442B9">
      <w:pPr>
        <w:rPr>
          <w:rFonts w:asciiTheme="minorHAnsi" w:hAnsiTheme="minorHAnsi" w:cstheme="minorHAnsi"/>
          <w:b/>
          <w:sz w:val="22"/>
          <w:szCs w:val="22"/>
          <w:lang w:eastAsia="en-US"/>
        </w:rPr>
      </w:pPr>
    </w:p>
    <w:p w14:paraId="09D328ED" w14:textId="77777777" w:rsidR="009442B9" w:rsidRPr="005E02AB" w:rsidRDefault="009442B9" w:rsidP="009442B9">
      <w:pPr>
        <w:pStyle w:val="CorpotextoMP"/>
        <w:numPr>
          <w:ilvl w:val="0"/>
          <w:numId w:val="35"/>
        </w:numPr>
        <w:rPr>
          <w:rFonts w:asciiTheme="minorHAnsi" w:hAnsiTheme="minorHAnsi" w:cstheme="minorHAnsi"/>
          <w:b/>
          <w:sz w:val="22"/>
          <w:szCs w:val="22"/>
          <w:lang w:eastAsia="en-US"/>
        </w:rPr>
      </w:pPr>
      <w:r w:rsidRPr="005E02AB">
        <w:rPr>
          <w:rFonts w:asciiTheme="minorHAnsi" w:hAnsiTheme="minorHAnsi" w:cstheme="minorHAnsi"/>
          <w:b/>
          <w:sz w:val="22"/>
          <w:szCs w:val="22"/>
          <w:lang w:eastAsia="en-US"/>
        </w:rPr>
        <w:t>Artigo</w:t>
      </w:r>
      <w:r>
        <w:rPr>
          <w:rFonts w:asciiTheme="minorHAnsi" w:hAnsiTheme="minorHAnsi" w:cstheme="minorHAnsi"/>
          <w:b/>
          <w:sz w:val="22"/>
          <w:szCs w:val="22"/>
          <w:lang w:eastAsia="en-US"/>
        </w:rPr>
        <w:t>s</w:t>
      </w:r>
      <w:r w:rsidRPr="005E02AB">
        <w:rPr>
          <w:rFonts w:asciiTheme="minorHAnsi" w:hAnsiTheme="minorHAnsi" w:cstheme="minorHAnsi"/>
          <w:b/>
          <w:sz w:val="22"/>
          <w:szCs w:val="22"/>
          <w:lang w:eastAsia="en-US"/>
        </w:rPr>
        <w:t xml:space="preserve"> 32.º e 33º do </w:t>
      </w:r>
      <w:r>
        <w:rPr>
          <w:rFonts w:asciiTheme="minorHAnsi" w:hAnsiTheme="minorHAnsi" w:cstheme="minorHAnsi"/>
          <w:b/>
          <w:sz w:val="22"/>
          <w:szCs w:val="22"/>
          <w:lang w:eastAsia="en-US"/>
        </w:rPr>
        <w:t>EGP</w:t>
      </w:r>
      <w:r w:rsidRPr="005E02AB">
        <w:rPr>
          <w:rFonts w:asciiTheme="minorHAnsi" w:hAnsiTheme="minorHAnsi" w:cstheme="minorHAnsi"/>
          <w:b/>
          <w:sz w:val="22"/>
          <w:szCs w:val="22"/>
          <w:lang w:eastAsia="en-US"/>
        </w:rPr>
        <w:t xml:space="preserve"> </w:t>
      </w:r>
    </w:p>
    <w:p w14:paraId="04D5C1D3" w14:textId="77777777" w:rsidR="009442B9" w:rsidRPr="00144581" w:rsidRDefault="009442B9" w:rsidP="009442B9">
      <w:pPr>
        <w:pStyle w:val="PargrafodaLista"/>
        <w:ind w:left="360"/>
        <w:jc w:val="both"/>
        <w:rPr>
          <w:rFonts w:asciiTheme="minorHAnsi" w:hAnsiTheme="minorHAnsi" w:cstheme="minorHAnsi"/>
          <w:sz w:val="16"/>
          <w:szCs w:val="16"/>
          <w:lang w:eastAsia="en-US"/>
        </w:rPr>
      </w:pPr>
    </w:p>
    <w:tbl>
      <w:tblPr>
        <w:tblW w:w="4664" w:type="pct"/>
        <w:jc w:val="center"/>
        <w:tblCellMar>
          <w:left w:w="70" w:type="dxa"/>
          <w:right w:w="70" w:type="dxa"/>
        </w:tblCellMar>
        <w:tblLook w:val="04A0" w:firstRow="1" w:lastRow="0" w:firstColumn="1" w:lastColumn="0" w:noHBand="0" w:noVBand="1"/>
      </w:tblPr>
      <w:tblGrid>
        <w:gridCol w:w="4397"/>
        <w:gridCol w:w="567"/>
        <w:gridCol w:w="566"/>
        <w:gridCol w:w="709"/>
        <w:gridCol w:w="1554"/>
      </w:tblGrid>
      <w:tr w:rsidR="009442B9" w:rsidRPr="00A6262B" w14:paraId="5DA317C7" w14:textId="77777777" w:rsidTr="009442B9">
        <w:trPr>
          <w:trHeight w:val="227"/>
          <w:tblHeader/>
          <w:jc w:val="center"/>
        </w:trPr>
        <w:tc>
          <w:tcPr>
            <w:tcW w:w="2821" w:type="pct"/>
            <w:vMerge w:val="restart"/>
            <w:tcBorders>
              <w:top w:val="single" w:sz="4" w:space="0" w:color="FFFFFF"/>
              <w:left w:val="single" w:sz="4" w:space="0" w:color="FFFFFF"/>
              <w:bottom w:val="single" w:sz="4" w:space="0" w:color="FFFFFF"/>
              <w:right w:val="single" w:sz="4" w:space="0" w:color="FFFFFF"/>
            </w:tcBorders>
            <w:shd w:val="clear" w:color="auto" w:fill="8EAADB" w:themeFill="accent5" w:themeFillTint="99"/>
            <w:vAlign w:val="center"/>
            <w:hideMark/>
          </w:tcPr>
          <w:p w14:paraId="17797832" w14:textId="77777777" w:rsidR="009442B9" w:rsidRPr="00A6262B" w:rsidRDefault="009442B9" w:rsidP="00F53A31">
            <w:pPr>
              <w:jc w:val="center"/>
              <w:rPr>
                <w:rFonts w:ascii="Calibri" w:hAnsi="Calibri" w:cs="Calibri"/>
                <w:b/>
                <w:bCs/>
                <w:sz w:val="18"/>
                <w:szCs w:val="18"/>
              </w:rPr>
            </w:pPr>
            <w:r w:rsidRPr="00A6262B">
              <w:rPr>
                <w:rFonts w:ascii="Calibri" w:hAnsi="Calibri" w:cs="Calibri"/>
                <w:b/>
                <w:bCs/>
                <w:sz w:val="18"/>
                <w:szCs w:val="18"/>
              </w:rPr>
              <w:t>Cumprimento das Orientações Legais</w:t>
            </w:r>
          </w:p>
        </w:tc>
        <w:tc>
          <w:tcPr>
            <w:tcW w:w="1182" w:type="pct"/>
            <w:gridSpan w:val="3"/>
            <w:tcBorders>
              <w:top w:val="single" w:sz="4" w:space="0" w:color="FFFFFF"/>
              <w:left w:val="nil"/>
              <w:bottom w:val="single" w:sz="4" w:space="0" w:color="FFFFFF"/>
              <w:right w:val="nil"/>
            </w:tcBorders>
            <w:shd w:val="clear" w:color="auto" w:fill="8EAADB" w:themeFill="accent5" w:themeFillTint="99"/>
            <w:vAlign w:val="center"/>
            <w:hideMark/>
          </w:tcPr>
          <w:p w14:paraId="2A04E703" w14:textId="77777777" w:rsidR="009442B9" w:rsidRPr="00A6262B" w:rsidRDefault="009442B9" w:rsidP="00F53A31">
            <w:pPr>
              <w:jc w:val="center"/>
              <w:rPr>
                <w:rFonts w:ascii="Calibri" w:hAnsi="Calibri" w:cs="Calibri"/>
                <w:b/>
                <w:bCs/>
                <w:color w:val="000000"/>
                <w:sz w:val="18"/>
                <w:szCs w:val="18"/>
              </w:rPr>
            </w:pPr>
            <w:r w:rsidRPr="00A6262B">
              <w:rPr>
                <w:rFonts w:ascii="Calibri" w:hAnsi="Calibri" w:cs="Calibri"/>
                <w:b/>
                <w:bCs/>
                <w:color w:val="000000"/>
                <w:sz w:val="18"/>
                <w:szCs w:val="18"/>
              </w:rPr>
              <w:t>Cumprido</w:t>
            </w:r>
          </w:p>
        </w:tc>
        <w:tc>
          <w:tcPr>
            <w:tcW w:w="997" w:type="pct"/>
            <w:vMerge w:val="restart"/>
            <w:tcBorders>
              <w:top w:val="single" w:sz="4" w:space="0" w:color="FFFFFF"/>
              <w:left w:val="single" w:sz="4" w:space="0" w:color="FFFFFF"/>
              <w:bottom w:val="single" w:sz="4" w:space="0" w:color="FFFFFF"/>
              <w:right w:val="single" w:sz="4" w:space="0" w:color="FFFFFF"/>
            </w:tcBorders>
            <w:shd w:val="clear" w:color="auto" w:fill="8EAADB" w:themeFill="accent5" w:themeFillTint="99"/>
            <w:vAlign w:val="center"/>
            <w:hideMark/>
          </w:tcPr>
          <w:p w14:paraId="191F378F" w14:textId="77777777" w:rsidR="009442B9" w:rsidRPr="00A6262B" w:rsidRDefault="009442B9" w:rsidP="00F53A31">
            <w:pPr>
              <w:jc w:val="center"/>
              <w:rPr>
                <w:rFonts w:ascii="Calibri" w:hAnsi="Calibri" w:cs="Calibri"/>
                <w:b/>
                <w:bCs/>
                <w:color w:val="000000"/>
                <w:sz w:val="18"/>
                <w:szCs w:val="18"/>
              </w:rPr>
            </w:pPr>
            <w:r w:rsidRPr="00A6262B">
              <w:rPr>
                <w:rFonts w:ascii="Calibri" w:hAnsi="Calibri" w:cs="Calibri"/>
                <w:b/>
                <w:bCs/>
                <w:color w:val="000000"/>
                <w:sz w:val="18"/>
                <w:szCs w:val="18"/>
              </w:rPr>
              <w:t>Justificação</w:t>
            </w:r>
          </w:p>
        </w:tc>
      </w:tr>
      <w:tr w:rsidR="009442B9" w:rsidRPr="00A6262B" w14:paraId="2973D551" w14:textId="77777777" w:rsidTr="009442B9">
        <w:trPr>
          <w:trHeight w:val="227"/>
          <w:tblHeader/>
          <w:jc w:val="center"/>
        </w:trPr>
        <w:tc>
          <w:tcPr>
            <w:tcW w:w="2821" w:type="pct"/>
            <w:vMerge/>
            <w:tcBorders>
              <w:top w:val="single" w:sz="4" w:space="0" w:color="FFFFFF"/>
              <w:left w:val="single" w:sz="4" w:space="0" w:color="FFFFFF"/>
              <w:bottom w:val="single" w:sz="4" w:space="0" w:color="FFFFFF"/>
              <w:right w:val="single" w:sz="4" w:space="0" w:color="FFFFFF"/>
            </w:tcBorders>
            <w:shd w:val="clear" w:color="auto" w:fill="8EAADB" w:themeFill="accent5" w:themeFillTint="99"/>
            <w:vAlign w:val="center"/>
            <w:hideMark/>
          </w:tcPr>
          <w:p w14:paraId="54D41B49" w14:textId="77777777" w:rsidR="009442B9" w:rsidRPr="00A6262B" w:rsidRDefault="009442B9" w:rsidP="00F53A31">
            <w:pPr>
              <w:rPr>
                <w:rFonts w:ascii="Calibri" w:hAnsi="Calibri" w:cs="Calibri"/>
                <w:b/>
                <w:bCs/>
                <w:color w:val="000000"/>
                <w:sz w:val="18"/>
                <w:szCs w:val="18"/>
              </w:rPr>
            </w:pPr>
          </w:p>
        </w:tc>
        <w:tc>
          <w:tcPr>
            <w:tcW w:w="364" w:type="pct"/>
            <w:tcBorders>
              <w:top w:val="single" w:sz="4" w:space="0" w:color="FFFFFF"/>
              <w:left w:val="nil"/>
              <w:bottom w:val="single" w:sz="4" w:space="0" w:color="FFFFFF"/>
              <w:right w:val="single" w:sz="4" w:space="0" w:color="FFFFFF"/>
            </w:tcBorders>
            <w:shd w:val="clear" w:color="auto" w:fill="8EAADB" w:themeFill="accent5" w:themeFillTint="99"/>
            <w:vAlign w:val="center"/>
            <w:hideMark/>
          </w:tcPr>
          <w:p w14:paraId="6827B23C" w14:textId="77777777" w:rsidR="009442B9" w:rsidRPr="00A6262B" w:rsidRDefault="009442B9" w:rsidP="00F53A31">
            <w:pPr>
              <w:jc w:val="center"/>
              <w:rPr>
                <w:rFonts w:ascii="Calibri" w:hAnsi="Calibri" w:cs="Calibri"/>
                <w:b/>
                <w:bCs/>
                <w:color w:val="000000"/>
                <w:sz w:val="18"/>
                <w:szCs w:val="18"/>
              </w:rPr>
            </w:pPr>
            <w:r w:rsidRPr="00A6262B">
              <w:rPr>
                <w:rFonts w:ascii="Calibri" w:hAnsi="Calibri" w:cs="Calibri"/>
                <w:b/>
                <w:bCs/>
                <w:color w:val="000000"/>
                <w:sz w:val="18"/>
                <w:szCs w:val="18"/>
              </w:rPr>
              <w:t>Sim</w:t>
            </w:r>
          </w:p>
        </w:tc>
        <w:tc>
          <w:tcPr>
            <w:tcW w:w="363" w:type="pct"/>
            <w:tcBorders>
              <w:top w:val="single" w:sz="4" w:space="0" w:color="FFFFFF"/>
              <w:left w:val="nil"/>
              <w:bottom w:val="single" w:sz="4" w:space="0" w:color="FFFFFF"/>
              <w:right w:val="single" w:sz="4" w:space="0" w:color="FFFFFF"/>
            </w:tcBorders>
            <w:shd w:val="clear" w:color="auto" w:fill="8EAADB" w:themeFill="accent5" w:themeFillTint="99"/>
            <w:vAlign w:val="center"/>
            <w:hideMark/>
          </w:tcPr>
          <w:p w14:paraId="55ED8528" w14:textId="77777777" w:rsidR="009442B9" w:rsidRPr="00A6262B" w:rsidRDefault="009442B9" w:rsidP="00F53A31">
            <w:pPr>
              <w:jc w:val="center"/>
              <w:rPr>
                <w:rFonts w:ascii="Calibri" w:hAnsi="Calibri" w:cs="Calibri"/>
                <w:b/>
                <w:bCs/>
                <w:color w:val="000000"/>
                <w:sz w:val="18"/>
                <w:szCs w:val="18"/>
              </w:rPr>
            </w:pPr>
            <w:r w:rsidRPr="00A6262B">
              <w:rPr>
                <w:rFonts w:ascii="Calibri" w:hAnsi="Calibri" w:cs="Calibri"/>
                <w:b/>
                <w:bCs/>
                <w:color w:val="000000"/>
                <w:sz w:val="18"/>
                <w:szCs w:val="18"/>
              </w:rPr>
              <w:t>Não</w:t>
            </w:r>
          </w:p>
        </w:tc>
        <w:tc>
          <w:tcPr>
            <w:tcW w:w="455" w:type="pct"/>
            <w:tcBorders>
              <w:top w:val="single" w:sz="4" w:space="0" w:color="FFFFFF"/>
              <w:left w:val="nil"/>
              <w:bottom w:val="single" w:sz="4" w:space="0" w:color="FFFFFF"/>
              <w:right w:val="single" w:sz="4" w:space="0" w:color="FFFFFF"/>
            </w:tcBorders>
            <w:shd w:val="clear" w:color="auto" w:fill="8EAADB" w:themeFill="accent5" w:themeFillTint="99"/>
            <w:vAlign w:val="center"/>
            <w:hideMark/>
          </w:tcPr>
          <w:p w14:paraId="141A35D0" w14:textId="77777777" w:rsidR="009442B9" w:rsidRPr="00A6262B" w:rsidRDefault="009442B9" w:rsidP="00F53A31">
            <w:pPr>
              <w:jc w:val="center"/>
              <w:rPr>
                <w:rFonts w:ascii="Calibri" w:hAnsi="Calibri" w:cs="Calibri"/>
                <w:b/>
                <w:bCs/>
                <w:color w:val="000000"/>
                <w:sz w:val="18"/>
                <w:szCs w:val="18"/>
              </w:rPr>
            </w:pPr>
            <w:r w:rsidRPr="00A6262B">
              <w:rPr>
                <w:rFonts w:ascii="Calibri" w:hAnsi="Calibri" w:cs="Calibri"/>
                <w:b/>
                <w:bCs/>
                <w:color w:val="000000"/>
                <w:sz w:val="18"/>
                <w:szCs w:val="18"/>
              </w:rPr>
              <w:t>N. A.</w:t>
            </w:r>
          </w:p>
        </w:tc>
        <w:tc>
          <w:tcPr>
            <w:tcW w:w="997" w:type="pct"/>
            <w:vMerge/>
            <w:tcBorders>
              <w:top w:val="nil"/>
              <w:left w:val="single" w:sz="4" w:space="0" w:color="FFFFFF"/>
              <w:bottom w:val="single" w:sz="4" w:space="0" w:color="FFFFFF"/>
              <w:right w:val="single" w:sz="4" w:space="0" w:color="FFFFFF"/>
            </w:tcBorders>
            <w:shd w:val="clear" w:color="auto" w:fill="9CC2E5" w:themeFill="accent1" w:themeFillTint="99"/>
            <w:vAlign w:val="center"/>
            <w:hideMark/>
          </w:tcPr>
          <w:p w14:paraId="4C8F1DB7" w14:textId="77777777" w:rsidR="009442B9" w:rsidRPr="00A6262B" w:rsidRDefault="009442B9" w:rsidP="00F53A31">
            <w:pPr>
              <w:rPr>
                <w:rFonts w:ascii="Calibri" w:hAnsi="Calibri" w:cs="Calibri"/>
                <w:b/>
                <w:bCs/>
                <w:color w:val="000000"/>
                <w:sz w:val="18"/>
                <w:szCs w:val="18"/>
              </w:rPr>
            </w:pPr>
          </w:p>
        </w:tc>
      </w:tr>
      <w:tr w:rsidR="009442B9" w:rsidRPr="00A6262B" w14:paraId="54AAF39C" w14:textId="77777777" w:rsidTr="009442B9">
        <w:trPr>
          <w:trHeight w:val="724"/>
          <w:jc w:val="center"/>
        </w:trPr>
        <w:tc>
          <w:tcPr>
            <w:tcW w:w="2821" w:type="pct"/>
            <w:tcBorders>
              <w:top w:val="nil"/>
              <w:left w:val="single" w:sz="4" w:space="0" w:color="FFFFFF"/>
              <w:bottom w:val="single" w:sz="4" w:space="0" w:color="FFFFFF"/>
              <w:right w:val="single" w:sz="4" w:space="0" w:color="FFFFFF"/>
            </w:tcBorders>
            <w:shd w:val="clear" w:color="auto" w:fill="D9E2F3" w:themeFill="accent5" w:themeFillTint="33"/>
            <w:vAlign w:val="center"/>
            <w:hideMark/>
          </w:tcPr>
          <w:p w14:paraId="5BCB441D" w14:textId="77777777" w:rsidR="009442B9" w:rsidRPr="00A6262B" w:rsidRDefault="009442B9" w:rsidP="00F53A31">
            <w:pPr>
              <w:spacing w:before="60"/>
              <w:jc w:val="both"/>
              <w:rPr>
                <w:rFonts w:ascii="Calibri" w:hAnsi="Calibri" w:cs="Calibri"/>
                <w:color w:val="000000"/>
                <w:sz w:val="18"/>
                <w:szCs w:val="18"/>
              </w:rPr>
            </w:pPr>
            <w:r w:rsidRPr="00A6262B">
              <w:rPr>
                <w:rFonts w:ascii="Calibri" w:hAnsi="Calibri" w:cs="Calibri"/>
                <w:b/>
                <w:bCs/>
                <w:color w:val="000000"/>
                <w:sz w:val="18"/>
                <w:szCs w:val="18"/>
              </w:rPr>
              <w:t>Conselho de Administração</w:t>
            </w:r>
            <w:r w:rsidRPr="00A6262B">
              <w:rPr>
                <w:rFonts w:ascii="Calibri" w:hAnsi="Calibri" w:cs="Calibri"/>
                <w:color w:val="000000"/>
                <w:sz w:val="18"/>
                <w:szCs w:val="18"/>
              </w:rPr>
              <w:t xml:space="preserve"> – </w:t>
            </w:r>
            <w:proofErr w:type="gramStart"/>
            <w:r w:rsidRPr="00A6262B">
              <w:rPr>
                <w:rFonts w:ascii="Calibri" w:hAnsi="Calibri" w:cs="Calibri"/>
                <w:color w:val="000000"/>
                <w:sz w:val="18"/>
                <w:szCs w:val="18"/>
              </w:rPr>
              <w:t>Não</w:t>
            </w:r>
            <w:proofErr w:type="gramEnd"/>
            <w:r w:rsidRPr="00A6262B">
              <w:rPr>
                <w:rFonts w:ascii="Calibri" w:hAnsi="Calibri" w:cs="Calibri"/>
                <w:color w:val="000000"/>
                <w:sz w:val="18"/>
                <w:szCs w:val="18"/>
              </w:rPr>
              <w:t xml:space="preserve"> utilização de cartões de crédito nem outros instrumentos de pagamento por gestores públicos, tendo por objeto a realização de despesas ao serviço da Empresa</w:t>
            </w:r>
          </w:p>
        </w:tc>
        <w:tc>
          <w:tcPr>
            <w:tcW w:w="364" w:type="pct"/>
            <w:tcBorders>
              <w:top w:val="nil"/>
              <w:left w:val="nil"/>
              <w:bottom w:val="single" w:sz="4" w:space="0" w:color="FFFFFF"/>
              <w:right w:val="single" w:sz="4" w:space="0" w:color="FFFFFF"/>
            </w:tcBorders>
            <w:shd w:val="clear" w:color="auto" w:fill="D9E2F3" w:themeFill="accent5" w:themeFillTint="33"/>
            <w:noWrap/>
            <w:vAlign w:val="center"/>
            <w:hideMark/>
          </w:tcPr>
          <w:p w14:paraId="2000F583" w14:textId="77777777" w:rsidR="009442B9" w:rsidRPr="00A6262B" w:rsidRDefault="009442B9" w:rsidP="00F53A31">
            <w:pPr>
              <w:jc w:val="center"/>
              <w:rPr>
                <w:rFonts w:ascii="Calibri" w:hAnsi="Calibri" w:cs="Calibri"/>
                <w:color w:val="000000"/>
                <w:sz w:val="18"/>
                <w:szCs w:val="18"/>
              </w:rPr>
            </w:pPr>
            <w:r w:rsidRPr="00A6262B">
              <w:rPr>
                <w:rFonts w:ascii="Calibri" w:hAnsi="Calibri" w:cs="Calibri"/>
                <w:color w:val="000000"/>
                <w:sz w:val="18"/>
                <w:szCs w:val="18"/>
              </w:rPr>
              <w:t>X</w:t>
            </w:r>
          </w:p>
        </w:tc>
        <w:tc>
          <w:tcPr>
            <w:tcW w:w="363" w:type="pct"/>
            <w:tcBorders>
              <w:top w:val="nil"/>
              <w:left w:val="nil"/>
              <w:bottom w:val="single" w:sz="4" w:space="0" w:color="FFFFFF"/>
              <w:right w:val="single" w:sz="4" w:space="0" w:color="FFFFFF"/>
            </w:tcBorders>
            <w:shd w:val="clear" w:color="auto" w:fill="D9E2F3" w:themeFill="accent5" w:themeFillTint="33"/>
            <w:noWrap/>
            <w:vAlign w:val="center"/>
            <w:hideMark/>
          </w:tcPr>
          <w:p w14:paraId="5FD7686C" w14:textId="77777777" w:rsidR="009442B9" w:rsidRPr="00A6262B" w:rsidRDefault="009442B9" w:rsidP="00F53A31">
            <w:pPr>
              <w:rPr>
                <w:rFonts w:ascii="Calibri" w:hAnsi="Calibri" w:cs="Calibri"/>
                <w:color w:val="000000"/>
                <w:sz w:val="18"/>
                <w:szCs w:val="18"/>
              </w:rPr>
            </w:pPr>
            <w:r w:rsidRPr="00A6262B">
              <w:rPr>
                <w:rFonts w:ascii="Calibri" w:hAnsi="Calibri" w:cs="Calibri"/>
                <w:color w:val="000000"/>
                <w:sz w:val="18"/>
                <w:szCs w:val="18"/>
              </w:rPr>
              <w:t> </w:t>
            </w:r>
          </w:p>
        </w:tc>
        <w:tc>
          <w:tcPr>
            <w:tcW w:w="455" w:type="pct"/>
            <w:tcBorders>
              <w:top w:val="nil"/>
              <w:left w:val="nil"/>
              <w:bottom w:val="single" w:sz="4" w:space="0" w:color="FFFFFF"/>
              <w:right w:val="single" w:sz="4" w:space="0" w:color="FFFFFF"/>
            </w:tcBorders>
            <w:shd w:val="clear" w:color="auto" w:fill="D9E2F3" w:themeFill="accent5" w:themeFillTint="33"/>
            <w:noWrap/>
            <w:vAlign w:val="center"/>
            <w:hideMark/>
          </w:tcPr>
          <w:p w14:paraId="65CDDC29" w14:textId="77777777" w:rsidR="009442B9" w:rsidRPr="00A6262B" w:rsidRDefault="009442B9" w:rsidP="009442B9">
            <w:pPr>
              <w:jc w:val="both"/>
              <w:rPr>
                <w:rFonts w:ascii="Calibri" w:hAnsi="Calibri" w:cs="Calibri"/>
                <w:color w:val="000000"/>
                <w:sz w:val="18"/>
                <w:szCs w:val="18"/>
              </w:rPr>
            </w:pPr>
            <w:r w:rsidRPr="00A6262B">
              <w:rPr>
                <w:rFonts w:ascii="Calibri" w:hAnsi="Calibri" w:cs="Calibri"/>
                <w:color w:val="000000"/>
                <w:sz w:val="18"/>
                <w:szCs w:val="18"/>
              </w:rPr>
              <w:t> </w:t>
            </w:r>
          </w:p>
        </w:tc>
        <w:tc>
          <w:tcPr>
            <w:tcW w:w="997" w:type="pct"/>
            <w:vMerge w:val="restart"/>
            <w:tcBorders>
              <w:top w:val="nil"/>
              <w:left w:val="single" w:sz="4" w:space="0" w:color="FFFFFF"/>
              <w:bottom w:val="single" w:sz="4" w:space="0" w:color="FFFFFF"/>
              <w:right w:val="single" w:sz="4" w:space="0" w:color="FFFFFF"/>
            </w:tcBorders>
            <w:shd w:val="clear" w:color="auto" w:fill="D9E2F3" w:themeFill="accent5" w:themeFillTint="33"/>
            <w:vAlign w:val="center"/>
          </w:tcPr>
          <w:p w14:paraId="25840470" w14:textId="77777777" w:rsidR="009442B9" w:rsidRPr="00A6262B" w:rsidRDefault="009442B9" w:rsidP="00F53A31">
            <w:pPr>
              <w:jc w:val="both"/>
              <w:rPr>
                <w:rFonts w:ascii="Calibri" w:hAnsi="Calibri" w:cs="Calibri"/>
                <w:color w:val="000000"/>
                <w:sz w:val="18"/>
                <w:szCs w:val="18"/>
                <w:highlight w:val="yellow"/>
              </w:rPr>
            </w:pPr>
          </w:p>
        </w:tc>
      </w:tr>
      <w:tr w:rsidR="009442B9" w:rsidRPr="00A6262B" w14:paraId="2F332374" w14:textId="77777777" w:rsidTr="009442B9">
        <w:trPr>
          <w:trHeight w:val="847"/>
          <w:jc w:val="center"/>
        </w:trPr>
        <w:tc>
          <w:tcPr>
            <w:tcW w:w="2821" w:type="pct"/>
            <w:tcBorders>
              <w:top w:val="nil"/>
              <w:left w:val="single" w:sz="4" w:space="0" w:color="FFFFFF"/>
              <w:bottom w:val="single" w:sz="4" w:space="0" w:color="FFFFFF"/>
              <w:right w:val="single" w:sz="4" w:space="0" w:color="FFFFFF"/>
            </w:tcBorders>
            <w:shd w:val="clear" w:color="auto" w:fill="D9E2F3" w:themeFill="accent5" w:themeFillTint="33"/>
            <w:vAlign w:val="center"/>
            <w:hideMark/>
          </w:tcPr>
          <w:p w14:paraId="3D5086FB" w14:textId="77777777" w:rsidR="009442B9" w:rsidRPr="00A6262B" w:rsidRDefault="009442B9" w:rsidP="00F53A31">
            <w:pPr>
              <w:jc w:val="both"/>
              <w:rPr>
                <w:rFonts w:ascii="Calibri" w:hAnsi="Calibri" w:cs="Calibri"/>
                <w:color w:val="000000"/>
                <w:sz w:val="18"/>
                <w:szCs w:val="18"/>
              </w:rPr>
            </w:pPr>
            <w:r w:rsidRPr="00A6262B">
              <w:rPr>
                <w:rFonts w:ascii="Calibri" w:hAnsi="Calibri" w:cs="Calibri"/>
                <w:b/>
                <w:bCs/>
                <w:color w:val="000000"/>
                <w:sz w:val="18"/>
                <w:szCs w:val="18"/>
              </w:rPr>
              <w:t>Conselho de Administração</w:t>
            </w:r>
            <w:r w:rsidRPr="00A6262B">
              <w:rPr>
                <w:rFonts w:ascii="Calibri" w:hAnsi="Calibri" w:cs="Calibri"/>
                <w:color w:val="000000"/>
                <w:sz w:val="18"/>
                <w:szCs w:val="18"/>
              </w:rPr>
              <w:t xml:space="preserve"> – Não reembolso a gestores públicos de quaisquer despesas que caiam no âmbito do conceito de despesas de representação pessoal</w:t>
            </w:r>
          </w:p>
        </w:tc>
        <w:tc>
          <w:tcPr>
            <w:tcW w:w="364" w:type="pct"/>
            <w:tcBorders>
              <w:top w:val="nil"/>
              <w:left w:val="nil"/>
              <w:bottom w:val="single" w:sz="4" w:space="0" w:color="FFFFFF"/>
              <w:right w:val="single" w:sz="4" w:space="0" w:color="FFFFFF"/>
            </w:tcBorders>
            <w:shd w:val="clear" w:color="auto" w:fill="D9E2F3" w:themeFill="accent5" w:themeFillTint="33"/>
            <w:noWrap/>
            <w:vAlign w:val="center"/>
            <w:hideMark/>
          </w:tcPr>
          <w:p w14:paraId="555726D2" w14:textId="77777777" w:rsidR="009442B9" w:rsidRPr="00A6262B" w:rsidRDefault="009442B9" w:rsidP="00F53A31">
            <w:pPr>
              <w:jc w:val="center"/>
              <w:rPr>
                <w:rFonts w:ascii="Calibri" w:hAnsi="Calibri" w:cs="Calibri"/>
                <w:color w:val="000000"/>
                <w:sz w:val="18"/>
                <w:szCs w:val="18"/>
              </w:rPr>
            </w:pPr>
            <w:r w:rsidRPr="00A6262B">
              <w:rPr>
                <w:rFonts w:ascii="Calibri" w:hAnsi="Calibri" w:cs="Calibri"/>
                <w:color w:val="000000"/>
                <w:sz w:val="18"/>
                <w:szCs w:val="18"/>
              </w:rPr>
              <w:t>X</w:t>
            </w:r>
          </w:p>
        </w:tc>
        <w:tc>
          <w:tcPr>
            <w:tcW w:w="363" w:type="pct"/>
            <w:tcBorders>
              <w:top w:val="nil"/>
              <w:left w:val="nil"/>
              <w:bottom w:val="single" w:sz="4" w:space="0" w:color="FFFFFF"/>
              <w:right w:val="single" w:sz="4" w:space="0" w:color="FFFFFF"/>
            </w:tcBorders>
            <w:shd w:val="clear" w:color="auto" w:fill="D9E2F3" w:themeFill="accent5" w:themeFillTint="33"/>
            <w:noWrap/>
            <w:vAlign w:val="center"/>
            <w:hideMark/>
          </w:tcPr>
          <w:p w14:paraId="0B7925C0" w14:textId="77777777" w:rsidR="009442B9" w:rsidRPr="00A6262B" w:rsidRDefault="009442B9" w:rsidP="00F53A31">
            <w:pPr>
              <w:rPr>
                <w:rFonts w:ascii="Calibri" w:hAnsi="Calibri" w:cs="Calibri"/>
                <w:color w:val="000000"/>
                <w:sz w:val="18"/>
                <w:szCs w:val="18"/>
              </w:rPr>
            </w:pPr>
            <w:r w:rsidRPr="00A6262B">
              <w:rPr>
                <w:rFonts w:ascii="Calibri" w:hAnsi="Calibri" w:cs="Calibri"/>
                <w:color w:val="000000"/>
                <w:sz w:val="18"/>
                <w:szCs w:val="18"/>
              </w:rPr>
              <w:t> </w:t>
            </w:r>
          </w:p>
        </w:tc>
        <w:tc>
          <w:tcPr>
            <w:tcW w:w="455" w:type="pct"/>
            <w:tcBorders>
              <w:top w:val="nil"/>
              <w:left w:val="nil"/>
              <w:bottom w:val="single" w:sz="4" w:space="0" w:color="FFFFFF"/>
              <w:right w:val="single" w:sz="4" w:space="0" w:color="FFFFFF"/>
            </w:tcBorders>
            <w:shd w:val="clear" w:color="auto" w:fill="D9E2F3" w:themeFill="accent5" w:themeFillTint="33"/>
            <w:noWrap/>
            <w:vAlign w:val="center"/>
            <w:hideMark/>
          </w:tcPr>
          <w:p w14:paraId="41A9F9F6" w14:textId="77777777" w:rsidR="009442B9" w:rsidRPr="00A6262B" w:rsidRDefault="009442B9" w:rsidP="00F53A31">
            <w:pPr>
              <w:rPr>
                <w:rFonts w:ascii="Calibri" w:hAnsi="Calibri" w:cs="Calibri"/>
                <w:color w:val="000000"/>
                <w:sz w:val="18"/>
                <w:szCs w:val="18"/>
              </w:rPr>
            </w:pPr>
            <w:r w:rsidRPr="00A6262B">
              <w:rPr>
                <w:rFonts w:ascii="Calibri" w:hAnsi="Calibri" w:cs="Calibri"/>
                <w:color w:val="000000"/>
                <w:sz w:val="18"/>
                <w:szCs w:val="18"/>
              </w:rPr>
              <w:t> </w:t>
            </w:r>
          </w:p>
        </w:tc>
        <w:tc>
          <w:tcPr>
            <w:tcW w:w="997" w:type="pct"/>
            <w:vMerge/>
            <w:tcBorders>
              <w:top w:val="nil"/>
              <w:left w:val="nil"/>
              <w:bottom w:val="single" w:sz="4" w:space="0" w:color="FFFFFF"/>
              <w:right w:val="single" w:sz="4" w:space="0" w:color="FFFFFF"/>
            </w:tcBorders>
            <w:shd w:val="clear" w:color="auto" w:fill="D9E2F3" w:themeFill="accent5" w:themeFillTint="33"/>
            <w:vAlign w:val="center"/>
            <w:hideMark/>
          </w:tcPr>
          <w:p w14:paraId="30E72996" w14:textId="77777777" w:rsidR="009442B9" w:rsidRPr="00A6262B" w:rsidRDefault="009442B9" w:rsidP="00F53A31">
            <w:pPr>
              <w:rPr>
                <w:rFonts w:ascii="Calibri" w:hAnsi="Calibri" w:cs="Calibri"/>
                <w:color w:val="000000"/>
                <w:sz w:val="18"/>
                <w:szCs w:val="18"/>
              </w:rPr>
            </w:pPr>
          </w:p>
        </w:tc>
      </w:tr>
    </w:tbl>
    <w:p w14:paraId="57E3E950" w14:textId="77777777" w:rsidR="009442B9" w:rsidRPr="00A6262B" w:rsidRDefault="009442B9" w:rsidP="009442B9">
      <w:pPr>
        <w:pStyle w:val="PargrafodaLista"/>
        <w:jc w:val="both"/>
        <w:rPr>
          <w:rFonts w:asciiTheme="minorHAnsi" w:hAnsiTheme="minorHAnsi" w:cstheme="minorHAnsi"/>
          <w:sz w:val="18"/>
          <w:szCs w:val="18"/>
          <w:lang w:eastAsia="en-US"/>
        </w:rPr>
      </w:pPr>
    </w:p>
    <w:p w14:paraId="5D7A8989" w14:textId="3A0AA6A3" w:rsidR="009442B9" w:rsidRPr="003B6F8D" w:rsidRDefault="009442B9" w:rsidP="009442B9">
      <w:pPr>
        <w:pStyle w:val="CorpotextoMP"/>
        <w:ind w:left="348"/>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w:t>
      </w:r>
      <w:r w:rsidRPr="003B6F8D">
        <w:rPr>
          <w:rFonts w:asciiTheme="minorHAnsi" w:hAnsiTheme="minorHAnsi" w:cstheme="minorHAnsi"/>
          <w:sz w:val="22"/>
          <w:szCs w:val="22"/>
          <w:lang w:eastAsia="en-US"/>
        </w:rPr>
        <w:t xml:space="preserve">A </w:t>
      </w:r>
      <w:r>
        <w:rPr>
          <w:rFonts w:asciiTheme="minorHAnsi" w:hAnsiTheme="minorHAnsi" w:cstheme="minorHAnsi"/>
          <w:sz w:val="22"/>
          <w:szCs w:val="22"/>
          <w:lang w:eastAsia="en-US"/>
        </w:rPr>
        <w:t>E</w:t>
      </w:r>
      <w:r w:rsidRPr="003B6F8D">
        <w:rPr>
          <w:rFonts w:asciiTheme="minorHAnsi" w:hAnsiTheme="minorHAnsi" w:cstheme="minorHAnsi"/>
          <w:sz w:val="22"/>
          <w:szCs w:val="22"/>
          <w:lang w:eastAsia="en-US"/>
        </w:rPr>
        <w:t>mpresa cumpre o disposto no artigo 32.º do Estatuto do Gestor Público relativamente à não utilização de cartões de crédito da empresa e/ou de outros instrumentos de pagamento por parte dos gestores públicos.</w:t>
      </w:r>
    </w:p>
    <w:p w14:paraId="40FB470E" w14:textId="77777777" w:rsidR="009442B9" w:rsidRPr="00FF4CBF" w:rsidRDefault="009442B9" w:rsidP="009442B9">
      <w:pPr>
        <w:pStyle w:val="CorpotextoMP"/>
        <w:ind w:left="348"/>
        <w:rPr>
          <w:rFonts w:asciiTheme="minorHAnsi" w:hAnsiTheme="minorHAnsi" w:cstheme="minorHAnsi"/>
          <w:sz w:val="20"/>
          <w:szCs w:val="22"/>
          <w:lang w:eastAsia="en-US"/>
        </w:rPr>
      </w:pPr>
    </w:p>
    <w:p w14:paraId="02E1A85A" w14:textId="3F4F4487" w:rsidR="009442B9" w:rsidRDefault="009442B9" w:rsidP="009442B9">
      <w:pPr>
        <w:pStyle w:val="CorpotextoMP"/>
        <w:ind w:left="348"/>
        <w:rPr>
          <w:rFonts w:asciiTheme="minorHAnsi" w:hAnsiTheme="minorHAnsi" w:cstheme="minorHAnsi"/>
          <w:sz w:val="22"/>
          <w:szCs w:val="22"/>
          <w:lang w:eastAsia="en-US"/>
        </w:rPr>
      </w:pPr>
      <w:proofErr w:type="spellStart"/>
      <w:r>
        <w:rPr>
          <w:rFonts w:asciiTheme="minorHAnsi" w:hAnsiTheme="minorHAnsi" w:cstheme="minorHAnsi"/>
          <w:sz w:val="22"/>
          <w:szCs w:val="22"/>
          <w:lang w:eastAsia="en-US"/>
        </w:rPr>
        <w:t>ii</w:t>
      </w:r>
      <w:proofErr w:type="spellEnd"/>
      <w:r>
        <w:rPr>
          <w:rFonts w:asciiTheme="minorHAnsi" w:hAnsiTheme="minorHAnsi" w:cstheme="minorHAnsi"/>
          <w:sz w:val="22"/>
          <w:szCs w:val="22"/>
          <w:lang w:eastAsia="en-US"/>
        </w:rPr>
        <w:t xml:space="preserve">) </w:t>
      </w:r>
      <w:r w:rsidRPr="003B6F8D">
        <w:rPr>
          <w:rFonts w:asciiTheme="minorHAnsi" w:hAnsiTheme="minorHAnsi" w:cstheme="minorHAnsi"/>
          <w:sz w:val="22"/>
          <w:szCs w:val="22"/>
          <w:lang w:eastAsia="en-US"/>
        </w:rPr>
        <w:t xml:space="preserve">A </w:t>
      </w:r>
      <w:r>
        <w:rPr>
          <w:rFonts w:asciiTheme="minorHAnsi" w:hAnsiTheme="minorHAnsi" w:cstheme="minorHAnsi"/>
          <w:sz w:val="22"/>
          <w:szCs w:val="22"/>
          <w:lang w:eastAsia="en-US"/>
        </w:rPr>
        <w:t>E</w:t>
      </w:r>
      <w:r w:rsidRPr="003B6F8D">
        <w:rPr>
          <w:rFonts w:asciiTheme="minorHAnsi" w:hAnsiTheme="minorHAnsi" w:cstheme="minorHAnsi"/>
          <w:sz w:val="22"/>
          <w:szCs w:val="22"/>
          <w:lang w:eastAsia="en-US"/>
        </w:rPr>
        <w:t>mpresa cumpre o disposto no artigo 32.º do Estatuto do Gestor Público relativamente ao não reembolso aos gestores públicos de quaisquer despesas que caiam no âmbito do conceito de despesas de representação pessoal.</w:t>
      </w:r>
    </w:p>
    <w:p w14:paraId="26042404" w14:textId="77777777" w:rsidR="009442B9" w:rsidRDefault="009442B9" w:rsidP="009442B9">
      <w:pPr>
        <w:ind w:left="348"/>
        <w:rPr>
          <w:rFonts w:asciiTheme="minorHAnsi" w:hAnsiTheme="minorHAnsi" w:cstheme="minorHAnsi"/>
          <w:sz w:val="22"/>
          <w:szCs w:val="22"/>
          <w:lang w:eastAsia="en-US"/>
        </w:rPr>
      </w:pPr>
    </w:p>
    <w:p w14:paraId="07E68473" w14:textId="17100F8A" w:rsidR="009442B9" w:rsidRDefault="009442B9" w:rsidP="009442B9">
      <w:pPr>
        <w:pStyle w:val="CorpotextoMP"/>
        <w:ind w:left="348"/>
        <w:rPr>
          <w:rFonts w:asciiTheme="minorHAnsi" w:hAnsiTheme="minorHAnsi" w:cstheme="minorHAnsi"/>
          <w:sz w:val="22"/>
          <w:szCs w:val="22"/>
          <w:lang w:eastAsia="en-US"/>
        </w:rPr>
      </w:pPr>
      <w:proofErr w:type="spellStart"/>
      <w:r>
        <w:rPr>
          <w:rFonts w:asciiTheme="minorHAnsi" w:hAnsiTheme="minorHAnsi" w:cstheme="minorHAnsi"/>
          <w:sz w:val="22"/>
          <w:szCs w:val="22"/>
          <w:lang w:eastAsia="en-US"/>
        </w:rPr>
        <w:lastRenderedPageBreak/>
        <w:t>iii</w:t>
      </w:r>
      <w:proofErr w:type="spellEnd"/>
      <w:r w:rsidRPr="003B6F8D">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O</w:t>
      </w:r>
      <w:r w:rsidRPr="003B6F8D">
        <w:rPr>
          <w:rFonts w:asciiTheme="minorHAnsi" w:hAnsiTheme="minorHAnsi" w:cstheme="minorHAnsi"/>
          <w:sz w:val="22"/>
          <w:szCs w:val="22"/>
          <w:lang w:eastAsia="en-US"/>
        </w:rPr>
        <w:t xml:space="preserve">s gastos associados a comunicações são </w:t>
      </w:r>
      <w:r>
        <w:rPr>
          <w:rFonts w:asciiTheme="minorHAnsi" w:hAnsiTheme="minorHAnsi" w:cstheme="minorHAnsi"/>
          <w:sz w:val="22"/>
          <w:szCs w:val="22"/>
          <w:lang w:eastAsia="en-US"/>
        </w:rPr>
        <w:t>os seguintes:</w:t>
      </w:r>
    </w:p>
    <w:p w14:paraId="3173F5D6" w14:textId="77777777" w:rsidR="009442B9" w:rsidRPr="00144581" w:rsidRDefault="009442B9" w:rsidP="009442B9">
      <w:pPr>
        <w:ind w:left="348"/>
        <w:jc w:val="both"/>
        <w:rPr>
          <w:rFonts w:asciiTheme="minorHAnsi" w:hAnsiTheme="minorHAnsi" w:cstheme="minorHAnsi"/>
          <w:sz w:val="16"/>
          <w:szCs w:val="16"/>
          <w:lang w:eastAsia="en-US"/>
        </w:rPr>
      </w:pPr>
    </w:p>
    <w:tbl>
      <w:tblPr>
        <w:tblW w:w="4671" w:type="pct"/>
        <w:jc w:val="center"/>
        <w:tblCellMar>
          <w:left w:w="70" w:type="dxa"/>
          <w:right w:w="70" w:type="dxa"/>
        </w:tblCellMar>
        <w:tblLook w:val="04A0" w:firstRow="1" w:lastRow="0" w:firstColumn="1" w:lastColumn="0" w:noHBand="0" w:noVBand="1"/>
      </w:tblPr>
      <w:tblGrid>
        <w:gridCol w:w="5156"/>
        <w:gridCol w:w="780"/>
        <w:gridCol w:w="774"/>
        <w:gridCol w:w="1094"/>
      </w:tblGrid>
      <w:tr w:rsidR="009442B9" w:rsidRPr="00FF4CBF" w14:paraId="637C2627" w14:textId="77777777" w:rsidTr="007D2FC9">
        <w:trPr>
          <w:trHeight w:val="225"/>
          <w:tblHeader/>
          <w:jc w:val="center"/>
        </w:trPr>
        <w:tc>
          <w:tcPr>
            <w:tcW w:w="3303" w:type="pct"/>
            <w:vMerge w:val="restart"/>
            <w:tcBorders>
              <w:top w:val="single" w:sz="4" w:space="0" w:color="FFFFFF"/>
              <w:left w:val="single" w:sz="4" w:space="0" w:color="FFFFFF"/>
              <w:bottom w:val="single" w:sz="4" w:space="0" w:color="FFFFFF"/>
              <w:right w:val="single" w:sz="4" w:space="0" w:color="FFFFFF"/>
            </w:tcBorders>
            <w:shd w:val="clear" w:color="auto" w:fill="8EAADB" w:themeFill="accent5" w:themeFillTint="99"/>
            <w:vAlign w:val="center"/>
            <w:hideMark/>
          </w:tcPr>
          <w:p w14:paraId="48AAE636" w14:textId="77777777" w:rsidR="009442B9" w:rsidRPr="00BE0995" w:rsidRDefault="009442B9" w:rsidP="00F53A31">
            <w:pPr>
              <w:jc w:val="center"/>
              <w:rPr>
                <w:rFonts w:ascii="Calibri" w:hAnsi="Calibri" w:cs="Calibri"/>
                <w:b/>
                <w:bCs/>
                <w:color w:val="000000"/>
                <w:sz w:val="18"/>
                <w:szCs w:val="18"/>
              </w:rPr>
            </w:pPr>
            <w:r w:rsidRPr="00BE0995">
              <w:rPr>
                <w:rFonts w:ascii="Calibri" w:hAnsi="Calibri" w:cs="Calibri"/>
                <w:b/>
                <w:bCs/>
                <w:color w:val="000000"/>
                <w:sz w:val="18"/>
                <w:szCs w:val="18"/>
              </w:rPr>
              <w:t>Membro do Conselho de Administração</w:t>
            </w:r>
          </w:p>
        </w:tc>
        <w:tc>
          <w:tcPr>
            <w:tcW w:w="1697" w:type="pct"/>
            <w:gridSpan w:val="3"/>
            <w:tcBorders>
              <w:top w:val="single" w:sz="4" w:space="0" w:color="FFFFFF"/>
              <w:left w:val="nil"/>
              <w:bottom w:val="single" w:sz="4" w:space="0" w:color="FFFFFF"/>
              <w:right w:val="single" w:sz="4" w:space="0" w:color="FFFFFF"/>
            </w:tcBorders>
            <w:shd w:val="clear" w:color="auto" w:fill="8EAADB" w:themeFill="accent5" w:themeFillTint="99"/>
            <w:vAlign w:val="center"/>
            <w:hideMark/>
          </w:tcPr>
          <w:p w14:paraId="5F4E8CCB" w14:textId="16A16779" w:rsidR="009442B9" w:rsidRPr="00BE0995" w:rsidRDefault="009442B9" w:rsidP="00F53A31">
            <w:pPr>
              <w:jc w:val="center"/>
              <w:rPr>
                <w:rFonts w:ascii="Calibri" w:hAnsi="Calibri" w:cs="Calibri"/>
                <w:b/>
                <w:bCs/>
                <w:color w:val="000000"/>
                <w:sz w:val="18"/>
                <w:szCs w:val="18"/>
              </w:rPr>
            </w:pPr>
            <w:r w:rsidRPr="00BE0995">
              <w:rPr>
                <w:rFonts w:ascii="Calibri" w:hAnsi="Calibri" w:cs="Calibri"/>
                <w:b/>
                <w:bCs/>
                <w:color w:val="000000"/>
                <w:sz w:val="18"/>
                <w:szCs w:val="18"/>
              </w:rPr>
              <w:t>Gastos com Comunicações em 202</w:t>
            </w:r>
            <w:r>
              <w:rPr>
                <w:rFonts w:ascii="Calibri" w:hAnsi="Calibri" w:cs="Calibri"/>
                <w:b/>
                <w:bCs/>
                <w:color w:val="000000"/>
                <w:sz w:val="18"/>
                <w:szCs w:val="18"/>
              </w:rPr>
              <w:t>5</w:t>
            </w:r>
            <w:r w:rsidRPr="00BE0995">
              <w:rPr>
                <w:rFonts w:ascii="Calibri" w:hAnsi="Calibri" w:cs="Calibri"/>
                <w:b/>
                <w:bCs/>
                <w:color w:val="000000"/>
                <w:sz w:val="18"/>
                <w:szCs w:val="18"/>
              </w:rPr>
              <w:t xml:space="preserve"> (€)</w:t>
            </w:r>
          </w:p>
        </w:tc>
      </w:tr>
      <w:tr w:rsidR="009442B9" w:rsidRPr="00FF4CBF" w14:paraId="4A43262A" w14:textId="77777777" w:rsidTr="007D2FC9">
        <w:trPr>
          <w:trHeight w:val="440"/>
          <w:tblHeader/>
          <w:jc w:val="center"/>
        </w:trPr>
        <w:tc>
          <w:tcPr>
            <w:tcW w:w="3303" w:type="pct"/>
            <w:vMerge/>
            <w:tcBorders>
              <w:top w:val="single" w:sz="4" w:space="0" w:color="FFFFFF"/>
              <w:left w:val="single" w:sz="4" w:space="0" w:color="FFFFFF"/>
              <w:bottom w:val="single" w:sz="4" w:space="0" w:color="FFFFFF"/>
              <w:right w:val="single" w:sz="4" w:space="0" w:color="FFFFFF"/>
            </w:tcBorders>
            <w:shd w:val="clear" w:color="auto" w:fill="8EAADB" w:themeFill="accent5" w:themeFillTint="99"/>
            <w:vAlign w:val="center"/>
            <w:hideMark/>
          </w:tcPr>
          <w:p w14:paraId="2CD0A147" w14:textId="77777777" w:rsidR="009442B9" w:rsidRPr="00BE0995" w:rsidRDefault="009442B9" w:rsidP="00F53A31">
            <w:pPr>
              <w:rPr>
                <w:rFonts w:ascii="Calibri" w:hAnsi="Calibri" w:cs="Calibri"/>
                <w:b/>
                <w:bCs/>
                <w:color w:val="000000"/>
                <w:sz w:val="18"/>
                <w:szCs w:val="18"/>
              </w:rPr>
            </w:pPr>
          </w:p>
        </w:tc>
        <w:tc>
          <w:tcPr>
            <w:tcW w:w="500" w:type="pct"/>
            <w:tcBorders>
              <w:top w:val="nil"/>
              <w:left w:val="nil"/>
              <w:bottom w:val="single" w:sz="4" w:space="0" w:color="FFFFFF"/>
              <w:right w:val="single" w:sz="4" w:space="0" w:color="FFFFFF"/>
            </w:tcBorders>
            <w:shd w:val="clear" w:color="auto" w:fill="8EAADB" w:themeFill="accent5" w:themeFillTint="99"/>
            <w:vAlign w:val="center"/>
            <w:hideMark/>
          </w:tcPr>
          <w:p w14:paraId="5AC7E4FA" w14:textId="77777777" w:rsidR="009442B9" w:rsidRPr="00BE0995" w:rsidRDefault="009442B9" w:rsidP="00F53A31">
            <w:pPr>
              <w:jc w:val="center"/>
              <w:rPr>
                <w:rFonts w:ascii="Calibri" w:hAnsi="Calibri" w:cs="Calibri"/>
                <w:b/>
                <w:bCs/>
                <w:color w:val="000000"/>
                <w:sz w:val="18"/>
                <w:szCs w:val="18"/>
              </w:rPr>
            </w:pPr>
            <w:r w:rsidRPr="00BE0995">
              <w:rPr>
                <w:rFonts w:ascii="Calibri" w:hAnsi="Calibri" w:cs="Calibri"/>
                <w:b/>
                <w:bCs/>
                <w:color w:val="000000"/>
                <w:sz w:val="18"/>
                <w:szCs w:val="18"/>
              </w:rPr>
              <w:t>Plafond Mensal Definido</w:t>
            </w:r>
          </w:p>
        </w:tc>
        <w:tc>
          <w:tcPr>
            <w:tcW w:w="496" w:type="pct"/>
            <w:tcBorders>
              <w:top w:val="nil"/>
              <w:left w:val="nil"/>
              <w:bottom w:val="single" w:sz="4" w:space="0" w:color="FFFFFF"/>
              <w:right w:val="single" w:sz="4" w:space="0" w:color="FFFFFF"/>
            </w:tcBorders>
            <w:shd w:val="clear" w:color="auto" w:fill="8EAADB" w:themeFill="accent5" w:themeFillTint="99"/>
            <w:vAlign w:val="center"/>
            <w:hideMark/>
          </w:tcPr>
          <w:p w14:paraId="41A82FE6" w14:textId="77777777" w:rsidR="009442B9" w:rsidRPr="00BE0995" w:rsidRDefault="009442B9" w:rsidP="00F53A31">
            <w:pPr>
              <w:jc w:val="center"/>
              <w:rPr>
                <w:rFonts w:ascii="Calibri" w:hAnsi="Calibri" w:cs="Calibri"/>
                <w:b/>
                <w:bCs/>
                <w:color w:val="000000"/>
                <w:sz w:val="18"/>
                <w:szCs w:val="18"/>
              </w:rPr>
            </w:pPr>
            <w:r w:rsidRPr="00BE0995">
              <w:rPr>
                <w:rFonts w:ascii="Calibri" w:hAnsi="Calibri" w:cs="Calibri"/>
                <w:b/>
                <w:bCs/>
                <w:color w:val="000000"/>
                <w:sz w:val="18"/>
                <w:szCs w:val="18"/>
              </w:rPr>
              <w:t>Valor Anual</w:t>
            </w:r>
          </w:p>
        </w:tc>
        <w:tc>
          <w:tcPr>
            <w:tcW w:w="701" w:type="pct"/>
            <w:tcBorders>
              <w:top w:val="nil"/>
              <w:left w:val="nil"/>
              <w:bottom w:val="single" w:sz="4" w:space="0" w:color="FFFFFF"/>
              <w:right w:val="single" w:sz="4" w:space="0" w:color="FFFFFF"/>
            </w:tcBorders>
            <w:shd w:val="clear" w:color="auto" w:fill="8EAADB" w:themeFill="accent5" w:themeFillTint="99"/>
            <w:vAlign w:val="center"/>
            <w:hideMark/>
          </w:tcPr>
          <w:p w14:paraId="6C4265AA" w14:textId="77777777" w:rsidR="009442B9" w:rsidRPr="00BE0995" w:rsidRDefault="009442B9" w:rsidP="00F53A31">
            <w:pPr>
              <w:jc w:val="center"/>
              <w:rPr>
                <w:rFonts w:ascii="Calibri" w:hAnsi="Calibri" w:cs="Calibri"/>
                <w:b/>
                <w:bCs/>
                <w:color w:val="000000"/>
                <w:sz w:val="18"/>
                <w:szCs w:val="18"/>
              </w:rPr>
            </w:pPr>
            <w:r w:rsidRPr="00BE0995">
              <w:rPr>
                <w:rFonts w:ascii="Calibri" w:hAnsi="Calibri" w:cs="Calibri"/>
                <w:b/>
                <w:bCs/>
                <w:color w:val="000000"/>
                <w:sz w:val="18"/>
                <w:szCs w:val="18"/>
              </w:rPr>
              <w:t>Observações</w:t>
            </w:r>
          </w:p>
        </w:tc>
      </w:tr>
      <w:tr w:rsidR="007D2FC9" w:rsidRPr="008906DF" w14:paraId="075B801B" w14:textId="77777777" w:rsidTr="007D2FC9">
        <w:trPr>
          <w:trHeight w:val="251"/>
          <w:jc w:val="center"/>
        </w:trPr>
        <w:tc>
          <w:tcPr>
            <w:tcW w:w="3303" w:type="pct"/>
            <w:tcBorders>
              <w:top w:val="nil"/>
              <w:left w:val="single" w:sz="4" w:space="0" w:color="FFFFFF"/>
              <w:bottom w:val="single" w:sz="4" w:space="0" w:color="FFFFFF"/>
              <w:right w:val="single" w:sz="4" w:space="0" w:color="FFFFFF"/>
            </w:tcBorders>
            <w:shd w:val="clear" w:color="auto" w:fill="D9E2F3" w:themeFill="accent5" w:themeFillTint="33"/>
            <w:noWrap/>
            <w:vAlign w:val="center"/>
          </w:tcPr>
          <w:p w14:paraId="0D1BF965" w14:textId="77777777" w:rsidR="007D2FC9" w:rsidRPr="00DD5049" w:rsidRDefault="007D2FC9" w:rsidP="007D2FC9">
            <w:pPr>
              <w:rPr>
                <w:rFonts w:ascii="Calibri" w:hAnsi="Calibri" w:cs="Calibri"/>
                <w:color w:val="000000"/>
                <w:sz w:val="18"/>
                <w:szCs w:val="18"/>
              </w:rPr>
            </w:pPr>
            <w:r w:rsidRPr="00DD5049">
              <w:rPr>
                <w:rFonts w:ascii="Calibri" w:hAnsi="Calibri" w:cs="Calibri"/>
                <w:color w:val="000000"/>
                <w:sz w:val="18"/>
                <w:szCs w:val="18"/>
              </w:rPr>
              <w:t>Sofia Brígida Correia dos Santos de Marçal Teixeira Furtado Torres</w:t>
            </w:r>
          </w:p>
        </w:tc>
        <w:tc>
          <w:tcPr>
            <w:tcW w:w="500" w:type="pct"/>
            <w:tcBorders>
              <w:top w:val="nil"/>
              <w:left w:val="nil"/>
              <w:bottom w:val="single" w:sz="4" w:space="0" w:color="FFFFFF"/>
              <w:right w:val="single" w:sz="4" w:space="0" w:color="FFFFFF"/>
            </w:tcBorders>
            <w:shd w:val="clear" w:color="auto" w:fill="D9E2F3" w:themeFill="accent5" w:themeFillTint="33"/>
            <w:noWrap/>
          </w:tcPr>
          <w:p w14:paraId="053B4CE5" w14:textId="77777777" w:rsidR="007D2FC9" w:rsidRPr="00DD5049" w:rsidRDefault="007D2FC9" w:rsidP="007D2FC9">
            <w:pPr>
              <w:jc w:val="center"/>
              <w:rPr>
                <w:rFonts w:asciiTheme="minorHAnsi" w:hAnsiTheme="minorHAnsi" w:cstheme="minorHAnsi"/>
                <w:sz w:val="18"/>
                <w:szCs w:val="18"/>
              </w:rPr>
            </w:pPr>
            <w:r w:rsidRPr="00DD5049">
              <w:rPr>
                <w:rFonts w:asciiTheme="minorHAnsi" w:hAnsiTheme="minorHAnsi" w:cstheme="minorHAnsi"/>
                <w:color w:val="000000"/>
                <w:sz w:val="18"/>
                <w:szCs w:val="18"/>
              </w:rPr>
              <w:t>80</w:t>
            </w:r>
          </w:p>
        </w:tc>
        <w:tc>
          <w:tcPr>
            <w:tcW w:w="496" w:type="pct"/>
            <w:tcBorders>
              <w:top w:val="nil"/>
              <w:left w:val="nil"/>
              <w:bottom w:val="single" w:sz="4" w:space="0" w:color="FFFFFF"/>
              <w:right w:val="single" w:sz="4" w:space="0" w:color="FFFFFF"/>
            </w:tcBorders>
            <w:shd w:val="clear" w:color="auto" w:fill="D9E2F3" w:themeFill="accent5" w:themeFillTint="33"/>
            <w:noWrap/>
            <w:vAlign w:val="center"/>
          </w:tcPr>
          <w:p w14:paraId="4F019F51" w14:textId="69B618A8" w:rsidR="007D2FC9" w:rsidRPr="00D11139" w:rsidRDefault="007D2FC9" w:rsidP="007D2FC9">
            <w:pPr>
              <w:jc w:val="center"/>
              <w:rPr>
                <w:rFonts w:asciiTheme="minorHAnsi" w:hAnsiTheme="minorHAnsi" w:cstheme="minorHAnsi"/>
                <w:sz w:val="18"/>
                <w:szCs w:val="18"/>
              </w:rPr>
            </w:pPr>
            <w:r w:rsidRPr="00D11139">
              <w:rPr>
                <w:rFonts w:ascii="Calibri" w:hAnsi="Calibri" w:cs="Calibri"/>
                <w:color w:val="000000"/>
                <w:sz w:val="16"/>
                <w:szCs w:val="16"/>
              </w:rPr>
              <w:t>707</w:t>
            </w:r>
          </w:p>
        </w:tc>
        <w:tc>
          <w:tcPr>
            <w:tcW w:w="701" w:type="pct"/>
            <w:tcBorders>
              <w:top w:val="nil"/>
              <w:left w:val="nil"/>
              <w:bottom w:val="single" w:sz="4" w:space="0" w:color="FFFFFF"/>
              <w:right w:val="single" w:sz="4" w:space="0" w:color="FFFFFF"/>
            </w:tcBorders>
            <w:shd w:val="clear" w:color="auto" w:fill="D9E2F3" w:themeFill="accent5" w:themeFillTint="33"/>
            <w:noWrap/>
            <w:vAlign w:val="center"/>
          </w:tcPr>
          <w:p w14:paraId="0C49D420" w14:textId="43108E07" w:rsidR="007D2FC9" w:rsidRPr="00DD5049" w:rsidRDefault="007D2FC9" w:rsidP="007D2FC9">
            <w:pPr>
              <w:jc w:val="center"/>
              <w:rPr>
                <w:rFonts w:ascii="Calibri" w:hAnsi="Calibri" w:cs="Calibri"/>
                <w:color w:val="000000"/>
                <w:sz w:val="18"/>
                <w:szCs w:val="18"/>
                <w:highlight w:val="yellow"/>
              </w:rPr>
            </w:pPr>
          </w:p>
        </w:tc>
      </w:tr>
      <w:tr w:rsidR="007D2FC9" w:rsidRPr="008906DF" w14:paraId="470CF7D1" w14:textId="77777777" w:rsidTr="007D2FC9">
        <w:trPr>
          <w:trHeight w:val="225"/>
          <w:jc w:val="center"/>
        </w:trPr>
        <w:tc>
          <w:tcPr>
            <w:tcW w:w="3303" w:type="pct"/>
            <w:tcBorders>
              <w:top w:val="nil"/>
              <w:left w:val="single" w:sz="4" w:space="0" w:color="FFFFFF"/>
              <w:bottom w:val="single" w:sz="4" w:space="0" w:color="FFFFFF"/>
              <w:right w:val="single" w:sz="4" w:space="0" w:color="FFFFFF"/>
            </w:tcBorders>
            <w:shd w:val="clear" w:color="auto" w:fill="D9E2F3" w:themeFill="accent5" w:themeFillTint="33"/>
            <w:noWrap/>
            <w:vAlign w:val="center"/>
          </w:tcPr>
          <w:p w14:paraId="5C4E534A" w14:textId="427932D9" w:rsidR="007D2FC9" w:rsidRPr="00DD5049" w:rsidRDefault="007D2FC9" w:rsidP="007D2FC9">
            <w:pPr>
              <w:rPr>
                <w:rFonts w:ascii="Calibri" w:hAnsi="Calibri" w:cs="Calibri"/>
                <w:color w:val="000000"/>
                <w:sz w:val="18"/>
                <w:szCs w:val="18"/>
              </w:rPr>
            </w:pPr>
            <w:r w:rsidRPr="00DD5049">
              <w:rPr>
                <w:rFonts w:ascii="Calibri" w:hAnsi="Calibri" w:cs="Calibri"/>
                <w:color w:val="000000"/>
                <w:sz w:val="18"/>
                <w:szCs w:val="18"/>
              </w:rPr>
              <w:t>Joaquim Manuel da Cruz Valente</w:t>
            </w:r>
          </w:p>
        </w:tc>
        <w:tc>
          <w:tcPr>
            <w:tcW w:w="500" w:type="pct"/>
            <w:tcBorders>
              <w:top w:val="nil"/>
              <w:left w:val="nil"/>
              <w:bottom w:val="single" w:sz="4" w:space="0" w:color="FFFFFF"/>
              <w:right w:val="single" w:sz="4" w:space="0" w:color="FFFFFF"/>
            </w:tcBorders>
            <w:shd w:val="clear" w:color="auto" w:fill="D9E2F3" w:themeFill="accent5" w:themeFillTint="33"/>
            <w:noWrap/>
          </w:tcPr>
          <w:p w14:paraId="43DE22A9" w14:textId="77777777" w:rsidR="007D2FC9" w:rsidRPr="00DD5049" w:rsidRDefault="007D2FC9" w:rsidP="007D2FC9">
            <w:pPr>
              <w:jc w:val="center"/>
              <w:rPr>
                <w:rFonts w:asciiTheme="minorHAnsi" w:hAnsiTheme="minorHAnsi" w:cstheme="minorHAnsi"/>
                <w:sz w:val="18"/>
                <w:szCs w:val="18"/>
              </w:rPr>
            </w:pPr>
            <w:r w:rsidRPr="00DD5049">
              <w:rPr>
                <w:rFonts w:asciiTheme="minorHAnsi" w:hAnsiTheme="minorHAnsi" w:cstheme="minorHAnsi"/>
                <w:color w:val="000000"/>
                <w:sz w:val="18"/>
                <w:szCs w:val="18"/>
              </w:rPr>
              <w:t>80</w:t>
            </w:r>
          </w:p>
        </w:tc>
        <w:tc>
          <w:tcPr>
            <w:tcW w:w="496" w:type="pct"/>
            <w:tcBorders>
              <w:top w:val="nil"/>
              <w:left w:val="nil"/>
              <w:bottom w:val="single" w:sz="4" w:space="0" w:color="FFFFFF"/>
              <w:right w:val="single" w:sz="4" w:space="0" w:color="FFFFFF"/>
            </w:tcBorders>
            <w:shd w:val="clear" w:color="auto" w:fill="D9E2F3" w:themeFill="accent5" w:themeFillTint="33"/>
            <w:noWrap/>
            <w:vAlign w:val="center"/>
          </w:tcPr>
          <w:p w14:paraId="3BE492FF" w14:textId="7639CFAB" w:rsidR="007D2FC9" w:rsidRPr="00D11139" w:rsidRDefault="007D2FC9" w:rsidP="007D2FC9">
            <w:pPr>
              <w:jc w:val="center"/>
              <w:rPr>
                <w:rFonts w:asciiTheme="minorHAnsi" w:hAnsiTheme="minorHAnsi" w:cstheme="minorHAnsi"/>
                <w:sz w:val="18"/>
                <w:szCs w:val="18"/>
              </w:rPr>
            </w:pPr>
            <w:r w:rsidRPr="00D11139">
              <w:rPr>
                <w:rFonts w:ascii="Calibri" w:hAnsi="Calibri" w:cs="Calibri"/>
                <w:color w:val="000000"/>
                <w:sz w:val="16"/>
                <w:szCs w:val="16"/>
              </w:rPr>
              <w:t>639</w:t>
            </w:r>
          </w:p>
        </w:tc>
        <w:tc>
          <w:tcPr>
            <w:tcW w:w="701" w:type="pct"/>
            <w:tcBorders>
              <w:top w:val="nil"/>
              <w:left w:val="nil"/>
              <w:bottom w:val="single" w:sz="4" w:space="0" w:color="FFFFFF"/>
              <w:right w:val="single" w:sz="4" w:space="0" w:color="FFFFFF"/>
            </w:tcBorders>
            <w:shd w:val="clear" w:color="auto" w:fill="D9E2F3" w:themeFill="accent5" w:themeFillTint="33"/>
            <w:noWrap/>
          </w:tcPr>
          <w:p w14:paraId="4AE8262A" w14:textId="6D257A95" w:rsidR="007D2FC9" w:rsidRPr="00DD5049" w:rsidRDefault="007D2FC9" w:rsidP="007D2FC9">
            <w:pPr>
              <w:jc w:val="center"/>
              <w:rPr>
                <w:rFonts w:ascii="Calibri" w:hAnsi="Calibri" w:cs="Calibri"/>
                <w:color w:val="000000"/>
                <w:sz w:val="18"/>
                <w:szCs w:val="18"/>
                <w:highlight w:val="yellow"/>
              </w:rPr>
            </w:pPr>
          </w:p>
        </w:tc>
      </w:tr>
      <w:tr w:rsidR="007D2FC9" w:rsidRPr="009442B9" w14:paraId="0C07D642" w14:textId="77777777" w:rsidTr="007D2FC9">
        <w:trPr>
          <w:trHeight w:val="225"/>
          <w:jc w:val="center"/>
        </w:trPr>
        <w:tc>
          <w:tcPr>
            <w:tcW w:w="3303" w:type="pct"/>
            <w:tcBorders>
              <w:top w:val="nil"/>
              <w:left w:val="single" w:sz="4" w:space="0" w:color="FFFFFF"/>
              <w:bottom w:val="single" w:sz="4" w:space="0" w:color="FFFFFF"/>
              <w:right w:val="single" w:sz="4" w:space="0" w:color="FFFFFF"/>
            </w:tcBorders>
            <w:shd w:val="clear" w:color="auto" w:fill="D9E2F3" w:themeFill="accent5" w:themeFillTint="33"/>
            <w:noWrap/>
            <w:vAlign w:val="center"/>
          </w:tcPr>
          <w:p w14:paraId="578BEF9B" w14:textId="74516AA5" w:rsidR="007D2FC9" w:rsidRPr="00DD5049" w:rsidRDefault="007D2FC9" w:rsidP="007D2FC9">
            <w:pPr>
              <w:rPr>
                <w:rFonts w:ascii="Calibri" w:hAnsi="Calibri" w:cs="Calibri"/>
                <w:color w:val="000000"/>
                <w:sz w:val="18"/>
                <w:szCs w:val="18"/>
              </w:rPr>
            </w:pPr>
            <w:r w:rsidRPr="00DD5049">
              <w:rPr>
                <w:rFonts w:ascii="Calibri" w:hAnsi="Calibri" w:cs="Calibri"/>
                <w:color w:val="000000"/>
                <w:sz w:val="18"/>
                <w:szCs w:val="18"/>
              </w:rPr>
              <w:t>António José Fonseca Duarte</w:t>
            </w:r>
          </w:p>
        </w:tc>
        <w:tc>
          <w:tcPr>
            <w:tcW w:w="500" w:type="pct"/>
            <w:tcBorders>
              <w:top w:val="nil"/>
              <w:left w:val="nil"/>
              <w:bottom w:val="single" w:sz="4" w:space="0" w:color="FFFFFF"/>
              <w:right w:val="single" w:sz="4" w:space="0" w:color="FFFFFF"/>
            </w:tcBorders>
            <w:shd w:val="clear" w:color="auto" w:fill="D9E2F3" w:themeFill="accent5" w:themeFillTint="33"/>
            <w:noWrap/>
          </w:tcPr>
          <w:p w14:paraId="2E73EF9E" w14:textId="77777777" w:rsidR="007D2FC9" w:rsidRPr="00DD5049" w:rsidRDefault="007D2FC9" w:rsidP="007D2FC9">
            <w:pPr>
              <w:jc w:val="center"/>
              <w:rPr>
                <w:rFonts w:ascii="Calibri" w:hAnsi="Calibri" w:cs="Calibri"/>
                <w:color w:val="000000"/>
                <w:sz w:val="18"/>
                <w:szCs w:val="18"/>
              </w:rPr>
            </w:pPr>
            <w:r w:rsidRPr="00DD5049">
              <w:rPr>
                <w:rFonts w:ascii="Calibri" w:hAnsi="Calibri" w:cs="Calibri"/>
                <w:color w:val="000000"/>
                <w:sz w:val="18"/>
                <w:szCs w:val="18"/>
              </w:rPr>
              <w:t>80</w:t>
            </w:r>
          </w:p>
        </w:tc>
        <w:tc>
          <w:tcPr>
            <w:tcW w:w="496" w:type="pct"/>
            <w:tcBorders>
              <w:top w:val="nil"/>
              <w:left w:val="nil"/>
              <w:bottom w:val="single" w:sz="4" w:space="0" w:color="FFFFFF"/>
              <w:right w:val="single" w:sz="4" w:space="0" w:color="FFFFFF"/>
            </w:tcBorders>
            <w:shd w:val="clear" w:color="auto" w:fill="D9E2F3" w:themeFill="accent5" w:themeFillTint="33"/>
            <w:noWrap/>
            <w:vAlign w:val="center"/>
          </w:tcPr>
          <w:p w14:paraId="30BC3FDD" w14:textId="273A3BC4" w:rsidR="007D2FC9" w:rsidRPr="00D11139" w:rsidRDefault="007D2FC9" w:rsidP="007D2FC9">
            <w:pPr>
              <w:jc w:val="center"/>
              <w:rPr>
                <w:rFonts w:ascii="Calibri" w:hAnsi="Calibri" w:cs="Calibri"/>
                <w:color w:val="000000"/>
                <w:sz w:val="18"/>
                <w:szCs w:val="18"/>
              </w:rPr>
            </w:pPr>
            <w:r w:rsidRPr="00D11139">
              <w:rPr>
                <w:rFonts w:ascii="Calibri" w:hAnsi="Calibri" w:cs="Calibri"/>
                <w:color w:val="000000"/>
                <w:sz w:val="16"/>
                <w:szCs w:val="16"/>
              </w:rPr>
              <w:t>720</w:t>
            </w:r>
          </w:p>
        </w:tc>
        <w:tc>
          <w:tcPr>
            <w:tcW w:w="701" w:type="pct"/>
            <w:tcBorders>
              <w:top w:val="nil"/>
              <w:left w:val="nil"/>
              <w:bottom w:val="single" w:sz="4" w:space="0" w:color="FFFFFF"/>
              <w:right w:val="single" w:sz="4" w:space="0" w:color="FFFFFF"/>
            </w:tcBorders>
            <w:shd w:val="clear" w:color="auto" w:fill="D9E2F3" w:themeFill="accent5" w:themeFillTint="33"/>
            <w:noWrap/>
          </w:tcPr>
          <w:p w14:paraId="40EAD55B" w14:textId="1935E14A" w:rsidR="007D2FC9" w:rsidRPr="00DD5049" w:rsidRDefault="007D2FC9" w:rsidP="007D2FC9">
            <w:pPr>
              <w:rPr>
                <w:rFonts w:ascii="Calibri" w:hAnsi="Calibri" w:cs="Calibri"/>
                <w:color w:val="000000"/>
                <w:sz w:val="18"/>
                <w:szCs w:val="18"/>
              </w:rPr>
            </w:pPr>
          </w:p>
        </w:tc>
      </w:tr>
      <w:tr w:rsidR="007D2FC9" w:rsidRPr="009442B9" w14:paraId="1D809DA0" w14:textId="77777777" w:rsidTr="007D2FC9">
        <w:trPr>
          <w:trHeight w:val="225"/>
          <w:jc w:val="center"/>
        </w:trPr>
        <w:tc>
          <w:tcPr>
            <w:tcW w:w="3303" w:type="pct"/>
            <w:tcBorders>
              <w:top w:val="nil"/>
              <w:left w:val="single" w:sz="4" w:space="0" w:color="FFFFFF"/>
              <w:bottom w:val="single" w:sz="4" w:space="0" w:color="FFFFFF"/>
              <w:right w:val="single" w:sz="4" w:space="0" w:color="FFFFFF"/>
            </w:tcBorders>
            <w:shd w:val="clear" w:color="auto" w:fill="D9E2F3" w:themeFill="accent5" w:themeFillTint="33"/>
            <w:noWrap/>
            <w:vAlign w:val="center"/>
          </w:tcPr>
          <w:p w14:paraId="72FD1378" w14:textId="0E4D8959" w:rsidR="007D2FC9" w:rsidRPr="00DD5049" w:rsidRDefault="007D2FC9" w:rsidP="007D2FC9">
            <w:pPr>
              <w:rPr>
                <w:rFonts w:ascii="Calibri" w:hAnsi="Calibri" w:cs="Calibri"/>
                <w:color w:val="000000"/>
                <w:sz w:val="18"/>
                <w:szCs w:val="18"/>
              </w:rPr>
            </w:pPr>
            <w:r w:rsidRPr="00DD5049">
              <w:rPr>
                <w:rFonts w:ascii="Calibri" w:hAnsi="Calibri" w:cs="Calibri"/>
                <w:color w:val="000000"/>
                <w:sz w:val="18"/>
                <w:szCs w:val="18"/>
              </w:rPr>
              <w:t xml:space="preserve">Filipe Carlos Mendes de Sousa </w:t>
            </w:r>
            <w:r w:rsidRPr="00DD5049">
              <w:rPr>
                <w:rFonts w:ascii="Calibri" w:hAnsi="Calibri" w:cs="Calibri"/>
                <w:color w:val="000000"/>
                <w:sz w:val="18"/>
                <w:szCs w:val="18"/>
                <w:vertAlign w:val="superscript"/>
              </w:rPr>
              <w:t>(1)</w:t>
            </w:r>
          </w:p>
        </w:tc>
        <w:tc>
          <w:tcPr>
            <w:tcW w:w="500" w:type="pct"/>
            <w:tcBorders>
              <w:top w:val="nil"/>
              <w:left w:val="nil"/>
              <w:bottom w:val="single" w:sz="4" w:space="0" w:color="FFFFFF"/>
              <w:right w:val="single" w:sz="4" w:space="0" w:color="FFFFFF"/>
            </w:tcBorders>
            <w:shd w:val="clear" w:color="auto" w:fill="D9E2F3" w:themeFill="accent5" w:themeFillTint="33"/>
            <w:noWrap/>
          </w:tcPr>
          <w:p w14:paraId="71E0DD06" w14:textId="1DC4CFA3" w:rsidR="007D2FC9" w:rsidRPr="00DD5049" w:rsidRDefault="007D2FC9" w:rsidP="007D2FC9">
            <w:pPr>
              <w:jc w:val="center"/>
              <w:rPr>
                <w:rFonts w:ascii="Calibri" w:hAnsi="Calibri" w:cs="Calibri"/>
                <w:color w:val="000000"/>
                <w:sz w:val="18"/>
                <w:szCs w:val="18"/>
              </w:rPr>
            </w:pPr>
            <w:r w:rsidRPr="00DD5049">
              <w:rPr>
                <w:rFonts w:ascii="Calibri" w:hAnsi="Calibri" w:cs="Calibri"/>
                <w:color w:val="000000"/>
                <w:sz w:val="18"/>
                <w:szCs w:val="18"/>
              </w:rPr>
              <w:t>80</w:t>
            </w:r>
          </w:p>
        </w:tc>
        <w:tc>
          <w:tcPr>
            <w:tcW w:w="496" w:type="pct"/>
            <w:tcBorders>
              <w:top w:val="nil"/>
              <w:left w:val="nil"/>
              <w:bottom w:val="single" w:sz="4" w:space="0" w:color="FFFFFF"/>
              <w:right w:val="single" w:sz="4" w:space="0" w:color="FFFFFF"/>
            </w:tcBorders>
            <w:shd w:val="clear" w:color="auto" w:fill="D9E2F3" w:themeFill="accent5" w:themeFillTint="33"/>
            <w:noWrap/>
            <w:vAlign w:val="center"/>
          </w:tcPr>
          <w:p w14:paraId="5A8C27E3" w14:textId="082ED8B4" w:rsidR="007D2FC9" w:rsidRPr="00D11139" w:rsidRDefault="007D2FC9" w:rsidP="007D2FC9">
            <w:pPr>
              <w:jc w:val="center"/>
              <w:rPr>
                <w:rFonts w:ascii="Calibri" w:hAnsi="Calibri" w:cs="Calibri"/>
                <w:color w:val="000000"/>
                <w:sz w:val="18"/>
                <w:szCs w:val="18"/>
              </w:rPr>
            </w:pPr>
            <w:r w:rsidRPr="00D11139">
              <w:rPr>
                <w:rFonts w:ascii="Calibri" w:hAnsi="Calibri" w:cs="Calibri"/>
                <w:color w:val="000000"/>
                <w:sz w:val="16"/>
                <w:szCs w:val="16"/>
              </w:rPr>
              <w:t>120</w:t>
            </w:r>
          </w:p>
        </w:tc>
        <w:tc>
          <w:tcPr>
            <w:tcW w:w="701" w:type="pct"/>
            <w:tcBorders>
              <w:top w:val="nil"/>
              <w:left w:val="nil"/>
              <w:bottom w:val="single" w:sz="4" w:space="0" w:color="FFFFFF"/>
              <w:right w:val="single" w:sz="4" w:space="0" w:color="FFFFFF"/>
            </w:tcBorders>
            <w:shd w:val="clear" w:color="auto" w:fill="D9E2F3" w:themeFill="accent5" w:themeFillTint="33"/>
            <w:noWrap/>
          </w:tcPr>
          <w:p w14:paraId="4DE32148" w14:textId="77777777" w:rsidR="007D2FC9" w:rsidRPr="00DD5049" w:rsidRDefault="007D2FC9" w:rsidP="007D2FC9">
            <w:pPr>
              <w:rPr>
                <w:rFonts w:ascii="Calibri" w:hAnsi="Calibri" w:cs="Calibri"/>
                <w:color w:val="000000"/>
                <w:sz w:val="18"/>
                <w:szCs w:val="18"/>
              </w:rPr>
            </w:pPr>
          </w:p>
        </w:tc>
      </w:tr>
      <w:tr w:rsidR="007D2FC9" w:rsidRPr="009442B9" w14:paraId="26581689" w14:textId="77777777" w:rsidTr="007D2FC9">
        <w:trPr>
          <w:trHeight w:val="225"/>
          <w:jc w:val="center"/>
        </w:trPr>
        <w:tc>
          <w:tcPr>
            <w:tcW w:w="3303" w:type="pct"/>
            <w:tcBorders>
              <w:top w:val="nil"/>
              <w:left w:val="single" w:sz="4" w:space="0" w:color="FFFFFF"/>
              <w:bottom w:val="single" w:sz="4" w:space="0" w:color="FFFFFF"/>
              <w:right w:val="single" w:sz="4" w:space="0" w:color="FFFFFF"/>
            </w:tcBorders>
            <w:shd w:val="clear" w:color="auto" w:fill="D9E2F3" w:themeFill="accent5" w:themeFillTint="33"/>
            <w:noWrap/>
            <w:vAlign w:val="center"/>
          </w:tcPr>
          <w:p w14:paraId="16048271" w14:textId="4F9AE5BC" w:rsidR="007D2FC9" w:rsidRPr="00DD5049" w:rsidRDefault="007D2FC9" w:rsidP="007D2FC9">
            <w:pPr>
              <w:rPr>
                <w:rFonts w:ascii="Calibri" w:hAnsi="Calibri" w:cs="Calibri"/>
                <w:color w:val="000000"/>
                <w:sz w:val="18"/>
                <w:szCs w:val="18"/>
              </w:rPr>
            </w:pPr>
            <w:r w:rsidRPr="00DD5049">
              <w:rPr>
                <w:rFonts w:ascii="Calibri" w:hAnsi="Calibri" w:cs="Calibri"/>
                <w:color w:val="000000"/>
                <w:sz w:val="18"/>
                <w:szCs w:val="18"/>
              </w:rPr>
              <w:t xml:space="preserve">Susana Cristina Vaz Velho Larisma </w:t>
            </w:r>
            <w:r w:rsidRPr="00DD5049">
              <w:rPr>
                <w:rFonts w:ascii="Calibri" w:hAnsi="Calibri" w:cs="Calibri"/>
                <w:color w:val="000000"/>
                <w:sz w:val="18"/>
                <w:szCs w:val="18"/>
                <w:vertAlign w:val="superscript"/>
              </w:rPr>
              <w:t>(2)</w:t>
            </w:r>
          </w:p>
        </w:tc>
        <w:tc>
          <w:tcPr>
            <w:tcW w:w="500" w:type="pct"/>
            <w:tcBorders>
              <w:top w:val="nil"/>
              <w:left w:val="nil"/>
              <w:bottom w:val="single" w:sz="4" w:space="0" w:color="FFFFFF"/>
              <w:right w:val="single" w:sz="4" w:space="0" w:color="FFFFFF"/>
            </w:tcBorders>
            <w:shd w:val="clear" w:color="auto" w:fill="D9E2F3" w:themeFill="accent5" w:themeFillTint="33"/>
            <w:noWrap/>
          </w:tcPr>
          <w:p w14:paraId="460CE9F0" w14:textId="19418D84" w:rsidR="007D2FC9" w:rsidRPr="00DD5049" w:rsidRDefault="007D2FC9" w:rsidP="007D2FC9">
            <w:pPr>
              <w:jc w:val="center"/>
              <w:rPr>
                <w:rFonts w:ascii="Calibri" w:hAnsi="Calibri" w:cs="Calibri"/>
                <w:color w:val="000000"/>
                <w:sz w:val="18"/>
                <w:szCs w:val="18"/>
              </w:rPr>
            </w:pPr>
            <w:r w:rsidRPr="00DD5049">
              <w:rPr>
                <w:rFonts w:ascii="Calibri" w:hAnsi="Calibri" w:cs="Calibri"/>
                <w:color w:val="000000"/>
                <w:sz w:val="18"/>
                <w:szCs w:val="18"/>
              </w:rPr>
              <w:t>80</w:t>
            </w:r>
          </w:p>
        </w:tc>
        <w:tc>
          <w:tcPr>
            <w:tcW w:w="496" w:type="pct"/>
            <w:tcBorders>
              <w:top w:val="single" w:sz="4" w:space="0" w:color="FFFFFF"/>
              <w:left w:val="nil"/>
              <w:bottom w:val="single" w:sz="4" w:space="0" w:color="auto"/>
              <w:right w:val="single" w:sz="4" w:space="0" w:color="FFFFFF"/>
            </w:tcBorders>
            <w:shd w:val="clear" w:color="auto" w:fill="D9E2F3" w:themeFill="accent5" w:themeFillTint="33"/>
            <w:noWrap/>
            <w:vAlign w:val="center"/>
          </w:tcPr>
          <w:p w14:paraId="78778190" w14:textId="0873000E" w:rsidR="007D2FC9" w:rsidRPr="00D11139" w:rsidRDefault="007D2FC9" w:rsidP="007D2FC9">
            <w:pPr>
              <w:jc w:val="center"/>
              <w:rPr>
                <w:rFonts w:ascii="Calibri" w:hAnsi="Calibri" w:cs="Calibri"/>
                <w:color w:val="000000"/>
                <w:sz w:val="18"/>
                <w:szCs w:val="18"/>
              </w:rPr>
            </w:pPr>
            <w:r w:rsidRPr="00D11139">
              <w:rPr>
                <w:rFonts w:ascii="Calibri" w:hAnsi="Calibri" w:cs="Calibri"/>
                <w:color w:val="000000"/>
                <w:sz w:val="16"/>
                <w:szCs w:val="16"/>
              </w:rPr>
              <w:t>14</w:t>
            </w:r>
          </w:p>
        </w:tc>
        <w:tc>
          <w:tcPr>
            <w:tcW w:w="701" w:type="pct"/>
            <w:tcBorders>
              <w:top w:val="nil"/>
              <w:left w:val="nil"/>
              <w:bottom w:val="single" w:sz="4" w:space="0" w:color="FFFFFF"/>
              <w:right w:val="single" w:sz="4" w:space="0" w:color="FFFFFF"/>
            </w:tcBorders>
            <w:shd w:val="clear" w:color="auto" w:fill="D9E2F3" w:themeFill="accent5" w:themeFillTint="33"/>
            <w:noWrap/>
          </w:tcPr>
          <w:p w14:paraId="1BB2684D" w14:textId="77777777" w:rsidR="007D2FC9" w:rsidRPr="00DD5049" w:rsidRDefault="007D2FC9" w:rsidP="007D2FC9">
            <w:pPr>
              <w:rPr>
                <w:rFonts w:ascii="Calibri" w:hAnsi="Calibri" w:cs="Calibri"/>
                <w:color w:val="000000"/>
                <w:sz w:val="18"/>
                <w:szCs w:val="18"/>
              </w:rPr>
            </w:pPr>
          </w:p>
        </w:tc>
      </w:tr>
      <w:tr w:rsidR="004D1585" w:rsidRPr="009442B9" w14:paraId="0DE102A1" w14:textId="77777777" w:rsidTr="007D2FC9">
        <w:trPr>
          <w:trHeight w:val="225"/>
          <w:jc w:val="center"/>
        </w:trPr>
        <w:tc>
          <w:tcPr>
            <w:tcW w:w="3303" w:type="pct"/>
            <w:tcBorders>
              <w:top w:val="nil"/>
              <w:left w:val="single" w:sz="4" w:space="0" w:color="FFFFFF"/>
              <w:bottom w:val="single" w:sz="4" w:space="0" w:color="FFFFFF"/>
              <w:right w:val="single" w:sz="4" w:space="0" w:color="FFFFFF"/>
            </w:tcBorders>
            <w:shd w:val="clear" w:color="auto" w:fill="FFFFFF" w:themeFill="background1"/>
            <w:noWrap/>
            <w:vAlign w:val="center"/>
          </w:tcPr>
          <w:p w14:paraId="63170B23" w14:textId="77777777" w:rsidR="004D1585" w:rsidRPr="00DD5049" w:rsidRDefault="004D1585" w:rsidP="00F53A31">
            <w:pPr>
              <w:rPr>
                <w:rFonts w:ascii="Calibri" w:hAnsi="Calibri" w:cs="Calibri"/>
                <w:color w:val="000000"/>
                <w:sz w:val="18"/>
                <w:szCs w:val="18"/>
              </w:rPr>
            </w:pPr>
          </w:p>
        </w:tc>
        <w:tc>
          <w:tcPr>
            <w:tcW w:w="500" w:type="pct"/>
            <w:tcBorders>
              <w:top w:val="nil"/>
              <w:left w:val="nil"/>
              <w:bottom w:val="single" w:sz="4" w:space="0" w:color="FFFFFF"/>
              <w:right w:val="single" w:sz="4" w:space="0" w:color="FFFFFF"/>
            </w:tcBorders>
            <w:shd w:val="clear" w:color="auto" w:fill="FFFFFF" w:themeFill="background1"/>
            <w:noWrap/>
          </w:tcPr>
          <w:p w14:paraId="061323D9" w14:textId="77777777" w:rsidR="004D1585" w:rsidRPr="00DD5049" w:rsidRDefault="004D1585" w:rsidP="00913CFD">
            <w:pPr>
              <w:jc w:val="center"/>
              <w:rPr>
                <w:rFonts w:ascii="Calibri" w:hAnsi="Calibri" w:cs="Calibri"/>
                <w:color w:val="000000"/>
                <w:sz w:val="18"/>
                <w:szCs w:val="18"/>
              </w:rPr>
            </w:pPr>
          </w:p>
        </w:tc>
        <w:tc>
          <w:tcPr>
            <w:tcW w:w="496" w:type="pct"/>
            <w:tcBorders>
              <w:top w:val="single" w:sz="4" w:space="0" w:color="auto"/>
              <w:left w:val="nil"/>
              <w:bottom w:val="single" w:sz="4" w:space="0" w:color="FFFFFF"/>
              <w:right w:val="single" w:sz="4" w:space="0" w:color="FFFFFF"/>
            </w:tcBorders>
            <w:shd w:val="clear" w:color="auto" w:fill="D9E2F3" w:themeFill="accent5" w:themeFillTint="33"/>
            <w:noWrap/>
            <w:vAlign w:val="center"/>
          </w:tcPr>
          <w:p w14:paraId="2752DF0D" w14:textId="73A2EB0E" w:rsidR="004D1585" w:rsidRPr="00D11139" w:rsidRDefault="00D11139" w:rsidP="00913CFD">
            <w:pPr>
              <w:jc w:val="center"/>
              <w:rPr>
                <w:rFonts w:ascii="Calibri" w:hAnsi="Calibri" w:cs="Calibri"/>
                <w:b/>
                <w:bCs/>
                <w:color w:val="000000"/>
                <w:sz w:val="18"/>
                <w:szCs w:val="18"/>
              </w:rPr>
            </w:pPr>
            <w:r w:rsidRPr="00D11139">
              <w:rPr>
                <w:rFonts w:ascii="Calibri" w:hAnsi="Calibri" w:cs="Calibri"/>
                <w:b/>
                <w:bCs/>
                <w:color w:val="000000"/>
                <w:sz w:val="18"/>
                <w:szCs w:val="18"/>
              </w:rPr>
              <w:t>2 200</w:t>
            </w:r>
          </w:p>
        </w:tc>
        <w:tc>
          <w:tcPr>
            <w:tcW w:w="701" w:type="pct"/>
            <w:tcBorders>
              <w:top w:val="nil"/>
              <w:left w:val="nil"/>
              <w:bottom w:val="single" w:sz="4" w:space="0" w:color="FFFFFF"/>
              <w:right w:val="single" w:sz="4" w:space="0" w:color="FFFFFF"/>
            </w:tcBorders>
            <w:shd w:val="clear" w:color="auto" w:fill="FFFFFF" w:themeFill="background1"/>
            <w:noWrap/>
          </w:tcPr>
          <w:p w14:paraId="3143B770" w14:textId="77777777" w:rsidR="004D1585" w:rsidRPr="00DD5049" w:rsidRDefault="004D1585" w:rsidP="009442B9">
            <w:pPr>
              <w:rPr>
                <w:rFonts w:ascii="Calibri" w:hAnsi="Calibri" w:cs="Calibri"/>
                <w:color w:val="000000"/>
                <w:sz w:val="18"/>
                <w:szCs w:val="18"/>
              </w:rPr>
            </w:pPr>
          </w:p>
        </w:tc>
      </w:tr>
    </w:tbl>
    <w:p w14:paraId="431C03F4" w14:textId="1F346B99" w:rsidR="009442B9" w:rsidRPr="009D29E1" w:rsidRDefault="009D29E1" w:rsidP="009D29E1">
      <w:pPr>
        <w:ind w:left="284"/>
        <w:jc w:val="both"/>
        <w:rPr>
          <w:rFonts w:asciiTheme="minorHAnsi" w:hAnsiTheme="minorHAnsi" w:cstheme="minorHAnsi"/>
          <w:sz w:val="14"/>
          <w:szCs w:val="14"/>
          <w:lang w:eastAsia="en-US"/>
        </w:rPr>
      </w:pPr>
      <w:r w:rsidRPr="009D29E1">
        <w:rPr>
          <w:rFonts w:asciiTheme="minorHAnsi" w:hAnsiTheme="minorHAnsi" w:cstheme="minorHAnsi"/>
          <w:sz w:val="14"/>
          <w:szCs w:val="14"/>
          <w:vertAlign w:val="superscript"/>
          <w:lang w:eastAsia="en-US"/>
        </w:rPr>
        <w:t>(1)</w:t>
      </w:r>
      <w:r w:rsidRPr="009D29E1">
        <w:rPr>
          <w:rFonts w:asciiTheme="minorHAnsi" w:hAnsiTheme="minorHAnsi" w:cstheme="minorHAnsi"/>
          <w:sz w:val="14"/>
          <w:szCs w:val="14"/>
          <w:lang w:eastAsia="en-US"/>
        </w:rPr>
        <w:t xml:space="preserve"> </w:t>
      </w:r>
      <w:r>
        <w:rPr>
          <w:rFonts w:asciiTheme="minorHAnsi" w:hAnsiTheme="minorHAnsi" w:cstheme="minorHAnsi"/>
          <w:sz w:val="14"/>
          <w:szCs w:val="14"/>
          <w:lang w:eastAsia="en-US"/>
        </w:rPr>
        <w:t>I</w:t>
      </w:r>
      <w:r w:rsidRPr="009D29E1">
        <w:rPr>
          <w:rFonts w:asciiTheme="minorHAnsi" w:hAnsiTheme="minorHAnsi" w:cstheme="minorHAnsi"/>
          <w:sz w:val="14"/>
          <w:szCs w:val="14"/>
          <w:lang w:eastAsia="en-US"/>
        </w:rPr>
        <w:t>ntegrou o C</w:t>
      </w:r>
      <w:r w:rsidR="00130049">
        <w:rPr>
          <w:rFonts w:asciiTheme="minorHAnsi" w:hAnsiTheme="minorHAnsi" w:cstheme="minorHAnsi"/>
          <w:sz w:val="14"/>
          <w:szCs w:val="14"/>
          <w:lang w:eastAsia="en-US"/>
        </w:rPr>
        <w:t>.</w:t>
      </w:r>
      <w:r w:rsidRPr="009D29E1">
        <w:rPr>
          <w:rFonts w:asciiTheme="minorHAnsi" w:hAnsiTheme="minorHAnsi" w:cstheme="minorHAnsi"/>
          <w:sz w:val="14"/>
          <w:szCs w:val="14"/>
          <w:lang w:eastAsia="en-US"/>
        </w:rPr>
        <w:t>A</w:t>
      </w:r>
      <w:r w:rsidR="00130049">
        <w:rPr>
          <w:rFonts w:asciiTheme="minorHAnsi" w:hAnsiTheme="minorHAnsi" w:cstheme="minorHAnsi"/>
          <w:sz w:val="14"/>
          <w:szCs w:val="14"/>
          <w:lang w:eastAsia="en-US"/>
        </w:rPr>
        <w:t>.</w:t>
      </w:r>
      <w:r w:rsidRPr="009D29E1">
        <w:rPr>
          <w:rFonts w:asciiTheme="minorHAnsi" w:hAnsiTheme="minorHAnsi" w:cstheme="minorHAnsi"/>
          <w:sz w:val="14"/>
          <w:szCs w:val="14"/>
          <w:lang w:eastAsia="en-US"/>
        </w:rPr>
        <w:t xml:space="preserve"> da </w:t>
      </w:r>
      <w:r w:rsidR="00130049" w:rsidRPr="009D29E1">
        <w:rPr>
          <w:rFonts w:asciiTheme="minorHAnsi" w:hAnsiTheme="minorHAnsi" w:cstheme="minorHAnsi"/>
          <w:sz w:val="14"/>
          <w:szCs w:val="14"/>
          <w:lang w:eastAsia="en-US"/>
        </w:rPr>
        <w:t>PARVALOREM</w:t>
      </w:r>
      <w:r w:rsidRPr="009D29E1">
        <w:rPr>
          <w:rFonts w:asciiTheme="minorHAnsi" w:hAnsiTheme="minorHAnsi" w:cstheme="minorHAnsi"/>
          <w:sz w:val="14"/>
          <w:szCs w:val="14"/>
          <w:lang w:eastAsia="en-US"/>
        </w:rPr>
        <w:t xml:space="preserve"> no mês de janeiro e na </w:t>
      </w:r>
      <w:r w:rsidR="00130049" w:rsidRPr="009D29E1">
        <w:rPr>
          <w:rFonts w:asciiTheme="minorHAnsi" w:hAnsiTheme="minorHAnsi" w:cstheme="minorHAnsi"/>
          <w:sz w:val="14"/>
          <w:szCs w:val="14"/>
          <w:lang w:eastAsia="en-US"/>
        </w:rPr>
        <w:t>IMOFUNDOS</w:t>
      </w:r>
      <w:r w:rsidRPr="009D29E1">
        <w:rPr>
          <w:rFonts w:asciiTheme="minorHAnsi" w:hAnsiTheme="minorHAnsi" w:cstheme="minorHAnsi"/>
          <w:sz w:val="14"/>
          <w:szCs w:val="14"/>
          <w:lang w:eastAsia="en-US"/>
        </w:rPr>
        <w:t xml:space="preserve"> de fevereiro a junho 2025</w:t>
      </w:r>
    </w:p>
    <w:p w14:paraId="0D85C706" w14:textId="31F48431" w:rsidR="009D29E1" w:rsidRPr="009D29E1" w:rsidRDefault="009D29E1" w:rsidP="009D29E1">
      <w:pPr>
        <w:ind w:left="284"/>
        <w:jc w:val="both"/>
        <w:rPr>
          <w:rFonts w:asciiTheme="minorHAnsi" w:hAnsiTheme="minorHAnsi" w:cstheme="minorHAnsi"/>
          <w:sz w:val="16"/>
          <w:szCs w:val="16"/>
          <w:lang w:eastAsia="en-US"/>
        </w:rPr>
      </w:pPr>
      <w:r w:rsidRPr="009D29E1">
        <w:rPr>
          <w:rFonts w:asciiTheme="minorHAnsi" w:hAnsiTheme="minorHAnsi" w:cstheme="minorHAnsi"/>
          <w:sz w:val="14"/>
          <w:szCs w:val="14"/>
          <w:vertAlign w:val="superscript"/>
          <w:lang w:eastAsia="en-US"/>
        </w:rPr>
        <w:t>(2)</w:t>
      </w:r>
      <w:r w:rsidRPr="009D29E1">
        <w:rPr>
          <w:rFonts w:asciiTheme="minorHAnsi" w:hAnsiTheme="minorHAnsi" w:cstheme="minorHAnsi"/>
          <w:sz w:val="14"/>
          <w:szCs w:val="14"/>
          <w:lang w:eastAsia="en-US"/>
        </w:rPr>
        <w:t xml:space="preserve"> </w:t>
      </w:r>
      <w:r>
        <w:rPr>
          <w:rFonts w:asciiTheme="minorHAnsi" w:hAnsiTheme="minorHAnsi" w:cstheme="minorHAnsi"/>
          <w:sz w:val="14"/>
          <w:szCs w:val="14"/>
          <w:lang w:eastAsia="en-US"/>
        </w:rPr>
        <w:t>I</w:t>
      </w:r>
      <w:r w:rsidRPr="009D29E1">
        <w:rPr>
          <w:rFonts w:asciiTheme="minorHAnsi" w:hAnsiTheme="minorHAnsi" w:cstheme="minorHAnsi"/>
          <w:sz w:val="14"/>
          <w:szCs w:val="14"/>
          <w:lang w:eastAsia="en-US"/>
        </w:rPr>
        <w:t>ntegrou o C</w:t>
      </w:r>
      <w:r w:rsidR="00130049">
        <w:rPr>
          <w:rFonts w:asciiTheme="minorHAnsi" w:hAnsiTheme="minorHAnsi" w:cstheme="minorHAnsi"/>
          <w:sz w:val="14"/>
          <w:szCs w:val="14"/>
          <w:lang w:eastAsia="en-US"/>
        </w:rPr>
        <w:t>.</w:t>
      </w:r>
      <w:r w:rsidRPr="009D29E1">
        <w:rPr>
          <w:rFonts w:asciiTheme="minorHAnsi" w:hAnsiTheme="minorHAnsi" w:cstheme="minorHAnsi"/>
          <w:sz w:val="14"/>
          <w:szCs w:val="14"/>
          <w:lang w:eastAsia="en-US"/>
        </w:rPr>
        <w:t>A</w:t>
      </w:r>
      <w:r w:rsidR="00130049">
        <w:rPr>
          <w:rFonts w:asciiTheme="minorHAnsi" w:hAnsiTheme="minorHAnsi" w:cstheme="minorHAnsi"/>
          <w:sz w:val="14"/>
          <w:szCs w:val="14"/>
          <w:lang w:eastAsia="en-US"/>
        </w:rPr>
        <w:t>.</w:t>
      </w:r>
      <w:r w:rsidRPr="009D29E1">
        <w:rPr>
          <w:rFonts w:asciiTheme="minorHAnsi" w:hAnsiTheme="minorHAnsi" w:cstheme="minorHAnsi"/>
          <w:sz w:val="14"/>
          <w:szCs w:val="14"/>
          <w:lang w:eastAsia="en-US"/>
        </w:rPr>
        <w:t xml:space="preserve"> da </w:t>
      </w:r>
      <w:r w:rsidR="00130049" w:rsidRPr="009D29E1">
        <w:rPr>
          <w:rFonts w:asciiTheme="minorHAnsi" w:hAnsiTheme="minorHAnsi" w:cstheme="minorHAnsi"/>
          <w:sz w:val="14"/>
          <w:szCs w:val="14"/>
          <w:lang w:eastAsia="en-US"/>
        </w:rPr>
        <w:t>PARVALOREM</w:t>
      </w:r>
      <w:r w:rsidRPr="009D29E1">
        <w:rPr>
          <w:rFonts w:asciiTheme="minorHAnsi" w:hAnsiTheme="minorHAnsi" w:cstheme="minorHAnsi"/>
          <w:sz w:val="14"/>
          <w:szCs w:val="14"/>
          <w:lang w:eastAsia="en-US"/>
        </w:rPr>
        <w:t xml:space="preserve"> no mês de janeiro </w:t>
      </w:r>
      <w:r w:rsidRPr="009D29E1">
        <w:rPr>
          <w:rFonts w:asciiTheme="minorHAnsi" w:hAnsiTheme="minorHAnsi" w:cstheme="minorHAnsi"/>
          <w:sz w:val="16"/>
          <w:szCs w:val="16"/>
          <w:lang w:eastAsia="en-US"/>
        </w:rPr>
        <w:t>2025</w:t>
      </w:r>
    </w:p>
    <w:p w14:paraId="447BAA83" w14:textId="77777777" w:rsidR="004D1585" w:rsidRDefault="004D1585" w:rsidP="009442B9">
      <w:pPr>
        <w:jc w:val="both"/>
        <w:rPr>
          <w:rFonts w:asciiTheme="minorHAnsi" w:hAnsiTheme="minorHAnsi" w:cstheme="minorHAnsi"/>
          <w:sz w:val="16"/>
          <w:szCs w:val="16"/>
          <w:lang w:eastAsia="en-US"/>
        </w:rPr>
      </w:pPr>
    </w:p>
    <w:p w14:paraId="31646403" w14:textId="77777777" w:rsidR="004D1585" w:rsidRDefault="004D1585" w:rsidP="009442B9">
      <w:pPr>
        <w:jc w:val="both"/>
        <w:rPr>
          <w:rFonts w:asciiTheme="minorHAnsi" w:hAnsiTheme="minorHAnsi" w:cstheme="minorHAnsi"/>
          <w:sz w:val="16"/>
          <w:szCs w:val="16"/>
          <w:lang w:eastAsia="en-US"/>
        </w:rPr>
      </w:pPr>
    </w:p>
    <w:p w14:paraId="67307BF2" w14:textId="77777777" w:rsidR="004D1585" w:rsidRPr="00144581" w:rsidRDefault="004D1585" w:rsidP="009442B9">
      <w:pPr>
        <w:jc w:val="both"/>
        <w:rPr>
          <w:rFonts w:asciiTheme="minorHAnsi" w:hAnsiTheme="minorHAnsi" w:cstheme="minorHAnsi"/>
          <w:sz w:val="16"/>
          <w:szCs w:val="16"/>
          <w:lang w:eastAsia="en-US"/>
        </w:rPr>
      </w:pPr>
    </w:p>
    <w:p w14:paraId="24D0751E" w14:textId="49EABA54" w:rsidR="009442B9" w:rsidRDefault="00F9724B" w:rsidP="00F9724B">
      <w:pPr>
        <w:pStyle w:val="CorpotextoMP"/>
        <w:ind w:left="284"/>
        <w:rPr>
          <w:rFonts w:asciiTheme="minorHAnsi" w:hAnsiTheme="minorHAnsi" w:cstheme="minorHAnsi"/>
          <w:sz w:val="22"/>
          <w:szCs w:val="22"/>
          <w:lang w:eastAsia="en-US"/>
        </w:rPr>
      </w:pPr>
      <w:proofErr w:type="spellStart"/>
      <w:r>
        <w:rPr>
          <w:rFonts w:asciiTheme="minorHAnsi" w:hAnsiTheme="minorHAnsi" w:cstheme="minorHAnsi"/>
          <w:sz w:val="22"/>
          <w:szCs w:val="22"/>
          <w:lang w:eastAsia="en-US"/>
        </w:rPr>
        <w:t>iv</w:t>
      </w:r>
      <w:proofErr w:type="spellEnd"/>
      <w:r w:rsidR="009442B9" w:rsidRPr="003B6F8D">
        <w:rPr>
          <w:rFonts w:asciiTheme="minorHAnsi" w:hAnsiTheme="minorHAnsi" w:cstheme="minorHAnsi"/>
          <w:sz w:val="22"/>
          <w:szCs w:val="22"/>
          <w:lang w:eastAsia="en-US"/>
        </w:rPr>
        <w:t>)</w:t>
      </w:r>
      <w:r w:rsidR="009442B9">
        <w:rPr>
          <w:rFonts w:asciiTheme="minorHAnsi" w:hAnsiTheme="minorHAnsi" w:cstheme="minorHAnsi"/>
          <w:sz w:val="22"/>
          <w:szCs w:val="22"/>
          <w:lang w:eastAsia="en-US"/>
        </w:rPr>
        <w:t xml:space="preserve"> O</w:t>
      </w:r>
      <w:r w:rsidR="009442B9" w:rsidRPr="003B6F8D">
        <w:rPr>
          <w:rFonts w:asciiTheme="minorHAnsi" w:hAnsiTheme="minorHAnsi" w:cstheme="minorHAnsi"/>
          <w:sz w:val="22"/>
          <w:szCs w:val="22"/>
          <w:lang w:eastAsia="en-US"/>
        </w:rPr>
        <w:t xml:space="preserve">s gastos com combustível e portagens </w:t>
      </w:r>
      <w:r w:rsidR="009442B9">
        <w:rPr>
          <w:rFonts w:asciiTheme="minorHAnsi" w:hAnsiTheme="minorHAnsi" w:cstheme="minorHAnsi"/>
          <w:sz w:val="22"/>
          <w:szCs w:val="22"/>
          <w:lang w:eastAsia="en-US"/>
        </w:rPr>
        <w:t>são</w:t>
      </w:r>
      <w:r w:rsidR="009442B9" w:rsidRPr="003B6F8D">
        <w:rPr>
          <w:rFonts w:asciiTheme="minorHAnsi" w:hAnsiTheme="minorHAnsi" w:cstheme="minorHAnsi"/>
          <w:sz w:val="22"/>
          <w:szCs w:val="22"/>
          <w:lang w:eastAsia="en-US"/>
        </w:rPr>
        <w:t xml:space="preserve"> </w:t>
      </w:r>
      <w:r w:rsidR="009442B9">
        <w:rPr>
          <w:rFonts w:asciiTheme="minorHAnsi" w:hAnsiTheme="minorHAnsi" w:cstheme="minorHAnsi"/>
          <w:sz w:val="22"/>
          <w:szCs w:val="22"/>
          <w:lang w:eastAsia="en-US"/>
        </w:rPr>
        <w:t>os seguintes:</w:t>
      </w:r>
    </w:p>
    <w:p w14:paraId="6C29D2B1" w14:textId="77777777" w:rsidR="009442B9" w:rsidRPr="00144581" w:rsidRDefault="009442B9" w:rsidP="009442B9">
      <w:pPr>
        <w:pStyle w:val="PargrafodaLista"/>
        <w:ind w:left="0"/>
        <w:jc w:val="both"/>
        <w:rPr>
          <w:rFonts w:asciiTheme="minorHAnsi" w:hAnsiTheme="minorHAnsi" w:cstheme="minorHAnsi"/>
          <w:sz w:val="16"/>
          <w:szCs w:val="16"/>
          <w:lang w:eastAsia="en-US"/>
        </w:rPr>
      </w:pPr>
    </w:p>
    <w:tbl>
      <w:tblPr>
        <w:tblW w:w="8080" w:type="dxa"/>
        <w:tblInd w:w="274" w:type="dxa"/>
        <w:tblLayout w:type="fixed"/>
        <w:tblLook w:val="04A0" w:firstRow="1" w:lastRow="0" w:firstColumn="1" w:lastColumn="0" w:noHBand="0" w:noVBand="1"/>
      </w:tblPr>
      <w:tblGrid>
        <w:gridCol w:w="2693"/>
        <w:gridCol w:w="1134"/>
        <w:gridCol w:w="1276"/>
        <w:gridCol w:w="992"/>
        <w:gridCol w:w="992"/>
        <w:gridCol w:w="993"/>
      </w:tblGrid>
      <w:tr w:rsidR="009442B9" w:rsidRPr="00893AF4" w14:paraId="242B0851" w14:textId="77777777" w:rsidTr="00C610CD">
        <w:trPr>
          <w:trHeight w:val="315"/>
          <w:tblHeader/>
        </w:trPr>
        <w:tc>
          <w:tcPr>
            <w:tcW w:w="2693" w:type="dxa"/>
            <w:vMerge w:val="restart"/>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1B84C57E" w14:textId="77777777" w:rsidR="009442B9" w:rsidRPr="00A6262B" w:rsidRDefault="009442B9" w:rsidP="00F53A31">
            <w:pPr>
              <w:jc w:val="center"/>
              <w:rPr>
                <w:rFonts w:asciiTheme="minorHAnsi" w:hAnsiTheme="minorHAnsi" w:cs="Calibri"/>
                <w:b/>
                <w:bCs/>
                <w:color w:val="000000"/>
                <w:sz w:val="18"/>
                <w:szCs w:val="18"/>
              </w:rPr>
            </w:pPr>
            <w:r w:rsidRPr="00A6262B">
              <w:rPr>
                <w:rFonts w:asciiTheme="minorHAnsi" w:hAnsiTheme="minorHAnsi" w:cs="Calibri"/>
                <w:b/>
                <w:bCs/>
                <w:color w:val="000000"/>
                <w:sz w:val="18"/>
                <w:szCs w:val="18"/>
              </w:rPr>
              <w:t>Membro do Conselho de Administração</w:t>
            </w:r>
          </w:p>
        </w:tc>
        <w:tc>
          <w:tcPr>
            <w:tcW w:w="1134" w:type="dxa"/>
            <w:vMerge w:val="restart"/>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4F99298C" w14:textId="77777777" w:rsidR="009442B9" w:rsidRPr="00A6262B" w:rsidRDefault="009442B9" w:rsidP="00F53A31">
            <w:pPr>
              <w:jc w:val="center"/>
              <w:rPr>
                <w:rFonts w:asciiTheme="minorHAnsi" w:hAnsiTheme="minorHAnsi" w:cs="Calibri"/>
                <w:b/>
                <w:bCs/>
                <w:color w:val="000000"/>
                <w:sz w:val="16"/>
                <w:szCs w:val="16"/>
              </w:rPr>
            </w:pPr>
            <w:r w:rsidRPr="00A6262B">
              <w:rPr>
                <w:rFonts w:asciiTheme="minorHAnsi" w:hAnsiTheme="minorHAnsi" w:cs="Calibri"/>
                <w:b/>
                <w:bCs/>
                <w:color w:val="000000"/>
                <w:sz w:val="16"/>
                <w:szCs w:val="16"/>
              </w:rPr>
              <w:t>Plafond Mensal Combustível e Portagens</w:t>
            </w:r>
          </w:p>
        </w:tc>
        <w:tc>
          <w:tcPr>
            <w:tcW w:w="4253" w:type="dxa"/>
            <w:gridSpan w:val="4"/>
            <w:tcBorders>
              <w:top w:val="single" w:sz="8" w:space="0" w:color="FFFFFF"/>
              <w:left w:val="nil"/>
              <w:bottom w:val="single" w:sz="8" w:space="0" w:color="FFFFFF"/>
              <w:right w:val="nil"/>
            </w:tcBorders>
            <w:shd w:val="clear" w:color="auto" w:fill="8EAADB" w:themeFill="accent5" w:themeFillTint="99"/>
            <w:vAlign w:val="center"/>
            <w:hideMark/>
          </w:tcPr>
          <w:p w14:paraId="41DBB13B" w14:textId="6637F121" w:rsidR="009442B9" w:rsidRPr="00A6262B" w:rsidRDefault="009442B9" w:rsidP="00F53A31">
            <w:pPr>
              <w:jc w:val="center"/>
              <w:rPr>
                <w:rFonts w:asciiTheme="minorHAnsi" w:hAnsiTheme="minorHAnsi" w:cs="Calibri"/>
                <w:b/>
                <w:bCs/>
                <w:color w:val="000000"/>
                <w:sz w:val="18"/>
                <w:szCs w:val="18"/>
              </w:rPr>
            </w:pPr>
            <w:r w:rsidRPr="00A6262B">
              <w:rPr>
                <w:rFonts w:asciiTheme="minorHAnsi" w:hAnsiTheme="minorHAnsi" w:cs="Calibri"/>
                <w:b/>
                <w:bCs/>
                <w:color w:val="000000"/>
                <w:sz w:val="18"/>
                <w:szCs w:val="18"/>
              </w:rPr>
              <w:t>Gastos anuais associados a Viaturas 202</w:t>
            </w:r>
            <w:r w:rsidR="00AD2D71">
              <w:rPr>
                <w:rFonts w:asciiTheme="minorHAnsi" w:hAnsiTheme="minorHAnsi" w:cs="Calibri"/>
                <w:b/>
                <w:bCs/>
                <w:color w:val="000000"/>
                <w:sz w:val="18"/>
                <w:szCs w:val="18"/>
              </w:rPr>
              <w:t>5</w:t>
            </w:r>
            <w:r w:rsidRPr="00A6262B">
              <w:rPr>
                <w:rFonts w:asciiTheme="minorHAnsi" w:hAnsiTheme="minorHAnsi" w:cs="Calibri"/>
                <w:b/>
                <w:bCs/>
                <w:color w:val="000000"/>
                <w:sz w:val="18"/>
                <w:szCs w:val="18"/>
              </w:rPr>
              <w:t xml:space="preserve"> (€)</w:t>
            </w:r>
          </w:p>
        </w:tc>
      </w:tr>
      <w:tr w:rsidR="009442B9" w:rsidRPr="00893AF4" w14:paraId="392326EB" w14:textId="77777777" w:rsidTr="00C610CD">
        <w:trPr>
          <w:trHeight w:val="539"/>
          <w:tblHeader/>
        </w:trPr>
        <w:tc>
          <w:tcPr>
            <w:tcW w:w="2693" w:type="dxa"/>
            <w:vMerge/>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21EAC3C6" w14:textId="77777777" w:rsidR="009442B9" w:rsidRPr="00A6262B" w:rsidRDefault="009442B9" w:rsidP="00F53A31">
            <w:pPr>
              <w:rPr>
                <w:rFonts w:asciiTheme="minorHAnsi" w:hAnsiTheme="minorHAnsi" w:cs="Calibri"/>
                <w:b/>
                <w:bCs/>
                <w:color w:val="000000"/>
                <w:sz w:val="18"/>
                <w:szCs w:val="18"/>
              </w:rPr>
            </w:pPr>
          </w:p>
        </w:tc>
        <w:tc>
          <w:tcPr>
            <w:tcW w:w="1134" w:type="dxa"/>
            <w:vMerge/>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46654D2F" w14:textId="77777777" w:rsidR="009442B9" w:rsidRPr="00A6262B" w:rsidRDefault="009442B9" w:rsidP="00F53A31">
            <w:pPr>
              <w:rPr>
                <w:rFonts w:asciiTheme="minorHAnsi" w:hAnsiTheme="minorHAnsi" w:cs="Calibri"/>
                <w:b/>
                <w:bCs/>
                <w:color w:val="000000"/>
                <w:sz w:val="18"/>
                <w:szCs w:val="18"/>
              </w:rPr>
            </w:pPr>
          </w:p>
        </w:tc>
        <w:tc>
          <w:tcPr>
            <w:tcW w:w="1276" w:type="dxa"/>
            <w:tcBorders>
              <w:top w:val="nil"/>
              <w:left w:val="nil"/>
              <w:bottom w:val="single" w:sz="8" w:space="0" w:color="FFFFFF"/>
              <w:right w:val="single" w:sz="8" w:space="0" w:color="FFFFFF"/>
            </w:tcBorders>
            <w:shd w:val="clear" w:color="auto" w:fill="8EAADB" w:themeFill="accent5" w:themeFillTint="99"/>
            <w:vAlign w:val="center"/>
            <w:hideMark/>
          </w:tcPr>
          <w:p w14:paraId="374EDE24" w14:textId="77777777" w:rsidR="009442B9" w:rsidRPr="00A6262B" w:rsidRDefault="009442B9" w:rsidP="00F53A31">
            <w:pPr>
              <w:jc w:val="center"/>
              <w:rPr>
                <w:rFonts w:asciiTheme="minorHAnsi" w:hAnsiTheme="minorHAnsi" w:cs="Calibri"/>
                <w:b/>
                <w:bCs/>
                <w:color w:val="000000"/>
                <w:sz w:val="18"/>
                <w:szCs w:val="18"/>
              </w:rPr>
            </w:pPr>
            <w:r w:rsidRPr="00A6262B">
              <w:rPr>
                <w:rFonts w:asciiTheme="minorHAnsi" w:hAnsiTheme="minorHAnsi" w:cs="Calibri"/>
                <w:b/>
                <w:bCs/>
                <w:color w:val="000000"/>
                <w:sz w:val="18"/>
                <w:szCs w:val="18"/>
              </w:rPr>
              <w:t>Combustível</w:t>
            </w:r>
          </w:p>
        </w:tc>
        <w:tc>
          <w:tcPr>
            <w:tcW w:w="992" w:type="dxa"/>
            <w:tcBorders>
              <w:top w:val="nil"/>
              <w:left w:val="nil"/>
              <w:bottom w:val="single" w:sz="8" w:space="0" w:color="FFFFFF"/>
              <w:right w:val="single" w:sz="8" w:space="0" w:color="FFFFFF"/>
            </w:tcBorders>
            <w:shd w:val="clear" w:color="auto" w:fill="8EAADB" w:themeFill="accent5" w:themeFillTint="99"/>
            <w:vAlign w:val="center"/>
            <w:hideMark/>
          </w:tcPr>
          <w:p w14:paraId="67ACCB4A" w14:textId="77777777" w:rsidR="009442B9" w:rsidRPr="00A6262B" w:rsidRDefault="009442B9" w:rsidP="00F53A31">
            <w:pPr>
              <w:jc w:val="center"/>
              <w:rPr>
                <w:rFonts w:asciiTheme="minorHAnsi" w:hAnsiTheme="minorHAnsi" w:cs="Calibri"/>
                <w:b/>
                <w:bCs/>
                <w:color w:val="000000"/>
                <w:sz w:val="18"/>
                <w:szCs w:val="18"/>
              </w:rPr>
            </w:pPr>
            <w:r w:rsidRPr="00A6262B">
              <w:rPr>
                <w:rFonts w:asciiTheme="minorHAnsi" w:hAnsiTheme="minorHAnsi" w:cs="Calibri"/>
                <w:b/>
                <w:bCs/>
                <w:color w:val="000000"/>
                <w:sz w:val="18"/>
                <w:szCs w:val="18"/>
              </w:rPr>
              <w:t>Portagens</w:t>
            </w:r>
          </w:p>
        </w:tc>
        <w:tc>
          <w:tcPr>
            <w:tcW w:w="992" w:type="dxa"/>
            <w:tcBorders>
              <w:top w:val="nil"/>
              <w:left w:val="nil"/>
              <w:bottom w:val="single" w:sz="8" w:space="0" w:color="FFFFFF"/>
              <w:right w:val="single" w:sz="8" w:space="0" w:color="FFFFFF"/>
            </w:tcBorders>
            <w:shd w:val="clear" w:color="auto" w:fill="8EAADB" w:themeFill="accent5" w:themeFillTint="99"/>
            <w:vAlign w:val="center"/>
            <w:hideMark/>
          </w:tcPr>
          <w:p w14:paraId="6AFFC945" w14:textId="77777777" w:rsidR="009442B9" w:rsidRPr="00A6262B" w:rsidRDefault="009442B9" w:rsidP="00F53A31">
            <w:pPr>
              <w:jc w:val="right"/>
              <w:rPr>
                <w:rFonts w:asciiTheme="minorHAnsi" w:hAnsiTheme="minorHAnsi" w:cs="Calibri"/>
                <w:b/>
                <w:bCs/>
                <w:color w:val="000000"/>
                <w:sz w:val="18"/>
                <w:szCs w:val="18"/>
              </w:rPr>
            </w:pPr>
            <w:r w:rsidRPr="00A6262B">
              <w:rPr>
                <w:rFonts w:asciiTheme="minorHAnsi" w:hAnsiTheme="minorHAnsi" w:cs="Calibri"/>
                <w:b/>
                <w:bCs/>
                <w:color w:val="000000"/>
                <w:sz w:val="18"/>
                <w:szCs w:val="18"/>
              </w:rPr>
              <w:t>Total</w:t>
            </w:r>
          </w:p>
        </w:tc>
        <w:tc>
          <w:tcPr>
            <w:tcW w:w="993" w:type="dxa"/>
            <w:tcBorders>
              <w:top w:val="nil"/>
              <w:left w:val="nil"/>
              <w:bottom w:val="single" w:sz="8" w:space="0" w:color="FFFFFF"/>
              <w:right w:val="single" w:sz="8" w:space="0" w:color="FFFFFF"/>
            </w:tcBorders>
            <w:shd w:val="clear" w:color="auto" w:fill="8EAADB" w:themeFill="accent5" w:themeFillTint="99"/>
            <w:vAlign w:val="center"/>
            <w:hideMark/>
          </w:tcPr>
          <w:p w14:paraId="71D951C7" w14:textId="77777777" w:rsidR="009442B9" w:rsidRPr="00A6262B" w:rsidRDefault="009442B9" w:rsidP="00F53A31">
            <w:pPr>
              <w:jc w:val="center"/>
              <w:rPr>
                <w:rFonts w:asciiTheme="minorHAnsi" w:hAnsiTheme="minorHAnsi" w:cs="Calibri"/>
                <w:b/>
                <w:bCs/>
                <w:color w:val="000000"/>
                <w:sz w:val="16"/>
                <w:szCs w:val="16"/>
              </w:rPr>
            </w:pPr>
            <w:r w:rsidRPr="00A6262B">
              <w:rPr>
                <w:rFonts w:asciiTheme="minorHAnsi" w:hAnsiTheme="minorHAnsi" w:cs="Calibri"/>
                <w:b/>
                <w:bCs/>
                <w:color w:val="000000"/>
                <w:sz w:val="16"/>
                <w:szCs w:val="16"/>
              </w:rPr>
              <w:t>Observações</w:t>
            </w:r>
          </w:p>
        </w:tc>
      </w:tr>
      <w:tr w:rsidR="00A54C3A" w:rsidRPr="00893AF4" w14:paraId="4FEBC533" w14:textId="77777777" w:rsidTr="00C610CD">
        <w:trPr>
          <w:trHeight w:val="430"/>
        </w:trPr>
        <w:tc>
          <w:tcPr>
            <w:tcW w:w="2693" w:type="dxa"/>
            <w:tcBorders>
              <w:top w:val="nil"/>
              <w:left w:val="single" w:sz="8" w:space="0" w:color="FFFFFF"/>
              <w:bottom w:val="single" w:sz="8" w:space="0" w:color="FFFFFF"/>
              <w:right w:val="single" w:sz="8" w:space="0" w:color="FFFFFF"/>
            </w:tcBorders>
            <w:shd w:val="clear" w:color="auto" w:fill="D9E2F3"/>
            <w:noWrap/>
            <w:vAlign w:val="center"/>
            <w:hideMark/>
          </w:tcPr>
          <w:p w14:paraId="1498E74E" w14:textId="2F519811" w:rsidR="00A54C3A" w:rsidRPr="00C610CD" w:rsidRDefault="00A54C3A" w:rsidP="00A54C3A">
            <w:pPr>
              <w:rPr>
                <w:rFonts w:asciiTheme="minorHAnsi" w:hAnsiTheme="minorHAnsi" w:cs="Calibri"/>
                <w:color w:val="000000"/>
                <w:sz w:val="18"/>
                <w:szCs w:val="18"/>
              </w:rPr>
            </w:pPr>
            <w:r w:rsidRPr="00C610CD">
              <w:rPr>
                <w:rFonts w:ascii="Calibri" w:hAnsi="Calibri" w:cs="Calibri"/>
                <w:color w:val="000000"/>
                <w:sz w:val="18"/>
                <w:szCs w:val="18"/>
              </w:rPr>
              <w:t>Sofia Brígida Correia dos Santos de Marçal Teixeira Furtado Torres</w:t>
            </w:r>
          </w:p>
        </w:tc>
        <w:tc>
          <w:tcPr>
            <w:tcW w:w="1134" w:type="dxa"/>
            <w:tcBorders>
              <w:top w:val="nil"/>
              <w:left w:val="nil"/>
              <w:bottom w:val="single" w:sz="8" w:space="0" w:color="FFFFFF"/>
              <w:right w:val="single" w:sz="8" w:space="0" w:color="FFFFFF"/>
            </w:tcBorders>
            <w:shd w:val="clear" w:color="auto" w:fill="D9E2F3"/>
            <w:noWrap/>
            <w:vAlign w:val="center"/>
          </w:tcPr>
          <w:p w14:paraId="48EE5E52" w14:textId="01E455BA" w:rsidR="00A54C3A" w:rsidRPr="00C610CD" w:rsidRDefault="00A54C3A" w:rsidP="00A54C3A">
            <w:pPr>
              <w:jc w:val="center"/>
              <w:rPr>
                <w:rFonts w:ascii="Calibri" w:hAnsi="Calibri" w:cs="Calibri"/>
                <w:color w:val="000000"/>
                <w:sz w:val="18"/>
                <w:szCs w:val="18"/>
              </w:rPr>
            </w:pPr>
            <w:r w:rsidRPr="00C610CD">
              <w:rPr>
                <w:rFonts w:ascii="Calibri" w:hAnsi="Calibri" w:cs="Calibri"/>
                <w:color w:val="000000"/>
                <w:sz w:val="18"/>
                <w:szCs w:val="18"/>
              </w:rPr>
              <w:t xml:space="preserve">534 </w:t>
            </w:r>
          </w:p>
        </w:tc>
        <w:tc>
          <w:tcPr>
            <w:tcW w:w="1276" w:type="dxa"/>
            <w:tcBorders>
              <w:top w:val="nil"/>
              <w:left w:val="nil"/>
              <w:bottom w:val="single" w:sz="8" w:space="0" w:color="FFFFFF"/>
              <w:right w:val="single" w:sz="8" w:space="0" w:color="FFFFFF"/>
            </w:tcBorders>
            <w:shd w:val="clear" w:color="auto" w:fill="D9E2F3"/>
            <w:noWrap/>
            <w:vAlign w:val="center"/>
          </w:tcPr>
          <w:p w14:paraId="7BA55876" w14:textId="42AAF55D" w:rsidR="00A54C3A" w:rsidRPr="00C610CD" w:rsidRDefault="00A54C3A" w:rsidP="00A54C3A">
            <w:pPr>
              <w:jc w:val="right"/>
              <w:rPr>
                <w:rFonts w:asciiTheme="minorHAnsi" w:hAnsiTheme="minorHAnsi" w:cstheme="minorHAnsi"/>
                <w:color w:val="000000"/>
                <w:sz w:val="18"/>
                <w:szCs w:val="18"/>
                <w:highlight w:val="yellow"/>
              </w:rPr>
            </w:pPr>
            <w:r w:rsidRPr="00C610CD">
              <w:rPr>
                <w:rFonts w:ascii="Calibri" w:hAnsi="Calibri" w:cs="Calibri"/>
                <w:color w:val="000000"/>
                <w:sz w:val="18"/>
                <w:szCs w:val="18"/>
              </w:rPr>
              <w:t>5 225</w:t>
            </w:r>
          </w:p>
        </w:tc>
        <w:tc>
          <w:tcPr>
            <w:tcW w:w="992" w:type="dxa"/>
            <w:tcBorders>
              <w:top w:val="nil"/>
              <w:left w:val="nil"/>
              <w:bottom w:val="single" w:sz="8" w:space="0" w:color="FFFFFF"/>
              <w:right w:val="single" w:sz="8" w:space="0" w:color="FFFFFF"/>
            </w:tcBorders>
            <w:shd w:val="clear" w:color="auto" w:fill="D9E2F3"/>
            <w:noWrap/>
            <w:vAlign w:val="center"/>
          </w:tcPr>
          <w:p w14:paraId="113F9D8F" w14:textId="3393BC17" w:rsidR="00A54C3A" w:rsidRPr="00C610CD" w:rsidRDefault="00A54C3A" w:rsidP="00A54C3A">
            <w:pPr>
              <w:jc w:val="right"/>
              <w:rPr>
                <w:rFonts w:asciiTheme="minorHAnsi" w:hAnsiTheme="minorHAnsi" w:cstheme="minorHAnsi"/>
                <w:color w:val="000000"/>
                <w:sz w:val="18"/>
                <w:szCs w:val="18"/>
                <w:highlight w:val="yellow"/>
              </w:rPr>
            </w:pPr>
            <w:r w:rsidRPr="00C610CD">
              <w:rPr>
                <w:rFonts w:ascii="Calibri" w:hAnsi="Calibri" w:cs="Calibri"/>
                <w:color w:val="000000"/>
                <w:sz w:val="18"/>
                <w:szCs w:val="18"/>
              </w:rPr>
              <w:t>857</w:t>
            </w:r>
          </w:p>
        </w:tc>
        <w:tc>
          <w:tcPr>
            <w:tcW w:w="992" w:type="dxa"/>
            <w:tcBorders>
              <w:top w:val="nil"/>
              <w:left w:val="nil"/>
              <w:bottom w:val="single" w:sz="8" w:space="0" w:color="FFFFFF"/>
              <w:right w:val="single" w:sz="8" w:space="0" w:color="FFFFFF"/>
            </w:tcBorders>
            <w:shd w:val="clear" w:color="auto" w:fill="D9E2F3"/>
            <w:noWrap/>
            <w:vAlign w:val="center"/>
          </w:tcPr>
          <w:p w14:paraId="508C1FA2" w14:textId="45A386E3" w:rsidR="00A54C3A" w:rsidRPr="00C610CD" w:rsidRDefault="00A54C3A" w:rsidP="00A54C3A">
            <w:pPr>
              <w:jc w:val="right"/>
              <w:rPr>
                <w:rFonts w:asciiTheme="minorHAnsi" w:hAnsiTheme="minorHAnsi" w:cstheme="minorHAnsi"/>
                <w:sz w:val="18"/>
                <w:szCs w:val="18"/>
                <w:highlight w:val="yellow"/>
              </w:rPr>
            </w:pPr>
            <w:r w:rsidRPr="00C610CD">
              <w:rPr>
                <w:rFonts w:ascii="Calibri" w:hAnsi="Calibri" w:cs="Calibri"/>
                <w:b/>
                <w:bCs/>
                <w:color w:val="000000"/>
                <w:sz w:val="18"/>
                <w:szCs w:val="18"/>
              </w:rPr>
              <w:t xml:space="preserve">6 082 </w:t>
            </w:r>
          </w:p>
        </w:tc>
        <w:tc>
          <w:tcPr>
            <w:tcW w:w="993" w:type="dxa"/>
            <w:tcBorders>
              <w:top w:val="nil"/>
              <w:left w:val="nil"/>
              <w:bottom w:val="single" w:sz="8" w:space="0" w:color="FFFFFF"/>
              <w:right w:val="single" w:sz="8" w:space="0" w:color="FFFFFF"/>
            </w:tcBorders>
            <w:shd w:val="clear" w:color="auto" w:fill="D9E2F3"/>
            <w:noWrap/>
            <w:vAlign w:val="center"/>
            <w:hideMark/>
          </w:tcPr>
          <w:p w14:paraId="2AA67BE5" w14:textId="77777777" w:rsidR="00A54C3A" w:rsidRPr="00C610CD" w:rsidRDefault="00A54C3A" w:rsidP="00A54C3A">
            <w:pPr>
              <w:jc w:val="right"/>
              <w:rPr>
                <w:rFonts w:asciiTheme="minorHAnsi" w:hAnsiTheme="minorHAnsi" w:cs="Calibri"/>
                <w:color w:val="000000"/>
                <w:sz w:val="18"/>
                <w:szCs w:val="18"/>
              </w:rPr>
            </w:pPr>
            <w:r w:rsidRPr="00C610CD">
              <w:rPr>
                <w:rFonts w:asciiTheme="minorHAnsi" w:hAnsiTheme="minorHAnsi" w:cs="Calibri"/>
                <w:color w:val="000000"/>
                <w:sz w:val="18"/>
                <w:szCs w:val="18"/>
              </w:rPr>
              <w:t> </w:t>
            </w:r>
          </w:p>
        </w:tc>
      </w:tr>
      <w:tr w:rsidR="00A54C3A" w:rsidRPr="00893AF4" w14:paraId="13EA55FD" w14:textId="77777777" w:rsidTr="00C610CD">
        <w:trPr>
          <w:trHeight w:val="227"/>
        </w:trPr>
        <w:tc>
          <w:tcPr>
            <w:tcW w:w="2693" w:type="dxa"/>
            <w:tcBorders>
              <w:top w:val="nil"/>
              <w:left w:val="single" w:sz="8" w:space="0" w:color="FFFFFF"/>
              <w:bottom w:val="single" w:sz="8" w:space="0" w:color="FFFFFF"/>
              <w:right w:val="single" w:sz="8" w:space="0" w:color="FFFFFF"/>
            </w:tcBorders>
            <w:shd w:val="clear" w:color="auto" w:fill="D9E2F3" w:themeFill="accent5" w:themeFillTint="33"/>
            <w:noWrap/>
            <w:vAlign w:val="center"/>
          </w:tcPr>
          <w:p w14:paraId="6A42FC84" w14:textId="2FB982F5" w:rsidR="00A54C3A" w:rsidRPr="00C610CD" w:rsidRDefault="00A54C3A" w:rsidP="00A54C3A">
            <w:pPr>
              <w:rPr>
                <w:rFonts w:asciiTheme="minorHAnsi" w:hAnsiTheme="minorHAnsi" w:cs="Calibri"/>
                <w:color w:val="000000"/>
                <w:sz w:val="18"/>
                <w:szCs w:val="18"/>
              </w:rPr>
            </w:pPr>
            <w:r w:rsidRPr="00C610CD">
              <w:rPr>
                <w:rFonts w:ascii="Calibri" w:hAnsi="Calibri" w:cs="Calibri"/>
                <w:color w:val="000000"/>
                <w:sz w:val="18"/>
                <w:szCs w:val="18"/>
              </w:rPr>
              <w:t>Joaquim Manuel da Cruz Valente</w:t>
            </w:r>
          </w:p>
        </w:tc>
        <w:tc>
          <w:tcPr>
            <w:tcW w:w="1134" w:type="dxa"/>
            <w:tcBorders>
              <w:top w:val="nil"/>
              <w:left w:val="nil"/>
              <w:bottom w:val="single" w:sz="8" w:space="0" w:color="FFFFFF"/>
              <w:right w:val="single" w:sz="8" w:space="0" w:color="FFFFFF"/>
            </w:tcBorders>
            <w:shd w:val="clear" w:color="auto" w:fill="D9E2F3" w:themeFill="accent5" w:themeFillTint="33"/>
            <w:noWrap/>
            <w:vAlign w:val="center"/>
          </w:tcPr>
          <w:p w14:paraId="26DE40FA" w14:textId="7AE1C84B" w:rsidR="00A54C3A" w:rsidRPr="00C610CD" w:rsidRDefault="00A54C3A" w:rsidP="00A54C3A">
            <w:pPr>
              <w:jc w:val="center"/>
              <w:rPr>
                <w:rFonts w:ascii="Calibri" w:hAnsi="Calibri" w:cs="Calibri"/>
                <w:color w:val="000000"/>
                <w:sz w:val="18"/>
                <w:szCs w:val="18"/>
              </w:rPr>
            </w:pPr>
            <w:r w:rsidRPr="00C610CD">
              <w:rPr>
                <w:rFonts w:ascii="Calibri" w:hAnsi="Calibri" w:cs="Calibri"/>
                <w:color w:val="000000"/>
                <w:sz w:val="18"/>
                <w:szCs w:val="18"/>
              </w:rPr>
              <w:t xml:space="preserve">427 </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376F7550" w14:textId="2D7A85B6" w:rsidR="00A54C3A" w:rsidRPr="00C610CD" w:rsidRDefault="00A54C3A" w:rsidP="00A54C3A">
            <w:pPr>
              <w:jc w:val="right"/>
              <w:rPr>
                <w:rFonts w:ascii="Calibri" w:hAnsi="Calibri" w:cs="Calibri"/>
                <w:color w:val="000000"/>
                <w:sz w:val="18"/>
                <w:szCs w:val="18"/>
              </w:rPr>
            </w:pPr>
            <w:r w:rsidRPr="00C610CD">
              <w:rPr>
                <w:rFonts w:ascii="Calibri" w:hAnsi="Calibri" w:cs="Calibri"/>
                <w:color w:val="000000"/>
                <w:sz w:val="18"/>
                <w:szCs w:val="18"/>
              </w:rPr>
              <w:t>1 927</w:t>
            </w:r>
          </w:p>
        </w:tc>
        <w:tc>
          <w:tcPr>
            <w:tcW w:w="992" w:type="dxa"/>
            <w:tcBorders>
              <w:top w:val="nil"/>
              <w:left w:val="nil"/>
              <w:bottom w:val="single" w:sz="8" w:space="0" w:color="FFFFFF"/>
              <w:right w:val="single" w:sz="8" w:space="0" w:color="FFFFFF"/>
            </w:tcBorders>
            <w:shd w:val="clear" w:color="auto" w:fill="D9E2F3" w:themeFill="accent5" w:themeFillTint="33"/>
            <w:noWrap/>
            <w:vAlign w:val="center"/>
          </w:tcPr>
          <w:p w14:paraId="49F44445" w14:textId="50686963" w:rsidR="00A54C3A" w:rsidRPr="00C610CD" w:rsidRDefault="00A54C3A" w:rsidP="00A54C3A">
            <w:pPr>
              <w:jc w:val="right"/>
              <w:rPr>
                <w:rFonts w:ascii="Calibri" w:hAnsi="Calibri" w:cs="Calibri"/>
                <w:color w:val="000000"/>
                <w:sz w:val="18"/>
                <w:szCs w:val="18"/>
              </w:rPr>
            </w:pPr>
            <w:r w:rsidRPr="00C610CD">
              <w:rPr>
                <w:rFonts w:ascii="Calibri" w:hAnsi="Calibri" w:cs="Calibri"/>
                <w:color w:val="000000"/>
                <w:sz w:val="18"/>
                <w:szCs w:val="18"/>
              </w:rPr>
              <w:t>405</w:t>
            </w:r>
          </w:p>
        </w:tc>
        <w:tc>
          <w:tcPr>
            <w:tcW w:w="992" w:type="dxa"/>
            <w:tcBorders>
              <w:top w:val="nil"/>
              <w:left w:val="nil"/>
              <w:bottom w:val="single" w:sz="8" w:space="0" w:color="FFFFFF"/>
              <w:right w:val="single" w:sz="8" w:space="0" w:color="FFFFFF"/>
            </w:tcBorders>
            <w:shd w:val="clear" w:color="auto" w:fill="D9E2F3" w:themeFill="accent5" w:themeFillTint="33"/>
            <w:noWrap/>
            <w:vAlign w:val="center"/>
          </w:tcPr>
          <w:p w14:paraId="3AEBEC79" w14:textId="509FE5BD" w:rsidR="00A54C3A" w:rsidRPr="00C610CD" w:rsidRDefault="00A54C3A" w:rsidP="00A54C3A">
            <w:pPr>
              <w:jc w:val="right"/>
              <w:rPr>
                <w:rFonts w:ascii="Calibri" w:hAnsi="Calibri" w:cs="Calibri"/>
                <w:color w:val="000000"/>
                <w:sz w:val="18"/>
                <w:szCs w:val="18"/>
              </w:rPr>
            </w:pPr>
            <w:r w:rsidRPr="00C610CD">
              <w:rPr>
                <w:rFonts w:ascii="Calibri" w:hAnsi="Calibri" w:cs="Calibri"/>
                <w:b/>
                <w:bCs/>
                <w:color w:val="000000"/>
                <w:sz w:val="18"/>
                <w:szCs w:val="18"/>
              </w:rPr>
              <w:t xml:space="preserve">2 332 </w:t>
            </w:r>
          </w:p>
        </w:tc>
        <w:tc>
          <w:tcPr>
            <w:tcW w:w="993" w:type="dxa"/>
            <w:tcBorders>
              <w:top w:val="nil"/>
              <w:left w:val="nil"/>
              <w:bottom w:val="single" w:sz="8" w:space="0" w:color="FFFFFF"/>
              <w:right w:val="single" w:sz="8" w:space="0" w:color="FFFFFF"/>
            </w:tcBorders>
            <w:shd w:val="clear" w:color="auto" w:fill="D9E2F3" w:themeFill="accent5" w:themeFillTint="33"/>
            <w:noWrap/>
            <w:vAlign w:val="center"/>
          </w:tcPr>
          <w:p w14:paraId="07DBBCE5" w14:textId="77777777" w:rsidR="00A54C3A" w:rsidRPr="00C610CD" w:rsidRDefault="00A54C3A" w:rsidP="00A54C3A">
            <w:pPr>
              <w:jc w:val="right"/>
              <w:rPr>
                <w:rFonts w:asciiTheme="minorHAnsi" w:hAnsiTheme="minorHAnsi" w:cs="Calibri"/>
                <w:color w:val="000000"/>
                <w:sz w:val="18"/>
                <w:szCs w:val="18"/>
              </w:rPr>
            </w:pPr>
          </w:p>
        </w:tc>
      </w:tr>
      <w:tr w:rsidR="00A54C3A" w:rsidRPr="00893AF4" w14:paraId="4C8F2D28" w14:textId="77777777" w:rsidTr="00C610CD">
        <w:trPr>
          <w:trHeight w:val="227"/>
        </w:trPr>
        <w:tc>
          <w:tcPr>
            <w:tcW w:w="2693" w:type="dxa"/>
            <w:tcBorders>
              <w:top w:val="nil"/>
              <w:left w:val="single" w:sz="8" w:space="0" w:color="FFFFFF"/>
              <w:bottom w:val="single" w:sz="8" w:space="0" w:color="FFFFFF"/>
              <w:right w:val="single" w:sz="8" w:space="0" w:color="FFFFFF"/>
            </w:tcBorders>
            <w:shd w:val="clear" w:color="auto" w:fill="D9E2F3" w:themeFill="accent5" w:themeFillTint="33"/>
            <w:noWrap/>
            <w:vAlign w:val="center"/>
          </w:tcPr>
          <w:p w14:paraId="417ACC63" w14:textId="42CDED8A" w:rsidR="00A54C3A" w:rsidRPr="00C610CD" w:rsidRDefault="00A54C3A" w:rsidP="00A54C3A">
            <w:pPr>
              <w:rPr>
                <w:rFonts w:asciiTheme="minorHAnsi" w:hAnsiTheme="minorHAnsi" w:cs="Calibri"/>
                <w:color w:val="000000"/>
                <w:sz w:val="18"/>
                <w:szCs w:val="18"/>
              </w:rPr>
            </w:pPr>
            <w:r w:rsidRPr="00C610CD">
              <w:rPr>
                <w:rFonts w:ascii="Calibri" w:hAnsi="Calibri" w:cs="Calibri"/>
                <w:color w:val="000000"/>
                <w:sz w:val="18"/>
                <w:szCs w:val="18"/>
              </w:rPr>
              <w:t>António José Fonseca Duarte</w:t>
            </w:r>
          </w:p>
        </w:tc>
        <w:tc>
          <w:tcPr>
            <w:tcW w:w="1134" w:type="dxa"/>
            <w:tcBorders>
              <w:top w:val="nil"/>
              <w:left w:val="nil"/>
              <w:bottom w:val="single" w:sz="8" w:space="0" w:color="FFFFFF"/>
              <w:right w:val="single" w:sz="8" w:space="0" w:color="FFFFFF"/>
            </w:tcBorders>
            <w:shd w:val="clear" w:color="auto" w:fill="D9E2F3" w:themeFill="accent5" w:themeFillTint="33"/>
            <w:noWrap/>
            <w:vAlign w:val="center"/>
          </w:tcPr>
          <w:p w14:paraId="1EFFD912" w14:textId="711EB08E" w:rsidR="00A54C3A" w:rsidRPr="00C610CD" w:rsidRDefault="00A54C3A" w:rsidP="00A54C3A">
            <w:pPr>
              <w:jc w:val="center"/>
              <w:rPr>
                <w:rFonts w:ascii="Calibri" w:hAnsi="Calibri" w:cs="Calibri"/>
                <w:color w:val="000000"/>
                <w:sz w:val="18"/>
                <w:szCs w:val="18"/>
              </w:rPr>
            </w:pPr>
            <w:r w:rsidRPr="00C610CD">
              <w:rPr>
                <w:rFonts w:ascii="Calibri" w:hAnsi="Calibri" w:cs="Calibri"/>
                <w:color w:val="000000"/>
                <w:sz w:val="18"/>
                <w:szCs w:val="18"/>
              </w:rPr>
              <w:t xml:space="preserve">427 </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5837389E" w14:textId="213D5748" w:rsidR="00A54C3A" w:rsidRPr="00C610CD" w:rsidRDefault="00A54C3A" w:rsidP="00A54C3A">
            <w:pPr>
              <w:jc w:val="right"/>
              <w:rPr>
                <w:rFonts w:ascii="Calibri" w:hAnsi="Calibri" w:cs="Calibri"/>
                <w:color w:val="000000"/>
                <w:sz w:val="18"/>
                <w:szCs w:val="18"/>
              </w:rPr>
            </w:pPr>
            <w:r w:rsidRPr="00C610CD">
              <w:rPr>
                <w:rFonts w:ascii="Calibri" w:hAnsi="Calibri" w:cs="Calibri"/>
                <w:color w:val="000000"/>
                <w:sz w:val="18"/>
                <w:szCs w:val="18"/>
              </w:rPr>
              <w:t>2 357</w:t>
            </w:r>
          </w:p>
        </w:tc>
        <w:tc>
          <w:tcPr>
            <w:tcW w:w="992" w:type="dxa"/>
            <w:tcBorders>
              <w:top w:val="nil"/>
              <w:left w:val="nil"/>
              <w:bottom w:val="single" w:sz="8" w:space="0" w:color="FFFFFF"/>
              <w:right w:val="single" w:sz="8" w:space="0" w:color="FFFFFF"/>
            </w:tcBorders>
            <w:shd w:val="clear" w:color="auto" w:fill="D9E2F3" w:themeFill="accent5" w:themeFillTint="33"/>
            <w:noWrap/>
            <w:vAlign w:val="center"/>
          </w:tcPr>
          <w:p w14:paraId="5983DE43" w14:textId="494A33E8" w:rsidR="00A54C3A" w:rsidRPr="00C610CD" w:rsidRDefault="00A54C3A" w:rsidP="00A54C3A">
            <w:pPr>
              <w:jc w:val="right"/>
              <w:rPr>
                <w:rFonts w:ascii="Calibri" w:hAnsi="Calibri" w:cs="Calibri"/>
                <w:color w:val="000000"/>
                <w:sz w:val="18"/>
                <w:szCs w:val="18"/>
              </w:rPr>
            </w:pPr>
            <w:r w:rsidRPr="00C610CD">
              <w:rPr>
                <w:rFonts w:ascii="Calibri" w:hAnsi="Calibri" w:cs="Calibri"/>
                <w:color w:val="000000"/>
                <w:sz w:val="18"/>
                <w:szCs w:val="18"/>
              </w:rPr>
              <w:t>157</w:t>
            </w:r>
          </w:p>
        </w:tc>
        <w:tc>
          <w:tcPr>
            <w:tcW w:w="992" w:type="dxa"/>
            <w:tcBorders>
              <w:top w:val="nil"/>
              <w:left w:val="nil"/>
              <w:bottom w:val="single" w:sz="8" w:space="0" w:color="FFFFFF"/>
              <w:right w:val="single" w:sz="8" w:space="0" w:color="FFFFFF"/>
            </w:tcBorders>
            <w:shd w:val="clear" w:color="auto" w:fill="D9E2F3" w:themeFill="accent5" w:themeFillTint="33"/>
            <w:noWrap/>
            <w:vAlign w:val="center"/>
          </w:tcPr>
          <w:p w14:paraId="32F29A84" w14:textId="3EB62173" w:rsidR="00A54C3A" w:rsidRPr="00C610CD" w:rsidRDefault="00A54C3A" w:rsidP="00A54C3A">
            <w:pPr>
              <w:jc w:val="right"/>
              <w:rPr>
                <w:rFonts w:ascii="Calibri" w:hAnsi="Calibri" w:cs="Calibri"/>
                <w:color w:val="000000"/>
                <w:sz w:val="18"/>
                <w:szCs w:val="18"/>
              </w:rPr>
            </w:pPr>
            <w:r w:rsidRPr="00C610CD">
              <w:rPr>
                <w:rFonts w:ascii="Calibri" w:hAnsi="Calibri" w:cs="Calibri"/>
                <w:b/>
                <w:bCs/>
                <w:color w:val="000000"/>
                <w:sz w:val="18"/>
                <w:szCs w:val="18"/>
              </w:rPr>
              <w:t xml:space="preserve">2 514 </w:t>
            </w:r>
          </w:p>
        </w:tc>
        <w:tc>
          <w:tcPr>
            <w:tcW w:w="993" w:type="dxa"/>
            <w:tcBorders>
              <w:top w:val="nil"/>
              <w:left w:val="nil"/>
              <w:bottom w:val="single" w:sz="8" w:space="0" w:color="FFFFFF"/>
              <w:right w:val="single" w:sz="8" w:space="0" w:color="FFFFFF"/>
            </w:tcBorders>
            <w:shd w:val="clear" w:color="auto" w:fill="D9E2F3" w:themeFill="accent5" w:themeFillTint="33"/>
            <w:noWrap/>
            <w:vAlign w:val="center"/>
          </w:tcPr>
          <w:p w14:paraId="201E7C31" w14:textId="77777777" w:rsidR="00A54C3A" w:rsidRPr="00C610CD" w:rsidRDefault="00A54C3A" w:rsidP="00A54C3A">
            <w:pPr>
              <w:jc w:val="right"/>
              <w:rPr>
                <w:rFonts w:asciiTheme="minorHAnsi" w:hAnsiTheme="minorHAnsi" w:cs="Calibri"/>
                <w:color w:val="000000"/>
                <w:sz w:val="18"/>
                <w:szCs w:val="18"/>
              </w:rPr>
            </w:pPr>
          </w:p>
        </w:tc>
      </w:tr>
      <w:tr w:rsidR="00A54C3A" w:rsidRPr="00893AF4" w14:paraId="798BBF70" w14:textId="77777777" w:rsidTr="00C610CD">
        <w:trPr>
          <w:trHeight w:val="227"/>
        </w:trPr>
        <w:tc>
          <w:tcPr>
            <w:tcW w:w="2693" w:type="dxa"/>
            <w:tcBorders>
              <w:top w:val="nil"/>
              <w:left w:val="single" w:sz="8" w:space="0" w:color="FFFFFF"/>
              <w:bottom w:val="single" w:sz="8" w:space="0" w:color="FFFFFF"/>
              <w:right w:val="single" w:sz="8" w:space="0" w:color="FFFFFF"/>
            </w:tcBorders>
            <w:shd w:val="clear" w:color="auto" w:fill="D9E2F3" w:themeFill="accent5" w:themeFillTint="33"/>
            <w:noWrap/>
            <w:vAlign w:val="center"/>
            <w:hideMark/>
          </w:tcPr>
          <w:p w14:paraId="22F91A88" w14:textId="53B5CEC9" w:rsidR="00A54C3A" w:rsidRPr="00C610CD" w:rsidRDefault="00A54C3A" w:rsidP="00A54C3A">
            <w:pPr>
              <w:rPr>
                <w:rFonts w:asciiTheme="minorHAnsi" w:hAnsiTheme="minorHAnsi" w:cs="Calibri"/>
                <w:color w:val="000000"/>
                <w:sz w:val="18"/>
                <w:szCs w:val="18"/>
              </w:rPr>
            </w:pPr>
            <w:r w:rsidRPr="00C610CD">
              <w:rPr>
                <w:rFonts w:ascii="Calibri" w:hAnsi="Calibri" w:cs="Calibri"/>
                <w:color w:val="000000"/>
                <w:sz w:val="18"/>
                <w:szCs w:val="18"/>
              </w:rPr>
              <w:t>Filipe Carlos Mendes de Sousa</w:t>
            </w:r>
          </w:p>
        </w:tc>
        <w:tc>
          <w:tcPr>
            <w:tcW w:w="1134" w:type="dxa"/>
            <w:tcBorders>
              <w:top w:val="nil"/>
              <w:left w:val="nil"/>
              <w:bottom w:val="single" w:sz="8" w:space="0" w:color="FFFFFF"/>
              <w:right w:val="single" w:sz="8" w:space="0" w:color="FFFFFF"/>
            </w:tcBorders>
            <w:shd w:val="clear" w:color="auto" w:fill="D9E2F3" w:themeFill="accent5" w:themeFillTint="33"/>
            <w:noWrap/>
            <w:vAlign w:val="center"/>
          </w:tcPr>
          <w:p w14:paraId="497BA78D" w14:textId="7FF5B983" w:rsidR="00A54C3A" w:rsidRPr="00C610CD" w:rsidRDefault="00A54C3A" w:rsidP="00A54C3A">
            <w:pPr>
              <w:jc w:val="center"/>
              <w:rPr>
                <w:rFonts w:asciiTheme="minorHAnsi" w:hAnsiTheme="minorHAnsi" w:cstheme="minorHAnsi"/>
                <w:color w:val="000000"/>
                <w:sz w:val="18"/>
                <w:szCs w:val="18"/>
                <w:highlight w:val="yellow"/>
              </w:rPr>
            </w:pPr>
            <w:r w:rsidRPr="00C610CD">
              <w:rPr>
                <w:rFonts w:ascii="Calibri" w:hAnsi="Calibri" w:cs="Calibri"/>
                <w:color w:val="000000"/>
                <w:sz w:val="18"/>
                <w:szCs w:val="18"/>
              </w:rPr>
              <w:t xml:space="preserve">418 </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27D7A564" w14:textId="6C2E0E45" w:rsidR="00A54C3A" w:rsidRPr="00C610CD" w:rsidRDefault="00A54C3A" w:rsidP="00A54C3A">
            <w:pPr>
              <w:jc w:val="right"/>
              <w:rPr>
                <w:rFonts w:asciiTheme="minorHAnsi" w:hAnsiTheme="minorHAnsi" w:cstheme="minorHAnsi"/>
                <w:color w:val="000000"/>
                <w:sz w:val="18"/>
                <w:szCs w:val="18"/>
                <w:highlight w:val="yellow"/>
              </w:rPr>
            </w:pPr>
            <w:r w:rsidRPr="00C610CD">
              <w:rPr>
                <w:rFonts w:ascii="Calibri" w:hAnsi="Calibri" w:cs="Calibri"/>
                <w:color w:val="000000"/>
                <w:sz w:val="18"/>
                <w:szCs w:val="18"/>
              </w:rPr>
              <w:t>967</w:t>
            </w:r>
          </w:p>
        </w:tc>
        <w:tc>
          <w:tcPr>
            <w:tcW w:w="992" w:type="dxa"/>
            <w:tcBorders>
              <w:top w:val="nil"/>
              <w:left w:val="nil"/>
              <w:bottom w:val="single" w:sz="8" w:space="0" w:color="FFFFFF"/>
              <w:right w:val="single" w:sz="8" w:space="0" w:color="FFFFFF"/>
            </w:tcBorders>
            <w:shd w:val="clear" w:color="auto" w:fill="D9E2F3" w:themeFill="accent5" w:themeFillTint="33"/>
            <w:noWrap/>
            <w:vAlign w:val="center"/>
          </w:tcPr>
          <w:p w14:paraId="16F0A6A7" w14:textId="3DE65092" w:rsidR="00A54C3A" w:rsidRPr="00C610CD" w:rsidRDefault="00A54C3A" w:rsidP="00A54C3A">
            <w:pPr>
              <w:jc w:val="right"/>
              <w:rPr>
                <w:rFonts w:asciiTheme="minorHAnsi" w:hAnsiTheme="minorHAnsi" w:cstheme="minorHAnsi"/>
                <w:color w:val="000000"/>
                <w:sz w:val="18"/>
                <w:szCs w:val="18"/>
                <w:highlight w:val="yellow"/>
              </w:rPr>
            </w:pPr>
            <w:r w:rsidRPr="00C610CD">
              <w:rPr>
                <w:rFonts w:ascii="Calibri" w:hAnsi="Calibri" w:cs="Calibri"/>
                <w:color w:val="000000"/>
                <w:sz w:val="18"/>
                <w:szCs w:val="18"/>
              </w:rPr>
              <w:t>371</w:t>
            </w:r>
          </w:p>
        </w:tc>
        <w:tc>
          <w:tcPr>
            <w:tcW w:w="992" w:type="dxa"/>
            <w:tcBorders>
              <w:top w:val="nil"/>
              <w:left w:val="nil"/>
              <w:bottom w:val="single" w:sz="8" w:space="0" w:color="FFFFFF"/>
              <w:right w:val="single" w:sz="8" w:space="0" w:color="FFFFFF"/>
            </w:tcBorders>
            <w:shd w:val="clear" w:color="auto" w:fill="D9E2F3" w:themeFill="accent5" w:themeFillTint="33"/>
            <w:noWrap/>
            <w:vAlign w:val="center"/>
          </w:tcPr>
          <w:p w14:paraId="2936066C" w14:textId="47ADD345" w:rsidR="00A54C3A" w:rsidRPr="00C610CD" w:rsidRDefault="00A54C3A" w:rsidP="00A54C3A">
            <w:pPr>
              <w:jc w:val="right"/>
              <w:rPr>
                <w:rFonts w:asciiTheme="minorHAnsi" w:hAnsiTheme="minorHAnsi" w:cstheme="minorHAnsi"/>
                <w:sz w:val="18"/>
                <w:szCs w:val="18"/>
                <w:highlight w:val="yellow"/>
              </w:rPr>
            </w:pPr>
            <w:r w:rsidRPr="00C610CD">
              <w:rPr>
                <w:rFonts w:ascii="Calibri" w:hAnsi="Calibri" w:cs="Calibri"/>
                <w:b/>
                <w:bCs/>
                <w:color w:val="000000"/>
                <w:sz w:val="18"/>
                <w:szCs w:val="18"/>
              </w:rPr>
              <w:t xml:space="preserve">1 338 </w:t>
            </w:r>
          </w:p>
        </w:tc>
        <w:tc>
          <w:tcPr>
            <w:tcW w:w="993" w:type="dxa"/>
            <w:tcBorders>
              <w:top w:val="nil"/>
              <w:left w:val="nil"/>
              <w:bottom w:val="single" w:sz="8" w:space="0" w:color="FFFFFF"/>
              <w:right w:val="single" w:sz="8" w:space="0" w:color="FFFFFF"/>
            </w:tcBorders>
            <w:shd w:val="clear" w:color="auto" w:fill="D9E2F3" w:themeFill="accent5" w:themeFillTint="33"/>
            <w:noWrap/>
            <w:vAlign w:val="center"/>
            <w:hideMark/>
          </w:tcPr>
          <w:p w14:paraId="18A12817" w14:textId="77777777" w:rsidR="00A54C3A" w:rsidRPr="00C610CD" w:rsidRDefault="00A54C3A" w:rsidP="00A54C3A">
            <w:pPr>
              <w:jc w:val="right"/>
              <w:rPr>
                <w:rFonts w:asciiTheme="minorHAnsi" w:hAnsiTheme="minorHAnsi" w:cs="Calibri"/>
                <w:color w:val="000000"/>
                <w:sz w:val="18"/>
                <w:szCs w:val="18"/>
              </w:rPr>
            </w:pPr>
            <w:r w:rsidRPr="00C610CD">
              <w:rPr>
                <w:rFonts w:asciiTheme="minorHAnsi" w:hAnsiTheme="minorHAnsi" w:cs="Calibri"/>
                <w:color w:val="000000"/>
                <w:sz w:val="18"/>
                <w:szCs w:val="18"/>
              </w:rPr>
              <w:t> </w:t>
            </w:r>
          </w:p>
        </w:tc>
      </w:tr>
      <w:tr w:rsidR="00A54C3A" w:rsidRPr="00893AF4" w14:paraId="203C69F1" w14:textId="77777777" w:rsidTr="00C610CD">
        <w:trPr>
          <w:trHeight w:val="227"/>
        </w:trPr>
        <w:tc>
          <w:tcPr>
            <w:tcW w:w="2693" w:type="dxa"/>
            <w:tcBorders>
              <w:top w:val="nil"/>
              <w:left w:val="single" w:sz="8" w:space="0" w:color="FFFFFF"/>
              <w:bottom w:val="single" w:sz="8" w:space="0" w:color="FFFFFF"/>
              <w:right w:val="single" w:sz="8" w:space="0" w:color="FFFFFF"/>
            </w:tcBorders>
            <w:shd w:val="clear" w:color="auto" w:fill="D9E2F3" w:themeFill="accent5" w:themeFillTint="33"/>
            <w:noWrap/>
            <w:vAlign w:val="center"/>
            <w:hideMark/>
          </w:tcPr>
          <w:p w14:paraId="013C17AA" w14:textId="3615EAF8" w:rsidR="00A54C3A" w:rsidRPr="00C610CD" w:rsidRDefault="00A54C3A" w:rsidP="00A54C3A">
            <w:pPr>
              <w:rPr>
                <w:rFonts w:asciiTheme="minorHAnsi" w:hAnsiTheme="minorHAnsi" w:cs="Calibri"/>
                <w:color w:val="000000"/>
                <w:sz w:val="18"/>
                <w:szCs w:val="18"/>
              </w:rPr>
            </w:pPr>
            <w:r w:rsidRPr="00C610CD">
              <w:rPr>
                <w:rFonts w:ascii="Calibri" w:hAnsi="Calibri" w:cs="Calibri"/>
                <w:color w:val="000000"/>
                <w:sz w:val="18"/>
                <w:szCs w:val="18"/>
              </w:rPr>
              <w:t>Susana Cristina Vaz Velho Larisma</w:t>
            </w:r>
          </w:p>
        </w:tc>
        <w:tc>
          <w:tcPr>
            <w:tcW w:w="1134" w:type="dxa"/>
            <w:tcBorders>
              <w:top w:val="nil"/>
              <w:left w:val="nil"/>
              <w:bottom w:val="single" w:sz="8" w:space="0" w:color="FFFFFF"/>
              <w:right w:val="single" w:sz="8" w:space="0" w:color="FFFFFF"/>
            </w:tcBorders>
            <w:shd w:val="clear" w:color="auto" w:fill="D9E2F3" w:themeFill="accent5" w:themeFillTint="33"/>
            <w:noWrap/>
            <w:vAlign w:val="center"/>
          </w:tcPr>
          <w:p w14:paraId="79647E7D" w14:textId="1FB10272" w:rsidR="00A54C3A" w:rsidRPr="00C610CD" w:rsidRDefault="00A54C3A" w:rsidP="00A54C3A">
            <w:pPr>
              <w:jc w:val="center"/>
              <w:rPr>
                <w:rFonts w:asciiTheme="minorHAnsi" w:hAnsiTheme="minorHAnsi" w:cstheme="minorHAnsi"/>
                <w:color w:val="000000"/>
                <w:sz w:val="18"/>
                <w:szCs w:val="18"/>
                <w:highlight w:val="yellow"/>
              </w:rPr>
            </w:pPr>
            <w:r w:rsidRPr="00C610CD">
              <w:rPr>
                <w:rFonts w:ascii="Calibri" w:hAnsi="Calibri" w:cs="Calibri"/>
                <w:color w:val="000000"/>
                <w:sz w:val="18"/>
                <w:szCs w:val="18"/>
              </w:rPr>
              <w:t xml:space="preserve">418 </w:t>
            </w:r>
          </w:p>
        </w:tc>
        <w:tc>
          <w:tcPr>
            <w:tcW w:w="1276" w:type="dxa"/>
            <w:tcBorders>
              <w:top w:val="nil"/>
              <w:left w:val="nil"/>
              <w:bottom w:val="single" w:sz="8" w:space="0" w:color="FFFFFF"/>
              <w:right w:val="single" w:sz="8" w:space="0" w:color="FFFFFF"/>
            </w:tcBorders>
            <w:shd w:val="clear" w:color="auto" w:fill="D9E2F3" w:themeFill="accent5" w:themeFillTint="33"/>
            <w:noWrap/>
            <w:vAlign w:val="center"/>
          </w:tcPr>
          <w:p w14:paraId="1F558849" w14:textId="728EDCEC" w:rsidR="00A54C3A" w:rsidRPr="00C610CD" w:rsidRDefault="00A54C3A" w:rsidP="00A54C3A">
            <w:pPr>
              <w:jc w:val="right"/>
              <w:rPr>
                <w:rFonts w:asciiTheme="minorHAnsi" w:hAnsiTheme="minorHAnsi" w:cstheme="minorHAnsi"/>
                <w:color w:val="000000"/>
                <w:sz w:val="18"/>
                <w:szCs w:val="18"/>
                <w:highlight w:val="yellow"/>
              </w:rPr>
            </w:pPr>
            <w:r w:rsidRPr="00C610CD">
              <w:rPr>
                <w:rFonts w:ascii="Calibri" w:hAnsi="Calibri" w:cs="Calibri"/>
                <w:color w:val="000000"/>
                <w:sz w:val="18"/>
                <w:szCs w:val="18"/>
              </w:rPr>
              <w:t>204</w:t>
            </w:r>
          </w:p>
        </w:tc>
        <w:tc>
          <w:tcPr>
            <w:tcW w:w="992" w:type="dxa"/>
            <w:tcBorders>
              <w:top w:val="nil"/>
              <w:left w:val="nil"/>
              <w:bottom w:val="single" w:sz="8" w:space="0" w:color="FFFFFF"/>
              <w:right w:val="single" w:sz="8" w:space="0" w:color="FFFFFF"/>
            </w:tcBorders>
            <w:shd w:val="clear" w:color="auto" w:fill="D9E2F3" w:themeFill="accent5" w:themeFillTint="33"/>
            <w:noWrap/>
            <w:vAlign w:val="center"/>
          </w:tcPr>
          <w:p w14:paraId="2F5A15BD" w14:textId="6DBE4849" w:rsidR="00A54C3A" w:rsidRPr="00C610CD" w:rsidRDefault="00A54C3A" w:rsidP="00A54C3A">
            <w:pPr>
              <w:jc w:val="right"/>
              <w:rPr>
                <w:rFonts w:asciiTheme="minorHAnsi" w:hAnsiTheme="minorHAnsi" w:cstheme="minorHAnsi"/>
                <w:color w:val="000000"/>
                <w:sz w:val="18"/>
                <w:szCs w:val="18"/>
                <w:highlight w:val="yellow"/>
              </w:rPr>
            </w:pPr>
            <w:r w:rsidRPr="00C610CD">
              <w:rPr>
                <w:rFonts w:ascii="Calibri" w:hAnsi="Calibri" w:cs="Calibri"/>
                <w:color w:val="000000"/>
                <w:sz w:val="18"/>
                <w:szCs w:val="18"/>
              </w:rPr>
              <w:t>66</w:t>
            </w:r>
          </w:p>
        </w:tc>
        <w:tc>
          <w:tcPr>
            <w:tcW w:w="992" w:type="dxa"/>
            <w:tcBorders>
              <w:top w:val="nil"/>
              <w:left w:val="nil"/>
              <w:bottom w:val="single" w:sz="8" w:space="0" w:color="FFFFFF"/>
              <w:right w:val="single" w:sz="8" w:space="0" w:color="FFFFFF"/>
            </w:tcBorders>
            <w:shd w:val="clear" w:color="auto" w:fill="D9E2F3" w:themeFill="accent5" w:themeFillTint="33"/>
            <w:noWrap/>
            <w:vAlign w:val="center"/>
          </w:tcPr>
          <w:p w14:paraId="2E00B67F" w14:textId="37E810C8" w:rsidR="00A54C3A" w:rsidRPr="00C610CD" w:rsidRDefault="00A54C3A" w:rsidP="00A54C3A">
            <w:pPr>
              <w:jc w:val="right"/>
              <w:rPr>
                <w:rFonts w:asciiTheme="minorHAnsi" w:hAnsiTheme="minorHAnsi" w:cstheme="minorHAnsi"/>
                <w:sz w:val="18"/>
                <w:szCs w:val="18"/>
                <w:highlight w:val="yellow"/>
              </w:rPr>
            </w:pPr>
            <w:r w:rsidRPr="00C610CD">
              <w:rPr>
                <w:rFonts w:ascii="Calibri" w:hAnsi="Calibri" w:cs="Calibri"/>
                <w:b/>
                <w:bCs/>
                <w:color w:val="000000"/>
                <w:sz w:val="18"/>
                <w:szCs w:val="18"/>
              </w:rPr>
              <w:t xml:space="preserve">270 </w:t>
            </w:r>
          </w:p>
        </w:tc>
        <w:tc>
          <w:tcPr>
            <w:tcW w:w="993" w:type="dxa"/>
            <w:tcBorders>
              <w:top w:val="nil"/>
              <w:left w:val="nil"/>
              <w:bottom w:val="single" w:sz="8" w:space="0" w:color="FFFFFF"/>
              <w:right w:val="single" w:sz="8" w:space="0" w:color="FFFFFF"/>
            </w:tcBorders>
            <w:shd w:val="clear" w:color="auto" w:fill="D9E2F3" w:themeFill="accent5" w:themeFillTint="33"/>
            <w:noWrap/>
            <w:vAlign w:val="center"/>
            <w:hideMark/>
          </w:tcPr>
          <w:p w14:paraId="6C6600DF" w14:textId="77777777" w:rsidR="00A54C3A" w:rsidRPr="00C610CD" w:rsidRDefault="00A54C3A" w:rsidP="00A54C3A">
            <w:pPr>
              <w:jc w:val="right"/>
              <w:rPr>
                <w:rFonts w:asciiTheme="minorHAnsi" w:hAnsiTheme="minorHAnsi" w:cs="Calibri"/>
                <w:color w:val="000000"/>
                <w:sz w:val="18"/>
                <w:szCs w:val="18"/>
              </w:rPr>
            </w:pPr>
            <w:r w:rsidRPr="00C610CD">
              <w:rPr>
                <w:rFonts w:asciiTheme="minorHAnsi" w:hAnsiTheme="minorHAnsi" w:cs="Calibri"/>
                <w:color w:val="000000"/>
                <w:sz w:val="18"/>
                <w:szCs w:val="18"/>
              </w:rPr>
              <w:t> </w:t>
            </w:r>
          </w:p>
        </w:tc>
      </w:tr>
      <w:tr w:rsidR="009442B9" w:rsidRPr="00893AF4" w14:paraId="0BE6523E" w14:textId="77777777" w:rsidTr="00C610CD">
        <w:trPr>
          <w:trHeight w:val="227"/>
        </w:trPr>
        <w:tc>
          <w:tcPr>
            <w:tcW w:w="2693" w:type="dxa"/>
            <w:tcBorders>
              <w:top w:val="nil"/>
              <w:left w:val="single" w:sz="8" w:space="0" w:color="FFFFFF"/>
              <w:bottom w:val="single" w:sz="8" w:space="0" w:color="FFFFFF"/>
              <w:right w:val="single" w:sz="8" w:space="0" w:color="FFFFFF"/>
            </w:tcBorders>
            <w:shd w:val="clear" w:color="000000" w:fill="FFFFFF"/>
            <w:noWrap/>
            <w:vAlign w:val="center"/>
            <w:hideMark/>
          </w:tcPr>
          <w:p w14:paraId="48B91100" w14:textId="77777777" w:rsidR="009442B9" w:rsidRPr="00C610CD" w:rsidRDefault="009442B9" w:rsidP="00F53A31">
            <w:pPr>
              <w:rPr>
                <w:rFonts w:asciiTheme="minorHAnsi" w:hAnsiTheme="minorHAnsi" w:cs="Calibri"/>
                <w:color w:val="000000"/>
                <w:sz w:val="18"/>
                <w:szCs w:val="18"/>
              </w:rPr>
            </w:pPr>
          </w:p>
        </w:tc>
        <w:tc>
          <w:tcPr>
            <w:tcW w:w="1134" w:type="dxa"/>
            <w:tcBorders>
              <w:top w:val="nil"/>
              <w:left w:val="nil"/>
              <w:bottom w:val="single" w:sz="8" w:space="0" w:color="FFFFFF"/>
              <w:right w:val="single" w:sz="8" w:space="0" w:color="FFFFFF"/>
            </w:tcBorders>
            <w:shd w:val="clear" w:color="000000" w:fill="FFFFFF"/>
            <w:noWrap/>
            <w:vAlign w:val="center"/>
          </w:tcPr>
          <w:p w14:paraId="7ECE0DA7" w14:textId="77777777" w:rsidR="009442B9" w:rsidRPr="00C610CD" w:rsidRDefault="009442B9" w:rsidP="00F53A31">
            <w:pPr>
              <w:rPr>
                <w:rFonts w:asciiTheme="minorHAnsi" w:hAnsiTheme="minorHAnsi" w:cs="Calibri"/>
                <w:color w:val="000000"/>
                <w:sz w:val="18"/>
                <w:szCs w:val="18"/>
              </w:rPr>
            </w:pPr>
          </w:p>
        </w:tc>
        <w:tc>
          <w:tcPr>
            <w:tcW w:w="1276" w:type="dxa"/>
            <w:tcBorders>
              <w:top w:val="nil"/>
              <w:left w:val="nil"/>
              <w:bottom w:val="single" w:sz="8" w:space="0" w:color="FFFFFF"/>
              <w:right w:val="single" w:sz="8" w:space="0" w:color="FFFFFF"/>
            </w:tcBorders>
            <w:noWrap/>
            <w:vAlign w:val="center"/>
          </w:tcPr>
          <w:p w14:paraId="41EECC02" w14:textId="77777777" w:rsidR="009442B9" w:rsidRPr="00C610CD" w:rsidRDefault="009442B9" w:rsidP="00F53A31">
            <w:pPr>
              <w:jc w:val="right"/>
              <w:rPr>
                <w:rFonts w:asciiTheme="minorHAnsi" w:hAnsiTheme="minorHAnsi" w:cs="Calibri"/>
                <w:color w:val="000000"/>
                <w:sz w:val="18"/>
                <w:szCs w:val="18"/>
              </w:rPr>
            </w:pPr>
          </w:p>
        </w:tc>
        <w:tc>
          <w:tcPr>
            <w:tcW w:w="992" w:type="dxa"/>
            <w:tcBorders>
              <w:top w:val="nil"/>
              <w:left w:val="nil"/>
              <w:bottom w:val="single" w:sz="8" w:space="0" w:color="FFFFFF"/>
              <w:right w:val="single" w:sz="8" w:space="0" w:color="FFFFFF"/>
            </w:tcBorders>
            <w:noWrap/>
            <w:vAlign w:val="center"/>
          </w:tcPr>
          <w:p w14:paraId="01154AD0" w14:textId="77777777" w:rsidR="009442B9" w:rsidRPr="00C610CD" w:rsidRDefault="009442B9" w:rsidP="00F53A31">
            <w:pPr>
              <w:jc w:val="right"/>
              <w:rPr>
                <w:rFonts w:asciiTheme="minorHAnsi" w:hAnsiTheme="minorHAnsi" w:cs="Calibri"/>
                <w:color w:val="000000"/>
                <w:sz w:val="18"/>
                <w:szCs w:val="18"/>
              </w:rPr>
            </w:pPr>
          </w:p>
        </w:tc>
        <w:tc>
          <w:tcPr>
            <w:tcW w:w="992" w:type="dxa"/>
            <w:tcBorders>
              <w:top w:val="nil"/>
              <w:left w:val="nil"/>
              <w:bottom w:val="single" w:sz="8" w:space="0" w:color="FFFFFF"/>
              <w:right w:val="single" w:sz="8" w:space="0" w:color="FFFFFF"/>
            </w:tcBorders>
            <w:shd w:val="clear" w:color="auto" w:fill="D9E2F3" w:themeFill="accent5" w:themeFillTint="33"/>
            <w:noWrap/>
            <w:vAlign w:val="center"/>
          </w:tcPr>
          <w:p w14:paraId="28E3B820" w14:textId="39C5DEBD" w:rsidR="009442B9" w:rsidRPr="00C610CD" w:rsidRDefault="00A54C3A" w:rsidP="00F53A31">
            <w:pPr>
              <w:jc w:val="right"/>
              <w:rPr>
                <w:rFonts w:asciiTheme="minorHAnsi" w:hAnsiTheme="minorHAnsi" w:cstheme="minorHAnsi"/>
                <w:b/>
                <w:bCs/>
                <w:sz w:val="18"/>
                <w:szCs w:val="18"/>
              </w:rPr>
            </w:pPr>
            <w:r w:rsidRPr="00C610CD">
              <w:rPr>
                <w:rFonts w:asciiTheme="minorHAnsi" w:hAnsiTheme="minorHAnsi" w:cstheme="minorHAnsi"/>
                <w:b/>
                <w:bCs/>
                <w:sz w:val="18"/>
                <w:szCs w:val="18"/>
              </w:rPr>
              <w:t>12 536</w:t>
            </w:r>
          </w:p>
        </w:tc>
        <w:tc>
          <w:tcPr>
            <w:tcW w:w="993" w:type="dxa"/>
            <w:tcBorders>
              <w:top w:val="nil"/>
              <w:left w:val="nil"/>
              <w:bottom w:val="single" w:sz="8" w:space="0" w:color="FFFFFF"/>
              <w:right w:val="single" w:sz="8" w:space="0" w:color="FFFFFF"/>
            </w:tcBorders>
            <w:noWrap/>
            <w:vAlign w:val="center"/>
            <w:hideMark/>
          </w:tcPr>
          <w:p w14:paraId="431B5DB2" w14:textId="77777777" w:rsidR="009442B9" w:rsidRPr="00C610CD" w:rsidRDefault="009442B9" w:rsidP="00F53A31">
            <w:pPr>
              <w:jc w:val="right"/>
              <w:rPr>
                <w:rFonts w:asciiTheme="minorHAnsi" w:hAnsiTheme="minorHAnsi" w:cs="Calibri"/>
                <w:color w:val="000000"/>
                <w:sz w:val="18"/>
                <w:szCs w:val="18"/>
              </w:rPr>
            </w:pPr>
            <w:r w:rsidRPr="00C610CD">
              <w:rPr>
                <w:rFonts w:asciiTheme="minorHAnsi" w:hAnsiTheme="minorHAnsi" w:cs="Calibri"/>
                <w:color w:val="000000"/>
                <w:sz w:val="18"/>
                <w:szCs w:val="18"/>
              </w:rPr>
              <w:t> </w:t>
            </w:r>
          </w:p>
        </w:tc>
      </w:tr>
      <w:tr w:rsidR="009442B9" w:rsidRPr="00FF4CBF" w14:paraId="145ACB94" w14:textId="77777777" w:rsidTr="00C610CD">
        <w:tblPrEx>
          <w:jc w:val="center"/>
          <w:tblInd w:w="0" w:type="dxa"/>
          <w:tblCellMar>
            <w:left w:w="70" w:type="dxa"/>
            <w:right w:w="70" w:type="dxa"/>
          </w:tblCellMar>
        </w:tblPrEx>
        <w:trPr>
          <w:trHeight w:val="279"/>
          <w:jc w:val="center"/>
        </w:trPr>
        <w:tc>
          <w:tcPr>
            <w:tcW w:w="8080" w:type="dxa"/>
            <w:gridSpan w:val="6"/>
            <w:tcBorders>
              <w:top w:val="single" w:sz="4" w:space="0" w:color="FFFFFF"/>
              <w:left w:val="single" w:sz="4" w:space="0" w:color="FFFFFF"/>
              <w:bottom w:val="single" w:sz="4" w:space="0" w:color="FFFFFF"/>
              <w:right w:val="single" w:sz="4" w:space="0" w:color="FFFFFF"/>
            </w:tcBorders>
            <w:shd w:val="clear" w:color="000000" w:fill="FFFFFF"/>
            <w:noWrap/>
            <w:vAlign w:val="center"/>
          </w:tcPr>
          <w:p w14:paraId="1DEDC4C8" w14:textId="77777777" w:rsidR="009442B9" w:rsidRPr="00FF4CBF" w:rsidRDefault="009442B9" w:rsidP="00F53A31">
            <w:pPr>
              <w:jc w:val="both"/>
              <w:rPr>
                <w:rFonts w:asciiTheme="minorHAnsi" w:eastAsiaTheme="minorHAnsi" w:hAnsiTheme="minorHAnsi" w:cstheme="minorHAnsi"/>
                <w:sz w:val="14"/>
                <w:szCs w:val="14"/>
                <w:lang w:eastAsia="en-US"/>
              </w:rPr>
            </w:pPr>
            <w:r w:rsidRPr="00FF4CBF">
              <w:rPr>
                <w:rFonts w:asciiTheme="minorHAnsi" w:eastAsiaTheme="minorHAnsi" w:hAnsiTheme="minorHAnsi" w:cstheme="minorHAnsi"/>
                <w:sz w:val="14"/>
                <w:szCs w:val="14"/>
                <w:lang w:eastAsia="en-US"/>
              </w:rPr>
              <w:t>Nota: fixa-se em um quarto do valor do abono mensal para despesas de representação, o valor máximo de combustível e portagens afeto mensalmente às viaturas de serviço, nos termos do nº 3 do art.º 33º do EGP.</w:t>
            </w:r>
          </w:p>
          <w:p w14:paraId="45A2DF3C" w14:textId="77777777" w:rsidR="009442B9" w:rsidRPr="00FF4CBF" w:rsidRDefault="009442B9" w:rsidP="00F53A31">
            <w:pPr>
              <w:rPr>
                <w:rFonts w:ascii="Calibri" w:hAnsi="Calibri" w:cs="Arial"/>
                <w:color w:val="000000"/>
                <w:sz w:val="14"/>
                <w:szCs w:val="14"/>
              </w:rPr>
            </w:pPr>
          </w:p>
        </w:tc>
      </w:tr>
    </w:tbl>
    <w:p w14:paraId="151332AD" w14:textId="77777777" w:rsidR="009442B9" w:rsidRDefault="009442B9" w:rsidP="006D7C47">
      <w:pPr>
        <w:rPr>
          <w:rFonts w:asciiTheme="minorHAnsi" w:hAnsiTheme="minorHAnsi" w:cstheme="minorHAnsi"/>
          <w:b/>
          <w:sz w:val="22"/>
          <w:szCs w:val="22"/>
          <w:lang w:eastAsia="en-US"/>
        </w:rPr>
      </w:pPr>
    </w:p>
    <w:p w14:paraId="6C1864FB" w14:textId="77777777" w:rsidR="0099688D" w:rsidRDefault="0099688D" w:rsidP="0099688D">
      <w:pPr>
        <w:rPr>
          <w:rFonts w:asciiTheme="minorHAnsi" w:hAnsiTheme="minorHAnsi" w:cstheme="minorHAnsi"/>
          <w:b/>
          <w:sz w:val="22"/>
          <w:szCs w:val="22"/>
          <w:lang w:eastAsia="en-US"/>
        </w:rPr>
      </w:pPr>
    </w:p>
    <w:p w14:paraId="7EE6E9E4" w14:textId="3CE2270E" w:rsidR="0099688D" w:rsidRPr="00066508" w:rsidRDefault="0099688D" w:rsidP="0099688D">
      <w:pPr>
        <w:pStyle w:val="CorpotextoMP"/>
        <w:numPr>
          <w:ilvl w:val="0"/>
          <w:numId w:val="35"/>
        </w:numPr>
        <w:rPr>
          <w:rFonts w:asciiTheme="minorHAnsi" w:hAnsiTheme="minorHAnsi" w:cstheme="minorHAnsi"/>
          <w:b/>
          <w:sz w:val="22"/>
          <w:szCs w:val="22"/>
          <w:lang w:eastAsia="en-US"/>
        </w:rPr>
      </w:pPr>
      <w:r>
        <w:rPr>
          <w:rFonts w:asciiTheme="minorHAnsi" w:hAnsiTheme="minorHAnsi" w:cstheme="minorHAnsi"/>
          <w:b/>
          <w:sz w:val="22"/>
          <w:szCs w:val="22"/>
          <w:lang w:eastAsia="en-US"/>
        </w:rPr>
        <w:t>Despesas não documentadas ou confidenciais</w:t>
      </w:r>
    </w:p>
    <w:p w14:paraId="583537E3" w14:textId="77777777" w:rsidR="0099688D" w:rsidRDefault="0099688D" w:rsidP="0099688D">
      <w:pPr>
        <w:pStyle w:val="CorpotextoMP"/>
        <w:rPr>
          <w:rFonts w:asciiTheme="minorHAnsi" w:hAnsiTheme="minorHAnsi" w:cstheme="minorHAnsi"/>
          <w:sz w:val="22"/>
          <w:szCs w:val="22"/>
          <w:lang w:eastAsia="en-US"/>
        </w:rPr>
      </w:pPr>
    </w:p>
    <w:p w14:paraId="2D697013" w14:textId="619CD21B" w:rsidR="0099688D" w:rsidRDefault="0099688D" w:rsidP="0099688D">
      <w:pPr>
        <w:pStyle w:val="CorpotextoMP"/>
        <w:rPr>
          <w:rFonts w:asciiTheme="minorHAnsi" w:hAnsiTheme="minorHAnsi" w:cstheme="minorHAnsi"/>
          <w:sz w:val="22"/>
          <w:szCs w:val="22"/>
          <w:lang w:eastAsia="en-US"/>
        </w:rPr>
      </w:pPr>
      <w:r w:rsidRPr="00257F1F">
        <w:rPr>
          <w:rFonts w:asciiTheme="minorHAnsi" w:hAnsiTheme="minorHAnsi" w:cstheme="minorHAnsi"/>
          <w:sz w:val="22"/>
          <w:szCs w:val="22"/>
          <w:lang w:eastAsia="en-US"/>
        </w:rPr>
        <w:t>Não existem despesas não documentadas ou confidenciais nas contas da entidade.</w:t>
      </w:r>
    </w:p>
    <w:p w14:paraId="7BA7C1A4" w14:textId="77777777" w:rsidR="0099688D" w:rsidRDefault="0099688D" w:rsidP="0099688D">
      <w:pPr>
        <w:rPr>
          <w:rFonts w:asciiTheme="minorHAnsi" w:hAnsiTheme="minorHAnsi" w:cstheme="minorHAnsi"/>
          <w:sz w:val="22"/>
          <w:szCs w:val="22"/>
          <w:highlight w:val="yellow"/>
          <w:lang w:eastAsia="en-US"/>
        </w:rPr>
      </w:pPr>
    </w:p>
    <w:p w14:paraId="7ACBC7AE" w14:textId="77C67D10" w:rsidR="00A40B87" w:rsidRPr="005E02AB" w:rsidRDefault="00A40B87" w:rsidP="00A40B87">
      <w:pPr>
        <w:jc w:val="both"/>
        <w:rPr>
          <w:rFonts w:asciiTheme="minorHAnsi" w:hAnsiTheme="minorHAnsi" w:cstheme="minorHAnsi"/>
          <w:b/>
          <w:sz w:val="22"/>
          <w:szCs w:val="22"/>
          <w:lang w:eastAsia="en-US"/>
        </w:rPr>
      </w:pPr>
      <w:r w:rsidRPr="005E02AB">
        <w:rPr>
          <w:rFonts w:asciiTheme="minorHAnsi" w:hAnsiTheme="minorHAnsi" w:cstheme="minorHAnsi"/>
          <w:b/>
          <w:sz w:val="22"/>
          <w:szCs w:val="22"/>
          <w:lang w:eastAsia="en-US"/>
        </w:rPr>
        <w:t>1</w:t>
      </w:r>
      <w:r>
        <w:rPr>
          <w:rFonts w:asciiTheme="minorHAnsi" w:hAnsiTheme="minorHAnsi" w:cstheme="minorHAnsi"/>
          <w:b/>
          <w:sz w:val="22"/>
          <w:szCs w:val="22"/>
          <w:lang w:eastAsia="en-US"/>
        </w:rPr>
        <w:t>1</w:t>
      </w:r>
      <w:r w:rsidRPr="005E02AB">
        <w:rPr>
          <w:rFonts w:asciiTheme="minorHAnsi" w:hAnsiTheme="minorHAnsi" w:cstheme="minorHAnsi"/>
          <w:b/>
          <w:sz w:val="22"/>
          <w:szCs w:val="22"/>
          <w:lang w:eastAsia="en-US"/>
        </w:rPr>
        <w:t>. Contratação pública</w:t>
      </w:r>
    </w:p>
    <w:p w14:paraId="7DD5ED7F" w14:textId="77777777" w:rsidR="00A40B87" w:rsidRDefault="00A40B87" w:rsidP="00A40B87">
      <w:pPr>
        <w:rPr>
          <w:rFonts w:asciiTheme="minorHAnsi" w:hAnsiTheme="minorHAnsi" w:cstheme="minorHAnsi"/>
          <w:sz w:val="22"/>
          <w:lang w:eastAsia="en-US"/>
        </w:rPr>
      </w:pPr>
    </w:p>
    <w:p w14:paraId="4872260B" w14:textId="02577587" w:rsidR="00A40B87" w:rsidRPr="00A40B87" w:rsidRDefault="00A40B87" w:rsidP="00A40B87">
      <w:pPr>
        <w:rPr>
          <w:rFonts w:asciiTheme="minorHAnsi" w:hAnsiTheme="minorHAnsi" w:cstheme="minorHAnsi"/>
          <w:sz w:val="22"/>
          <w:szCs w:val="22"/>
          <w:lang w:eastAsia="en-US"/>
        </w:rPr>
      </w:pPr>
      <w:r w:rsidRPr="00A40B87">
        <w:rPr>
          <w:rFonts w:asciiTheme="minorHAnsi" w:hAnsiTheme="minorHAnsi" w:cstheme="minorHAnsi"/>
          <w:sz w:val="22"/>
          <w:szCs w:val="22"/>
          <w:lang w:eastAsia="en-US"/>
        </w:rPr>
        <w:t>O regime de contratação pública não é aplicável à PARVALOREM</w:t>
      </w:r>
      <w:r>
        <w:rPr>
          <w:rFonts w:asciiTheme="minorHAnsi" w:hAnsiTheme="minorHAnsi" w:cstheme="minorHAnsi"/>
          <w:sz w:val="22"/>
          <w:szCs w:val="22"/>
          <w:lang w:eastAsia="en-US"/>
        </w:rPr>
        <w:t>.</w:t>
      </w:r>
    </w:p>
    <w:p w14:paraId="67E0FEAF" w14:textId="77777777" w:rsidR="009442B9" w:rsidRDefault="009442B9" w:rsidP="006D7C47">
      <w:pPr>
        <w:rPr>
          <w:rFonts w:asciiTheme="minorHAnsi" w:hAnsiTheme="minorHAnsi" w:cstheme="minorHAnsi"/>
          <w:b/>
          <w:sz w:val="22"/>
          <w:szCs w:val="22"/>
          <w:lang w:eastAsia="en-US"/>
        </w:rPr>
      </w:pPr>
    </w:p>
    <w:p w14:paraId="73DD9733" w14:textId="77777777" w:rsidR="009442B9" w:rsidRDefault="009442B9" w:rsidP="006D7C47">
      <w:pPr>
        <w:rPr>
          <w:rFonts w:asciiTheme="minorHAnsi" w:hAnsiTheme="minorHAnsi" w:cstheme="minorHAnsi"/>
          <w:b/>
          <w:sz w:val="22"/>
          <w:szCs w:val="22"/>
          <w:lang w:eastAsia="en-US"/>
        </w:rPr>
      </w:pPr>
    </w:p>
    <w:p w14:paraId="5D1D1C5A" w14:textId="32D4A224" w:rsidR="00A40B87" w:rsidRPr="005E02AB" w:rsidRDefault="00A40B87" w:rsidP="00A40B87">
      <w:pPr>
        <w:jc w:val="both"/>
        <w:rPr>
          <w:rFonts w:asciiTheme="minorHAnsi" w:hAnsiTheme="minorHAnsi" w:cstheme="minorHAnsi"/>
          <w:b/>
          <w:sz w:val="22"/>
          <w:szCs w:val="22"/>
          <w:lang w:eastAsia="en-US"/>
        </w:rPr>
      </w:pPr>
      <w:r w:rsidRPr="005E02AB">
        <w:rPr>
          <w:rFonts w:asciiTheme="minorHAnsi" w:hAnsiTheme="minorHAnsi" w:cstheme="minorHAnsi"/>
          <w:b/>
          <w:sz w:val="22"/>
          <w:szCs w:val="22"/>
          <w:lang w:eastAsia="en-US"/>
        </w:rPr>
        <w:t>1</w:t>
      </w:r>
      <w:r>
        <w:rPr>
          <w:rFonts w:asciiTheme="minorHAnsi" w:hAnsiTheme="minorHAnsi" w:cstheme="minorHAnsi"/>
          <w:b/>
          <w:sz w:val="22"/>
          <w:szCs w:val="22"/>
          <w:lang w:eastAsia="en-US"/>
        </w:rPr>
        <w:t>2</w:t>
      </w:r>
      <w:r w:rsidRPr="005E02AB">
        <w:rPr>
          <w:rFonts w:asciiTheme="minorHAnsi" w:hAnsiTheme="minorHAnsi" w:cstheme="minorHAnsi"/>
          <w:b/>
          <w:sz w:val="22"/>
          <w:szCs w:val="22"/>
          <w:lang w:eastAsia="en-US"/>
        </w:rPr>
        <w:t xml:space="preserve">. </w:t>
      </w:r>
      <w:r>
        <w:rPr>
          <w:rFonts w:asciiTheme="minorHAnsi" w:hAnsiTheme="minorHAnsi" w:cstheme="minorHAnsi"/>
          <w:b/>
          <w:sz w:val="22"/>
          <w:szCs w:val="22"/>
          <w:lang w:eastAsia="en-US"/>
        </w:rPr>
        <w:t xml:space="preserve">Informação </w:t>
      </w:r>
      <w:r w:rsidR="00624A9A">
        <w:rPr>
          <w:rFonts w:asciiTheme="minorHAnsi" w:hAnsiTheme="minorHAnsi" w:cstheme="minorHAnsi"/>
          <w:b/>
          <w:sz w:val="22"/>
          <w:szCs w:val="22"/>
          <w:lang w:eastAsia="en-US"/>
        </w:rPr>
        <w:t>C</w:t>
      </w:r>
      <w:r>
        <w:rPr>
          <w:rFonts w:asciiTheme="minorHAnsi" w:hAnsiTheme="minorHAnsi" w:cstheme="minorHAnsi"/>
          <w:b/>
          <w:sz w:val="22"/>
          <w:szCs w:val="22"/>
          <w:lang w:eastAsia="en-US"/>
        </w:rPr>
        <w:t>omplementar</w:t>
      </w:r>
    </w:p>
    <w:p w14:paraId="40D59D5C" w14:textId="77777777" w:rsidR="00A40B87" w:rsidRDefault="00A40B87" w:rsidP="00A40B87">
      <w:pPr>
        <w:rPr>
          <w:rFonts w:asciiTheme="minorHAnsi" w:hAnsiTheme="minorHAnsi" w:cstheme="minorHAnsi"/>
          <w:sz w:val="22"/>
          <w:lang w:eastAsia="en-US"/>
        </w:rPr>
      </w:pPr>
    </w:p>
    <w:p w14:paraId="7AC304CC" w14:textId="14538BE0" w:rsidR="00735A96" w:rsidRPr="00735A96" w:rsidRDefault="00735A96" w:rsidP="00735A96">
      <w:pPr>
        <w:pStyle w:val="PargrafodaLista"/>
        <w:numPr>
          <w:ilvl w:val="0"/>
          <w:numId w:val="39"/>
        </w:numPr>
        <w:rPr>
          <w:rFonts w:asciiTheme="minorHAnsi" w:hAnsiTheme="minorHAnsi" w:cstheme="minorHAnsi"/>
          <w:b/>
          <w:sz w:val="22"/>
          <w:szCs w:val="22"/>
          <w:lang w:eastAsia="en-US"/>
        </w:rPr>
      </w:pPr>
      <w:r w:rsidRPr="00735A96">
        <w:rPr>
          <w:rFonts w:asciiTheme="minorHAnsi" w:hAnsiTheme="minorHAnsi" w:cstheme="minorHAnsi"/>
          <w:b/>
          <w:sz w:val="22"/>
          <w:szCs w:val="22"/>
          <w:lang w:eastAsia="en-US"/>
        </w:rPr>
        <w:t>Sistema Nacional de Compras Públicas (SNCP)</w:t>
      </w:r>
    </w:p>
    <w:p w14:paraId="692F45D4" w14:textId="77777777" w:rsidR="00735A96" w:rsidRDefault="00735A96" w:rsidP="00735A96">
      <w:pPr>
        <w:ind w:left="360"/>
        <w:rPr>
          <w:rFonts w:asciiTheme="minorHAnsi" w:hAnsiTheme="minorHAnsi" w:cstheme="minorHAnsi"/>
          <w:bCs/>
          <w:sz w:val="22"/>
          <w:szCs w:val="22"/>
          <w:lang w:eastAsia="en-US"/>
        </w:rPr>
      </w:pPr>
    </w:p>
    <w:p w14:paraId="5BCB7A52" w14:textId="5A5E27F2" w:rsidR="00735A96" w:rsidRPr="00735A96" w:rsidRDefault="00735A96" w:rsidP="00735A96">
      <w:pPr>
        <w:ind w:left="360"/>
        <w:rPr>
          <w:rFonts w:asciiTheme="minorHAnsi" w:hAnsiTheme="minorHAnsi" w:cstheme="minorHAnsi"/>
          <w:bCs/>
          <w:sz w:val="22"/>
          <w:szCs w:val="22"/>
          <w:lang w:eastAsia="en-US"/>
        </w:rPr>
      </w:pPr>
      <w:r w:rsidRPr="00735A96">
        <w:rPr>
          <w:rFonts w:asciiTheme="minorHAnsi" w:hAnsiTheme="minorHAnsi" w:cstheme="minorHAnsi"/>
          <w:bCs/>
          <w:sz w:val="22"/>
          <w:szCs w:val="22"/>
          <w:lang w:eastAsia="en-US"/>
        </w:rPr>
        <w:t>O Sistema Nacional de Compras Públicas (SNCP) não é aplicável à PARVALOREM.</w:t>
      </w:r>
    </w:p>
    <w:p w14:paraId="446367FE" w14:textId="77777777" w:rsidR="00735A96" w:rsidRDefault="00735A96" w:rsidP="00735A96">
      <w:pPr>
        <w:ind w:left="360"/>
        <w:rPr>
          <w:rFonts w:asciiTheme="minorHAnsi" w:hAnsiTheme="minorHAnsi" w:cstheme="minorHAnsi"/>
          <w:bCs/>
          <w:sz w:val="22"/>
          <w:szCs w:val="22"/>
          <w:lang w:eastAsia="en-US"/>
        </w:rPr>
      </w:pPr>
    </w:p>
    <w:p w14:paraId="7A37ADA1" w14:textId="77777777" w:rsidR="00786C86" w:rsidRPr="00735A96" w:rsidRDefault="00786C86" w:rsidP="00735A96">
      <w:pPr>
        <w:ind w:left="360"/>
        <w:rPr>
          <w:rFonts w:asciiTheme="minorHAnsi" w:hAnsiTheme="minorHAnsi" w:cstheme="minorHAnsi"/>
          <w:bCs/>
          <w:sz w:val="22"/>
          <w:szCs w:val="22"/>
          <w:lang w:eastAsia="en-US"/>
        </w:rPr>
      </w:pPr>
    </w:p>
    <w:p w14:paraId="269BF0E2" w14:textId="4BD9170F" w:rsidR="00735A96" w:rsidRPr="00735A96" w:rsidRDefault="00735A96" w:rsidP="00735A96">
      <w:pPr>
        <w:pStyle w:val="PargrafodaLista"/>
        <w:numPr>
          <w:ilvl w:val="0"/>
          <w:numId w:val="39"/>
        </w:numPr>
        <w:rPr>
          <w:rFonts w:asciiTheme="minorHAnsi" w:hAnsiTheme="minorHAnsi" w:cstheme="minorHAnsi"/>
          <w:bCs/>
          <w:sz w:val="22"/>
          <w:szCs w:val="22"/>
          <w:lang w:eastAsia="en-US"/>
        </w:rPr>
      </w:pPr>
      <w:r w:rsidRPr="000D410D">
        <w:rPr>
          <w:rFonts w:asciiTheme="minorHAnsi" w:hAnsiTheme="minorHAnsi" w:cstheme="minorHAnsi"/>
          <w:b/>
          <w:sz w:val="22"/>
          <w:szCs w:val="22"/>
          <w:lang w:eastAsia="en-US"/>
        </w:rPr>
        <w:t>Diligências tomadas e resultados obtidos no âmbito das recomendações da</w:t>
      </w:r>
      <w:r w:rsidRPr="005E02AB">
        <w:rPr>
          <w:rFonts w:asciiTheme="minorHAnsi" w:hAnsiTheme="minorHAnsi" w:cstheme="minorHAnsi"/>
          <w:b/>
          <w:sz w:val="22"/>
          <w:szCs w:val="22"/>
          <w:lang w:eastAsia="en-US"/>
        </w:rPr>
        <w:t xml:space="preserve"> acionista</w:t>
      </w:r>
      <w:r>
        <w:rPr>
          <w:rFonts w:asciiTheme="minorHAnsi" w:hAnsiTheme="minorHAnsi" w:cstheme="minorHAnsi"/>
          <w:b/>
          <w:sz w:val="22"/>
          <w:szCs w:val="22"/>
          <w:lang w:eastAsia="en-US"/>
        </w:rPr>
        <w:t>.</w:t>
      </w:r>
    </w:p>
    <w:p w14:paraId="13F5DFC4" w14:textId="77777777" w:rsidR="00786C86" w:rsidRDefault="00786C86" w:rsidP="00786C86">
      <w:pPr>
        <w:ind w:left="360"/>
        <w:jc w:val="both"/>
        <w:rPr>
          <w:rFonts w:asciiTheme="minorHAnsi" w:hAnsiTheme="minorHAnsi" w:cstheme="minorHAnsi"/>
          <w:sz w:val="22"/>
          <w:szCs w:val="22"/>
          <w:lang w:eastAsia="en-US"/>
        </w:rPr>
      </w:pPr>
    </w:p>
    <w:p w14:paraId="167F6BCD" w14:textId="5A76B5B6" w:rsidR="00735A96" w:rsidRDefault="00786C86" w:rsidP="00BC39DF">
      <w:pPr>
        <w:ind w:left="360"/>
        <w:jc w:val="both"/>
        <w:rPr>
          <w:rFonts w:asciiTheme="minorHAnsi" w:hAnsiTheme="minorHAnsi" w:cstheme="minorHAnsi"/>
          <w:sz w:val="22"/>
          <w:szCs w:val="22"/>
          <w:lang w:eastAsia="en-US"/>
        </w:rPr>
      </w:pPr>
      <w:r w:rsidRPr="00786C86">
        <w:rPr>
          <w:rFonts w:asciiTheme="minorHAnsi" w:hAnsiTheme="minorHAnsi" w:cstheme="minorHAnsi"/>
          <w:sz w:val="22"/>
          <w:szCs w:val="22"/>
          <w:lang w:eastAsia="en-US"/>
        </w:rPr>
        <w:t>A prestação de contas individual de 202</w:t>
      </w:r>
      <w:r>
        <w:rPr>
          <w:rFonts w:asciiTheme="minorHAnsi" w:hAnsiTheme="minorHAnsi" w:cstheme="minorHAnsi"/>
          <w:sz w:val="22"/>
          <w:szCs w:val="22"/>
          <w:lang w:eastAsia="en-US"/>
        </w:rPr>
        <w:t>4</w:t>
      </w:r>
      <w:r w:rsidRPr="00786C86">
        <w:rPr>
          <w:rFonts w:asciiTheme="minorHAnsi" w:hAnsiTheme="minorHAnsi" w:cstheme="minorHAnsi"/>
          <w:sz w:val="22"/>
          <w:szCs w:val="22"/>
          <w:lang w:eastAsia="en-US"/>
        </w:rPr>
        <w:t xml:space="preserve"> foi aprovada em Assembleia Geral de </w:t>
      </w:r>
      <w:r>
        <w:rPr>
          <w:rFonts w:asciiTheme="minorHAnsi" w:hAnsiTheme="minorHAnsi" w:cstheme="minorHAnsi"/>
          <w:sz w:val="22"/>
          <w:szCs w:val="22"/>
          <w:lang w:eastAsia="en-US"/>
        </w:rPr>
        <w:t>15</w:t>
      </w:r>
      <w:r w:rsidRPr="00786C86">
        <w:rPr>
          <w:rFonts w:asciiTheme="minorHAnsi" w:hAnsiTheme="minorHAnsi" w:cstheme="minorHAnsi"/>
          <w:sz w:val="22"/>
          <w:szCs w:val="22"/>
          <w:lang w:eastAsia="en-US"/>
        </w:rPr>
        <w:t xml:space="preserve"> de </w:t>
      </w:r>
      <w:r>
        <w:rPr>
          <w:rFonts w:asciiTheme="minorHAnsi" w:hAnsiTheme="minorHAnsi" w:cstheme="minorHAnsi"/>
          <w:sz w:val="22"/>
          <w:szCs w:val="22"/>
          <w:lang w:eastAsia="en-US"/>
        </w:rPr>
        <w:t>julho</w:t>
      </w:r>
      <w:r w:rsidRPr="00786C86">
        <w:rPr>
          <w:rFonts w:asciiTheme="minorHAnsi" w:hAnsiTheme="minorHAnsi" w:cstheme="minorHAnsi"/>
          <w:sz w:val="22"/>
          <w:szCs w:val="22"/>
          <w:lang w:eastAsia="en-US"/>
        </w:rPr>
        <w:t xml:space="preserve"> de 202</w:t>
      </w:r>
      <w:r>
        <w:rPr>
          <w:rFonts w:asciiTheme="minorHAnsi" w:hAnsiTheme="minorHAnsi" w:cstheme="minorHAnsi"/>
          <w:sz w:val="22"/>
          <w:szCs w:val="22"/>
          <w:lang w:eastAsia="en-US"/>
        </w:rPr>
        <w:t>5</w:t>
      </w:r>
      <w:r w:rsidRPr="00786C86">
        <w:rPr>
          <w:rFonts w:asciiTheme="minorHAnsi" w:hAnsiTheme="minorHAnsi" w:cstheme="minorHAnsi"/>
          <w:sz w:val="22"/>
          <w:szCs w:val="22"/>
          <w:lang w:eastAsia="en-US"/>
        </w:rPr>
        <w:t xml:space="preserve">, tendo o acionista </w:t>
      </w:r>
      <w:r w:rsidR="00BC39DF" w:rsidRPr="004546A8">
        <w:rPr>
          <w:rFonts w:asciiTheme="minorHAnsi" w:hAnsiTheme="minorHAnsi" w:cstheme="minorHAnsi"/>
          <w:sz w:val="22"/>
          <w:szCs w:val="22"/>
          <w:lang w:eastAsia="en-US"/>
        </w:rPr>
        <w:t xml:space="preserve">efetuado </w:t>
      </w:r>
      <w:r w:rsidR="00BC39DF">
        <w:rPr>
          <w:rFonts w:asciiTheme="minorHAnsi" w:hAnsiTheme="minorHAnsi" w:cstheme="minorHAnsi"/>
          <w:sz w:val="22"/>
          <w:szCs w:val="22"/>
          <w:lang w:eastAsia="en-US"/>
        </w:rPr>
        <w:t>as seguintes recomendações:</w:t>
      </w:r>
    </w:p>
    <w:p w14:paraId="5C761FF2" w14:textId="77777777" w:rsidR="00BC39DF" w:rsidRDefault="00BC39DF" w:rsidP="00BC39DF">
      <w:pPr>
        <w:ind w:left="360"/>
        <w:jc w:val="both"/>
        <w:rPr>
          <w:rFonts w:asciiTheme="minorHAnsi" w:hAnsiTheme="minorHAnsi" w:cstheme="minorHAnsi"/>
          <w:sz w:val="22"/>
          <w:szCs w:val="22"/>
          <w:lang w:eastAsia="en-US"/>
        </w:rPr>
      </w:pPr>
    </w:p>
    <w:tbl>
      <w:tblPr>
        <w:tblW w:w="5087" w:type="pct"/>
        <w:jc w:val="center"/>
        <w:tblCellMar>
          <w:left w:w="70" w:type="dxa"/>
          <w:right w:w="70" w:type="dxa"/>
        </w:tblCellMar>
        <w:tblLook w:val="04A0" w:firstRow="1" w:lastRow="0" w:firstColumn="1" w:lastColumn="0" w:noHBand="0" w:noVBand="1"/>
      </w:tblPr>
      <w:tblGrid>
        <w:gridCol w:w="4391"/>
        <w:gridCol w:w="4108"/>
      </w:tblGrid>
      <w:tr w:rsidR="00BC39DF" w:rsidRPr="00D917F5" w14:paraId="4FC858B8" w14:textId="77777777" w:rsidTr="007732BE">
        <w:trPr>
          <w:trHeight w:val="276"/>
          <w:tblHeader/>
          <w:jc w:val="center"/>
        </w:trPr>
        <w:tc>
          <w:tcPr>
            <w:tcW w:w="2583" w:type="pct"/>
            <w:vMerge w:val="restart"/>
            <w:tcBorders>
              <w:top w:val="single" w:sz="4" w:space="0" w:color="FFFFFF"/>
              <w:left w:val="single" w:sz="4" w:space="0" w:color="FFFFFF"/>
              <w:bottom w:val="single" w:sz="4" w:space="0" w:color="FFFFFF"/>
              <w:right w:val="single" w:sz="4" w:space="0" w:color="FFFFFF"/>
            </w:tcBorders>
            <w:shd w:val="clear" w:color="auto" w:fill="8EAADB" w:themeFill="accent5" w:themeFillTint="99"/>
            <w:vAlign w:val="center"/>
            <w:hideMark/>
          </w:tcPr>
          <w:p w14:paraId="6887F120" w14:textId="77777777" w:rsidR="00BC39DF" w:rsidRPr="00D917F5" w:rsidRDefault="00BC39DF" w:rsidP="007732BE">
            <w:pPr>
              <w:jc w:val="center"/>
              <w:rPr>
                <w:rFonts w:ascii="Calibri" w:hAnsi="Calibri" w:cs="Calibri"/>
                <w:b/>
                <w:bCs/>
                <w:sz w:val="18"/>
                <w:szCs w:val="18"/>
              </w:rPr>
            </w:pPr>
            <w:r w:rsidRPr="00D917F5">
              <w:rPr>
                <w:rFonts w:ascii="Calibri" w:hAnsi="Calibri" w:cs="Calibri"/>
                <w:b/>
                <w:bCs/>
                <w:sz w:val="18"/>
                <w:szCs w:val="18"/>
              </w:rPr>
              <w:t>Recomendações</w:t>
            </w:r>
          </w:p>
        </w:tc>
        <w:tc>
          <w:tcPr>
            <w:tcW w:w="2417" w:type="pct"/>
            <w:vMerge w:val="restart"/>
            <w:tcBorders>
              <w:top w:val="single" w:sz="4" w:space="0" w:color="FFFFFF"/>
              <w:left w:val="single" w:sz="4" w:space="0" w:color="FFFFFF"/>
              <w:right w:val="single" w:sz="4" w:space="0" w:color="FFFFFF"/>
            </w:tcBorders>
            <w:shd w:val="clear" w:color="auto" w:fill="8EAADB" w:themeFill="accent5" w:themeFillTint="99"/>
            <w:vAlign w:val="center"/>
          </w:tcPr>
          <w:p w14:paraId="423A407A" w14:textId="77777777" w:rsidR="00BC39DF" w:rsidRPr="00D917F5" w:rsidRDefault="00BC39DF" w:rsidP="007732BE">
            <w:pPr>
              <w:jc w:val="center"/>
              <w:rPr>
                <w:rFonts w:ascii="Calibri" w:hAnsi="Calibri" w:cs="Calibri"/>
                <w:b/>
                <w:bCs/>
                <w:sz w:val="18"/>
                <w:szCs w:val="18"/>
              </w:rPr>
            </w:pPr>
            <w:r w:rsidRPr="00D917F5">
              <w:rPr>
                <w:rFonts w:ascii="Calibri" w:hAnsi="Calibri" w:cs="Calibri"/>
                <w:b/>
                <w:bCs/>
                <w:sz w:val="18"/>
                <w:szCs w:val="18"/>
              </w:rPr>
              <w:t>Diligências e Resultados obtidos</w:t>
            </w:r>
          </w:p>
        </w:tc>
      </w:tr>
      <w:tr w:rsidR="00BC39DF" w:rsidRPr="00D917F5" w14:paraId="2602B4DB" w14:textId="77777777" w:rsidTr="007732BE">
        <w:trPr>
          <w:trHeight w:val="276"/>
          <w:tblHeader/>
          <w:jc w:val="center"/>
        </w:trPr>
        <w:tc>
          <w:tcPr>
            <w:tcW w:w="2583" w:type="pct"/>
            <w:vMerge/>
            <w:tcBorders>
              <w:top w:val="single" w:sz="4" w:space="0" w:color="FFFFFF"/>
              <w:left w:val="single" w:sz="4" w:space="0" w:color="FFFFFF"/>
              <w:bottom w:val="single" w:sz="4" w:space="0" w:color="FFFFFF"/>
              <w:right w:val="single" w:sz="4" w:space="0" w:color="FFFFFF"/>
            </w:tcBorders>
            <w:shd w:val="clear" w:color="auto" w:fill="8EAADB" w:themeFill="accent5" w:themeFillTint="99"/>
            <w:vAlign w:val="center"/>
            <w:hideMark/>
          </w:tcPr>
          <w:p w14:paraId="540060DC" w14:textId="77777777" w:rsidR="00BC39DF" w:rsidRPr="00D917F5" w:rsidRDefault="00BC39DF" w:rsidP="007732BE">
            <w:pPr>
              <w:rPr>
                <w:rFonts w:ascii="Calibri" w:hAnsi="Calibri" w:cs="Calibri"/>
                <w:b/>
                <w:bCs/>
                <w:color w:val="000000"/>
                <w:sz w:val="18"/>
                <w:szCs w:val="18"/>
              </w:rPr>
            </w:pPr>
          </w:p>
        </w:tc>
        <w:tc>
          <w:tcPr>
            <w:tcW w:w="2417" w:type="pct"/>
            <w:vMerge/>
            <w:tcBorders>
              <w:left w:val="single" w:sz="4" w:space="0" w:color="FFFFFF"/>
              <w:bottom w:val="single" w:sz="4" w:space="0" w:color="FFFFFF"/>
              <w:right w:val="single" w:sz="4" w:space="0" w:color="FFFFFF"/>
            </w:tcBorders>
            <w:shd w:val="clear" w:color="auto" w:fill="8EAADB" w:themeFill="accent5" w:themeFillTint="99"/>
            <w:vAlign w:val="center"/>
          </w:tcPr>
          <w:p w14:paraId="2D90C5D8" w14:textId="77777777" w:rsidR="00BC39DF" w:rsidRPr="00D917F5" w:rsidRDefault="00BC39DF" w:rsidP="007732BE">
            <w:pPr>
              <w:rPr>
                <w:rFonts w:ascii="Calibri" w:hAnsi="Calibri" w:cs="Calibri"/>
                <w:b/>
                <w:bCs/>
                <w:color w:val="000000"/>
                <w:sz w:val="18"/>
                <w:szCs w:val="18"/>
              </w:rPr>
            </w:pPr>
          </w:p>
        </w:tc>
      </w:tr>
      <w:tr w:rsidR="00BC39DF" w:rsidRPr="005E0552" w14:paraId="5D3C5AC9" w14:textId="77777777" w:rsidTr="000D410D">
        <w:trPr>
          <w:trHeight w:val="1242"/>
          <w:jc w:val="center"/>
        </w:trPr>
        <w:tc>
          <w:tcPr>
            <w:tcW w:w="2583" w:type="pct"/>
            <w:tcBorders>
              <w:top w:val="nil"/>
              <w:left w:val="single" w:sz="4" w:space="0" w:color="FFFFFF"/>
              <w:bottom w:val="single" w:sz="4" w:space="0" w:color="FFFFFF"/>
              <w:right w:val="single" w:sz="4" w:space="0" w:color="FFFFFF"/>
            </w:tcBorders>
            <w:shd w:val="clear" w:color="auto" w:fill="D9E2F3"/>
            <w:hideMark/>
          </w:tcPr>
          <w:p w14:paraId="13EAD81A" w14:textId="77777777" w:rsidR="000E2F0A" w:rsidRDefault="000E2F0A" w:rsidP="007732BE">
            <w:pPr>
              <w:jc w:val="both"/>
              <w:rPr>
                <w:rFonts w:ascii="Calibri" w:hAnsi="Calibri" w:cs="Calibri"/>
                <w:sz w:val="18"/>
                <w:szCs w:val="18"/>
                <w:lang w:eastAsia="en-US"/>
              </w:rPr>
            </w:pPr>
          </w:p>
          <w:p w14:paraId="6ED6911B" w14:textId="3889A77A" w:rsidR="00BC39DF" w:rsidRDefault="00BC39DF" w:rsidP="007732BE">
            <w:pPr>
              <w:jc w:val="both"/>
              <w:rPr>
                <w:rFonts w:ascii="Calibri" w:hAnsi="Calibri" w:cs="Calibri"/>
                <w:sz w:val="18"/>
                <w:szCs w:val="18"/>
                <w:lang w:eastAsia="en-US"/>
              </w:rPr>
            </w:pPr>
            <w:r w:rsidRPr="005E0552">
              <w:rPr>
                <w:rFonts w:ascii="Calibri" w:hAnsi="Calibri" w:cs="Calibri"/>
                <w:sz w:val="18"/>
                <w:szCs w:val="18"/>
                <w:lang w:eastAsia="en-US"/>
              </w:rPr>
              <w:t>“</w:t>
            </w:r>
            <w:r>
              <w:rPr>
                <w:rFonts w:ascii="Calibri" w:hAnsi="Calibri" w:cs="Calibri"/>
                <w:sz w:val="18"/>
                <w:szCs w:val="18"/>
                <w:lang w:eastAsia="en-US"/>
              </w:rPr>
              <w:t>Que diligencie no sentido da resolução das reservas e ênfases constantes na certificação Legal de Contas, devendo até ao final do mês de novembro ser apresentado um relatório sobre o seu grau de implementação, acompanhado de parecer do Conselho Fiscal</w:t>
            </w:r>
            <w:r w:rsidRPr="005E0552">
              <w:rPr>
                <w:rFonts w:ascii="Calibri" w:hAnsi="Calibri" w:cs="Calibri"/>
                <w:sz w:val="18"/>
                <w:szCs w:val="18"/>
                <w:lang w:eastAsia="en-US"/>
              </w:rPr>
              <w:t>”</w:t>
            </w:r>
          </w:p>
          <w:p w14:paraId="50E0F0AD" w14:textId="69ED6B4F" w:rsidR="000E2F0A" w:rsidRPr="005E0552" w:rsidRDefault="000E2F0A" w:rsidP="007732BE">
            <w:pPr>
              <w:jc w:val="both"/>
              <w:rPr>
                <w:rFonts w:ascii="Calibri" w:hAnsi="Calibri" w:cs="Calibri"/>
                <w:color w:val="000000"/>
                <w:sz w:val="18"/>
                <w:szCs w:val="18"/>
              </w:rPr>
            </w:pPr>
          </w:p>
        </w:tc>
        <w:tc>
          <w:tcPr>
            <w:tcW w:w="2417" w:type="pct"/>
            <w:tcBorders>
              <w:top w:val="nil"/>
              <w:left w:val="single" w:sz="4" w:space="0" w:color="FFFFFF"/>
              <w:bottom w:val="single" w:sz="4" w:space="0" w:color="FFFFFF"/>
              <w:right w:val="single" w:sz="4" w:space="0" w:color="FFFFFF"/>
            </w:tcBorders>
            <w:shd w:val="clear" w:color="auto" w:fill="D9E2F3"/>
          </w:tcPr>
          <w:p w14:paraId="15664B1B" w14:textId="77777777" w:rsidR="00BC39DF" w:rsidRPr="008D13D6" w:rsidRDefault="00BC39DF" w:rsidP="007732BE">
            <w:pPr>
              <w:jc w:val="both"/>
              <w:rPr>
                <w:rFonts w:ascii="Calibri" w:hAnsi="Calibri" w:cs="Calibri"/>
                <w:color w:val="000000"/>
                <w:sz w:val="18"/>
                <w:szCs w:val="18"/>
              </w:rPr>
            </w:pPr>
          </w:p>
          <w:p w14:paraId="4412435C" w14:textId="5B065A97" w:rsidR="000E2F0A" w:rsidRPr="008D13D6" w:rsidRDefault="000E2F0A" w:rsidP="007732BE">
            <w:pPr>
              <w:jc w:val="both"/>
              <w:rPr>
                <w:rFonts w:ascii="Calibri" w:hAnsi="Calibri" w:cs="Calibri"/>
                <w:color w:val="000000"/>
                <w:sz w:val="18"/>
                <w:szCs w:val="18"/>
              </w:rPr>
            </w:pPr>
            <w:r w:rsidRPr="008D13D6">
              <w:rPr>
                <w:rFonts w:ascii="Calibri" w:hAnsi="Calibri" w:cs="Calibri"/>
                <w:color w:val="000000"/>
                <w:sz w:val="18"/>
                <w:szCs w:val="18"/>
              </w:rPr>
              <w:t xml:space="preserve">Em </w:t>
            </w:r>
            <w:r w:rsidR="000140D1" w:rsidRPr="008D13D6">
              <w:rPr>
                <w:rFonts w:ascii="Calibri" w:hAnsi="Calibri" w:cs="Calibri"/>
                <w:color w:val="000000"/>
                <w:sz w:val="18"/>
                <w:szCs w:val="18"/>
              </w:rPr>
              <w:t>novembro</w:t>
            </w:r>
            <w:r w:rsidRPr="008D13D6">
              <w:rPr>
                <w:rFonts w:ascii="Calibri" w:hAnsi="Calibri" w:cs="Calibri"/>
                <w:color w:val="000000"/>
                <w:sz w:val="18"/>
                <w:szCs w:val="18"/>
              </w:rPr>
              <w:t xml:space="preserve"> de 2025 a PARVALOREM apresentou</w:t>
            </w:r>
            <w:r w:rsidR="000140D1" w:rsidRPr="008D13D6">
              <w:rPr>
                <w:rFonts w:ascii="Calibri" w:hAnsi="Calibri" w:cs="Calibri"/>
                <w:color w:val="000000"/>
                <w:sz w:val="18"/>
                <w:szCs w:val="18"/>
              </w:rPr>
              <w:t>, ao Secretário de Estado do Tesouro e Finanças,</w:t>
            </w:r>
            <w:r w:rsidRPr="008D13D6">
              <w:rPr>
                <w:rFonts w:ascii="Calibri" w:hAnsi="Calibri" w:cs="Calibri"/>
                <w:color w:val="000000"/>
                <w:sz w:val="18"/>
                <w:szCs w:val="18"/>
              </w:rPr>
              <w:t xml:space="preserve"> um</w:t>
            </w:r>
            <w:r w:rsidR="000140D1" w:rsidRPr="008D13D6">
              <w:rPr>
                <w:rFonts w:ascii="Calibri" w:hAnsi="Calibri" w:cs="Calibri"/>
                <w:color w:val="000000"/>
                <w:sz w:val="18"/>
                <w:szCs w:val="18"/>
              </w:rPr>
              <w:t>a exposição</w:t>
            </w:r>
            <w:r w:rsidR="00A46A97" w:rsidRPr="008D13D6">
              <w:rPr>
                <w:rFonts w:ascii="Calibri" w:hAnsi="Calibri" w:cs="Calibri"/>
                <w:color w:val="000000"/>
                <w:sz w:val="18"/>
                <w:szCs w:val="18"/>
              </w:rPr>
              <w:t xml:space="preserve"> </w:t>
            </w:r>
            <w:r w:rsidR="009E47B5" w:rsidRPr="008D13D6">
              <w:rPr>
                <w:rFonts w:ascii="Calibri" w:hAnsi="Calibri" w:cs="Calibri"/>
                <w:color w:val="000000"/>
                <w:sz w:val="18"/>
                <w:szCs w:val="18"/>
              </w:rPr>
              <w:t xml:space="preserve">com enquadramento dos 3 Reservas constantes na </w:t>
            </w:r>
            <w:r w:rsidR="00A46A97" w:rsidRPr="008D13D6">
              <w:rPr>
                <w:rFonts w:ascii="Calibri" w:hAnsi="Calibri" w:cs="Calibri"/>
                <w:color w:val="000000"/>
                <w:sz w:val="18"/>
                <w:szCs w:val="18"/>
              </w:rPr>
              <w:t>última</w:t>
            </w:r>
            <w:r w:rsidR="009E47B5" w:rsidRPr="008D13D6">
              <w:rPr>
                <w:rFonts w:ascii="Calibri" w:hAnsi="Calibri" w:cs="Calibri"/>
                <w:color w:val="000000"/>
                <w:sz w:val="18"/>
                <w:szCs w:val="18"/>
              </w:rPr>
              <w:t xml:space="preserve"> CLC e </w:t>
            </w:r>
            <w:r w:rsidR="00A46A97" w:rsidRPr="008D13D6">
              <w:rPr>
                <w:rFonts w:ascii="Calibri" w:hAnsi="Calibri" w:cs="Calibri"/>
                <w:color w:val="000000"/>
                <w:sz w:val="18"/>
                <w:szCs w:val="18"/>
              </w:rPr>
              <w:t xml:space="preserve">diligências tomadas / a tomar no sentido </w:t>
            </w:r>
            <w:proofErr w:type="gramStart"/>
            <w:r w:rsidR="00A46A97" w:rsidRPr="008D13D6">
              <w:rPr>
                <w:rFonts w:ascii="Calibri" w:hAnsi="Calibri" w:cs="Calibri"/>
                <w:color w:val="000000"/>
                <w:sz w:val="18"/>
                <w:szCs w:val="18"/>
              </w:rPr>
              <w:t>do</w:t>
            </w:r>
            <w:proofErr w:type="gramEnd"/>
            <w:r w:rsidR="00A46A97" w:rsidRPr="008D13D6">
              <w:rPr>
                <w:rFonts w:ascii="Calibri" w:hAnsi="Calibri" w:cs="Calibri"/>
                <w:color w:val="000000"/>
                <w:sz w:val="18"/>
                <w:szCs w:val="18"/>
              </w:rPr>
              <w:t xml:space="preserve"> auditor eliminar essas Reservas na CLC das contas de 2025. </w:t>
            </w:r>
          </w:p>
          <w:p w14:paraId="2A40878D" w14:textId="77777777" w:rsidR="00A46A97" w:rsidRPr="008D13D6" w:rsidRDefault="00A46A97" w:rsidP="00DC7E45">
            <w:pPr>
              <w:jc w:val="both"/>
              <w:rPr>
                <w:rFonts w:ascii="Calibri" w:hAnsi="Calibri" w:cs="Calibri"/>
                <w:color w:val="000000"/>
                <w:sz w:val="18"/>
                <w:szCs w:val="18"/>
              </w:rPr>
            </w:pPr>
            <w:r w:rsidRPr="008D13D6">
              <w:rPr>
                <w:rFonts w:ascii="Calibri" w:hAnsi="Calibri" w:cs="Calibri"/>
                <w:color w:val="000000"/>
                <w:sz w:val="18"/>
                <w:szCs w:val="18"/>
              </w:rPr>
              <w:t>O Conselho Fiscal emitiu um Parecer sobre a resolução d</w:t>
            </w:r>
            <w:r w:rsidR="00DC7E45" w:rsidRPr="008D13D6">
              <w:rPr>
                <w:rFonts w:ascii="Calibri" w:hAnsi="Calibri" w:cs="Calibri"/>
                <w:color w:val="000000"/>
                <w:sz w:val="18"/>
                <w:szCs w:val="18"/>
              </w:rPr>
              <w:t>essas</w:t>
            </w:r>
            <w:r w:rsidRPr="008D13D6">
              <w:rPr>
                <w:rFonts w:ascii="Calibri" w:hAnsi="Calibri" w:cs="Calibri"/>
                <w:color w:val="000000"/>
                <w:sz w:val="18"/>
                <w:szCs w:val="18"/>
              </w:rPr>
              <w:t xml:space="preserve"> reservas</w:t>
            </w:r>
            <w:r w:rsidR="00DC7E45" w:rsidRPr="008D13D6">
              <w:rPr>
                <w:rFonts w:ascii="Calibri" w:hAnsi="Calibri" w:cs="Calibri"/>
                <w:color w:val="000000"/>
                <w:sz w:val="18"/>
                <w:szCs w:val="18"/>
              </w:rPr>
              <w:t>.</w:t>
            </w:r>
          </w:p>
          <w:p w14:paraId="607E02C0" w14:textId="436C281F" w:rsidR="00DC7E45" w:rsidRPr="008D13D6" w:rsidRDefault="00DC7E45" w:rsidP="00DC7E45">
            <w:pPr>
              <w:jc w:val="both"/>
              <w:rPr>
                <w:rFonts w:ascii="Calibri" w:hAnsi="Calibri" w:cs="Calibri"/>
                <w:color w:val="000000"/>
                <w:sz w:val="18"/>
                <w:szCs w:val="18"/>
              </w:rPr>
            </w:pPr>
          </w:p>
        </w:tc>
      </w:tr>
      <w:tr w:rsidR="00BC39DF" w:rsidRPr="005E0552" w14:paraId="638DCAAA" w14:textId="77777777" w:rsidTr="000D410D">
        <w:trPr>
          <w:trHeight w:val="1826"/>
          <w:jc w:val="center"/>
        </w:trPr>
        <w:tc>
          <w:tcPr>
            <w:tcW w:w="2583" w:type="pct"/>
            <w:tcBorders>
              <w:top w:val="nil"/>
              <w:left w:val="single" w:sz="4" w:space="0" w:color="FFFFFF"/>
              <w:bottom w:val="single" w:sz="4" w:space="0" w:color="FFFFFF"/>
              <w:right w:val="single" w:sz="4" w:space="0" w:color="FFFFFF"/>
            </w:tcBorders>
            <w:shd w:val="clear" w:color="auto" w:fill="D9E2F3"/>
            <w:hideMark/>
          </w:tcPr>
          <w:p w14:paraId="7DAD2A79" w14:textId="77777777" w:rsidR="000E2F0A" w:rsidRDefault="000E2F0A" w:rsidP="007732BE">
            <w:pPr>
              <w:jc w:val="both"/>
              <w:rPr>
                <w:rFonts w:ascii="Calibri" w:hAnsi="Calibri" w:cs="Calibri"/>
                <w:sz w:val="18"/>
                <w:szCs w:val="18"/>
                <w:lang w:eastAsia="en-US"/>
              </w:rPr>
            </w:pPr>
          </w:p>
          <w:p w14:paraId="663EE344" w14:textId="3B583FA2" w:rsidR="00BC39DF" w:rsidRDefault="00BC39DF" w:rsidP="007732BE">
            <w:pPr>
              <w:jc w:val="both"/>
              <w:rPr>
                <w:rFonts w:ascii="Calibri" w:hAnsi="Calibri" w:cs="Calibri"/>
                <w:sz w:val="18"/>
                <w:szCs w:val="18"/>
                <w:lang w:eastAsia="en-US"/>
              </w:rPr>
            </w:pPr>
            <w:r w:rsidRPr="005E0552">
              <w:rPr>
                <w:rFonts w:ascii="Calibri" w:hAnsi="Calibri" w:cs="Calibri"/>
                <w:sz w:val="18"/>
                <w:szCs w:val="18"/>
                <w:lang w:eastAsia="en-US"/>
              </w:rPr>
              <w:t>“</w:t>
            </w:r>
            <w:r w:rsidR="00A7116B">
              <w:rPr>
                <w:rFonts w:ascii="Calibri" w:hAnsi="Calibri" w:cs="Calibri"/>
                <w:sz w:val="18"/>
                <w:szCs w:val="18"/>
                <w:lang w:eastAsia="en-US"/>
              </w:rPr>
              <w:t xml:space="preserve">Atento o montante registado nas rubricas de “Caixa e equivalentes de </w:t>
            </w:r>
            <w:r w:rsidR="00D03D62">
              <w:rPr>
                <w:rFonts w:ascii="Calibri" w:hAnsi="Calibri" w:cs="Calibri"/>
                <w:sz w:val="18"/>
                <w:szCs w:val="18"/>
                <w:lang w:eastAsia="en-US"/>
              </w:rPr>
              <w:t>c</w:t>
            </w:r>
            <w:r w:rsidR="00A7116B">
              <w:rPr>
                <w:rFonts w:ascii="Calibri" w:hAnsi="Calibri" w:cs="Calibri"/>
                <w:sz w:val="18"/>
                <w:szCs w:val="18"/>
                <w:lang w:eastAsia="en-US"/>
              </w:rPr>
              <w:t>aixa</w:t>
            </w:r>
            <w:r w:rsidR="00D03D62">
              <w:rPr>
                <w:rFonts w:ascii="Calibri" w:hAnsi="Calibri" w:cs="Calibri"/>
                <w:sz w:val="18"/>
                <w:szCs w:val="18"/>
                <w:lang w:eastAsia="en-US"/>
              </w:rPr>
              <w:t>” e “Outros ativos”, que se reforce o esforço de regularização dos empréstimos contraídos junto da ETF, nomeadamente através da afetação prioritária de disponibilidades existentes à amortização das responsabilidades financeiras já vencidas e ainda por regularizar”</w:t>
            </w:r>
          </w:p>
          <w:p w14:paraId="476AFDAF" w14:textId="31EC3C6F" w:rsidR="000E2F0A" w:rsidRPr="005E0552" w:rsidRDefault="000E2F0A" w:rsidP="007732BE">
            <w:pPr>
              <w:jc w:val="both"/>
              <w:rPr>
                <w:rFonts w:ascii="Calibri" w:hAnsi="Calibri" w:cs="Calibri"/>
                <w:color w:val="000000"/>
                <w:sz w:val="18"/>
                <w:szCs w:val="18"/>
              </w:rPr>
            </w:pPr>
          </w:p>
        </w:tc>
        <w:tc>
          <w:tcPr>
            <w:tcW w:w="2417" w:type="pct"/>
            <w:tcBorders>
              <w:top w:val="nil"/>
              <w:left w:val="single" w:sz="4" w:space="0" w:color="FFFFFF"/>
              <w:bottom w:val="single" w:sz="4" w:space="0" w:color="FFFFFF"/>
              <w:right w:val="single" w:sz="4" w:space="0" w:color="FFFFFF"/>
            </w:tcBorders>
            <w:shd w:val="clear" w:color="auto" w:fill="D9E2F3"/>
          </w:tcPr>
          <w:p w14:paraId="6E92F6DE" w14:textId="77777777" w:rsidR="00BC39DF" w:rsidRPr="008D13D6" w:rsidRDefault="00BC39DF" w:rsidP="007732BE">
            <w:pPr>
              <w:jc w:val="both"/>
              <w:rPr>
                <w:rFonts w:ascii="Calibri" w:hAnsi="Calibri" w:cs="Calibri"/>
                <w:color w:val="000000"/>
                <w:sz w:val="18"/>
                <w:szCs w:val="18"/>
              </w:rPr>
            </w:pPr>
          </w:p>
          <w:p w14:paraId="171589C1" w14:textId="5A83E27A" w:rsidR="00BC39DF" w:rsidRPr="008D13D6" w:rsidRDefault="00BC39DF" w:rsidP="007732BE">
            <w:pPr>
              <w:jc w:val="both"/>
              <w:rPr>
                <w:rFonts w:ascii="Calibri" w:hAnsi="Calibri" w:cs="Calibri"/>
                <w:sz w:val="18"/>
                <w:szCs w:val="18"/>
              </w:rPr>
            </w:pPr>
            <w:r w:rsidRPr="008D13D6">
              <w:rPr>
                <w:rFonts w:ascii="Calibri" w:hAnsi="Calibri" w:cs="Calibri"/>
                <w:sz w:val="18"/>
                <w:szCs w:val="18"/>
              </w:rPr>
              <w:t xml:space="preserve">Em </w:t>
            </w:r>
            <w:r w:rsidR="00D03D62" w:rsidRPr="008D13D6">
              <w:rPr>
                <w:rFonts w:ascii="Calibri" w:hAnsi="Calibri" w:cs="Calibri"/>
                <w:sz w:val="18"/>
                <w:szCs w:val="18"/>
              </w:rPr>
              <w:t xml:space="preserve">dezembro de </w:t>
            </w:r>
            <w:r w:rsidRPr="008D13D6">
              <w:rPr>
                <w:rFonts w:ascii="Calibri" w:hAnsi="Calibri" w:cs="Calibri"/>
                <w:sz w:val="18"/>
                <w:szCs w:val="18"/>
              </w:rPr>
              <w:t>202</w:t>
            </w:r>
            <w:r w:rsidR="00D03D62" w:rsidRPr="008D13D6">
              <w:rPr>
                <w:rFonts w:ascii="Calibri" w:hAnsi="Calibri" w:cs="Calibri"/>
                <w:sz w:val="18"/>
                <w:szCs w:val="18"/>
              </w:rPr>
              <w:t>5</w:t>
            </w:r>
            <w:r w:rsidRPr="008D13D6">
              <w:rPr>
                <w:rFonts w:ascii="Calibri" w:hAnsi="Calibri" w:cs="Calibri"/>
                <w:sz w:val="18"/>
                <w:szCs w:val="18"/>
              </w:rPr>
              <w:t xml:space="preserve"> a </w:t>
            </w:r>
            <w:r w:rsidR="00D03D62" w:rsidRPr="008D13D6">
              <w:rPr>
                <w:rFonts w:ascii="Calibri" w:hAnsi="Calibri" w:cs="Calibri"/>
                <w:sz w:val="18"/>
                <w:szCs w:val="18"/>
              </w:rPr>
              <w:t>PARVALOREM</w:t>
            </w:r>
            <w:r w:rsidRPr="008D13D6">
              <w:rPr>
                <w:rFonts w:ascii="Calibri" w:hAnsi="Calibri" w:cs="Calibri"/>
                <w:sz w:val="18"/>
                <w:szCs w:val="18"/>
              </w:rPr>
              <w:t xml:space="preserve"> </w:t>
            </w:r>
            <w:r w:rsidR="00D03D62" w:rsidRPr="008D13D6">
              <w:rPr>
                <w:rFonts w:ascii="Calibri" w:hAnsi="Calibri" w:cs="Calibri"/>
                <w:sz w:val="18"/>
                <w:szCs w:val="18"/>
              </w:rPr>
              <w:t xml:space="preserve">efetuou a amortização parcial de um </w:t>
            </w:r>
            <w:r w:rsidR="000E2F0A" w:rsidRPr="008D13D6">
              <w:rPr>
                <w:rFonts w:ascii="Calibri" w:hAnsi="Calibri" w:cs="Calibri"/>
                <w:sz w:val="18"/>
                <w:szCs w:val="18"/>
              </w:rPr>
              <w:t>mútuo</w:t>
            </w:r>
            <w:r w:rsidR="00D03D62" w:rsidRPr="008D13D6">
              <w:rPr>
                <w:rFonts w:ascii="Calibri" w:hAnsi="Calibri" w:cs="Calibri"/>
                <w:sz w:val="18"/>
                <w:szCs w:val="18"/>
              </w:rPr>
              <w:t xml:space="preserve"> junto da ETF no montante € 80 milhões.</w:t>
            </w:r>
          </w:p>
          <w:p w14:paraId="30526231" w14:textId="77777777" w:rsidR="00BC39DF" w:rsidRPr="008D13D6" w:rsidRDefault="00BC39DF" w:rsidP="007732BE">
            <w:pPr>
              <w:jc w:val="both"/>
              <w:rPr>
                <w:rFonts w:ascii="Calibri" w:hAnsi="Calibri" w:cs="Calibri"/>
                <w:color w:val="000000"/>
                <w:sz w:val="18"/>
                <w:szCs w:val="18"/>
              </w:rPr>
            </w:pPr>
          </w:p>
        </w:tc>
      </w:tr>
    </w:tbl>
    <w:p w14:paraId="348EE22F" w14:textId="77777777" w:rsidR="00BC39DF" w:rsidRPr="00735A96" w:rsidRDefault="00BC39DF" w:rsidP="00BC39DF">
      <w:pPr>
        <w:ind w:left="360"/>
        <w:jc w:val="both"/>
        <w:rPr>
          <w:rFonts w:asciiTheme="minorHAnsi" w:hAnsiTheme="minorHAnsi" w:cstheme="minorHAnsi"/>
          <w:bCs/>
          <w:sz w:val="22"/>
          <w:szCs w:val="22"/>
          <w:lang w:eastAsia="en-US"/>
        </w:rPr>
      </w:pPr>
    </w:p>
    <w:p w14:paraId="3C795A06" w14:textId="77777777" w:rsidR="00735A96" w:rsidRDefault="00735A96" w:rsidP="00735A96">
      <w:pPr>
        <w:rPr>
          <w:rFonts w:asciiTheme="minorHAnsi" w:hAnsiTheme="minorHAnsi" w:cstheme="minorHAnsi"/>
          <w:bCs/>
          <w:sz w:val="22"/>
          <w:szCs w:val="22"/>
          <w:lang w:eastAsia="en-US"/>
        </w:rPr>
      </w:pPr>
    </w:p>
    <w:p w14:paraId="6E3B1AC4" w14:textId="11079C1A" w:rsidR="00735A96" w:rsidRPr="000D410D" w:rsidRDefault="000D410D" w:rsidP="00735A96">
      <w:pPr>
        <w:pStyle w:val="PargrafodaLista"/>
        <w:numPr>
          <w:ilvl w:val="0"/>
          <w:numId w:val="39"/>
        </w:numPr>
        <w:rPr>
          <w:rFonts w:asciiTheme="minorHAnsi" w:hAnsiTheme="minorHAnsi" w:cstheme="minorHAnsi"/>
          <w:b/>
          <w:sz w:val="22"/>
          <w:szCs w:val="22"/>
          <w:lang w:eastAsia="en-US"/>
        </w:rPr>
      </w:pPr>
      <w:r w:rsidRPr="000D410D">
        <w:rPr>
          <w:rFonts w:asciiTheme="minorHAnsi" w:hAnsiTheme="minorHAnsi" w:cstheme="minorHAnsi"/>
          <w:b/>
          <w:sz w:val="22"/>
          <w:szCs w:val="22"/>
          <w:lang w:eastAsia="en-US"/>
        </w:rPr>
        <w:t>Diligências tomadas com vista a solucionar as situações subjacentes à emissão de reservas na última Certificação Legal das Contas (se aplicável)</w:t>
      </w:r>
    </w:p>
    <w:p w14:paraId="5CCC1C9E" w14:textId="77777777" w:rsidR="00A40B87" w:rsidRDefault="00A40B87" w:rsidP="006D7C47">
      <w:pPr>
        <w:rPr>
          <w:rFonts w:asciiTheme="minorHAnsi" w:hAnsiTheme="minorHAnsi" w:cstheme="minorHAnsi"/>
          <w:b/>
          <w:sz w:val="22"/>
          <w:szCs w:val="22"/>
          <w:lang w:eastAsia="en-US"/>
        </w:rPr>
      </w:pPr>
    </w:p>
    <w:p w14:paraId="56A04252" w14:textId="0B606E87" w:rsidR="00A40B87" w:rsidRPr="001E4E97" w:rsidRDefault="001E4E97" w:rsidP="001E4E97">
      <w:pPr>
        <w:jc w:val="both"/>
        <w:rPr>
          <w:rFonts w:asciiTheme="minorHAnsi" w:hAnsiTheme="minorHAnsi" w:cstheme="minorHAnsi"/>
          <w:bCs/>
          <w:sz w:val="22"/>
          <w:szCs w:val="22"/>
          <w:lang w:eastAsia="en-US"/>
        </w:rPr>
      </w:pPr>
      <w:r w:rsidRPr="001E4E97">
        <w:rPr>
          <w:rFonts w:asciiTheme="minorHAnsi" w:hAnsiTheme="minorHAnsi" w:cstheme="minorHAnsi"/>
          <w:bCs/>
          <w:sz w:val="22"/>
          <w:szCs w:val="22"/>
          <w:lang w:eastAsia="en-US"/>
        </w:rPr>
        <w:t>A Certificaç</w:t>
      </w:r>
      <w:r>
        <w:rPr>
          <w:rFonts w:asciiTheme="minorHAnsi" w:hAnsiTheme="minorHAnsi" w:cstheme="minorHAnsi"/>
          <w:bCs/>
          <w:sz w:val="22"/>
          <w:szCs w:val="22"/>
          <w:lang w:eastAsia="en-US"/>
        </w:rPr>
        <w:t>ão</w:t>
      </w:r>
      <w:r w:rsidRPr="001E4E97">
        <w:rPr>
          <w:rFonts w:asciiTheme="minorHAnsi" w:hAnsiTheme="minorHAnsi" w:cstheme="minorHAnsi"/>
          <w:bCs/>
          <w:sz w:val="22"/>
          <w:szCs w:val="22"/>
          <w:lang w:eastAsia="en-US"/>
        </w:rPr>
        <w:t xml:space="preserve"> Lega</w:t>
      </w:r>
      <w:r>
        <w:rPr>
          <w:rFonts w:asciiTheme="minorHAnsi" w:hAnsiTheme="minorHAnsi" w:cstheme="minorHAnsi"/>
          <w:bCs/>
          <w:sz w:val="22"/>
          <w:szCs w:val="22"/>
          <w:lang w:eastAsia="en-US"/>
        </w:rPr>
        <w:t>l</w:t>
      </w:r>
      <w:r w:rsidRPr="001E4E97">
        <w:rPr>
          <w:rFonts w:asciiTheme="minorHAnsi" w:hAnsiTheme="minorHAnsi" w:cstheme="minorHAnsi"/>
          <w:bCs/>
          <w:sz w:val="22"/>
          <w:szCs w:val="22"/>
          <w:lang w:eastAsia="en-US"/>
        </w:rPr>
        <w:t xml:space="preserve"> de Contas relativa às demonstrações financeiras individuais de 202</w:t>
      </w:r>
      <w:r>
        <w:rPr>
          <w:rFonts w:asciiTheme="minorHAnsi" w:hAnsiTheme="minorHAnsi" w:cstheme="minorHAnsi"/>
          <w:bCs/>
          <w:sz w:val="22"/>
          <w:szCs w:val="22"/>
          <w:lang w:eastAsia="en-US"/>
        </w:rPr>
        <w:t>4</w:t>
      </w:r>
      <w:r w:rsidRPr="001E4E97">
        <w:rPr>
          <w:rFonts w:asciiTheme="minorHAnsi" w:hAnsiTheme="minorHAnsi" w:cstheme="minorHAnsi"/>
          <w:bCs/>
          <w:sz w:val="22"/>
          <w:szCs w:val="22"/>
          <w:lang w:eastAsia="en-US"/>
        </w:rPr>
        <w:t xml:space="preserve"> da PARVALOREM, S.A., emitida em </w:t>
      </w:r>
      <w:r>
        <w:rPr>
          <w:rFonts w:asciiTheme="minorHAnsi" w:hAnsiTheme="minorHAnsi" w:cstheme="minorHAnsi"/>
          <w:bCs/>
          <w:sz w:val="22"/>
          <w:szCs w:val="22"/>
          <w:lang w:eastAsia="en-US"/>
        </w:rPr>
        <w:t>7</w:t>
      </w:r>
      <w:r w:rsidRPr="001E4E97">
        <w:rPr>
          <w:rFonts w:asciiTheme="minorHAnsi" w:hAnsiTheme="minorHAnsi" w:cstheme="minorHAnsi"/>
          <w:bCs/>
          <w:sz w:val="22"/>
          <w:szCs w:val="22"/>
          <w:lang w:eastAsia="en-US"/>
        </w:rPr>
        <w:t xml:space="preserve"> de </w:t>
      </w:r>
      <w:r>
        <w:rPr>
          <w:rFonts w:asciiTheme="minorHAnsi" w:hAnsiTheme="minorHAnsi" w:cstheme="minorHAnsi"/>
          <w:bCs/>
          <w:sz w:val="22"/>
          <w:szCs w:val="22"/>
          <w:lang w:eastAsia="en-US"/>
        </w:rPr>
        <w:t>julho</w:t>
      </w:r>
      <w:r w:rsidRPr="001E4E97">
        <w:rPr>
          <w:rFonts w:asciiTheme="minorHAnsi" w:hAnsiTheme="minorHAnsi" w:cstheme="minorHAnsi"/>
          <w:bCs/>
          <w:sz w:val="22"/>
          <w:szCs w:val="22"/>
          <w:lang w:eastAsia="en-US"/>
        </w:rPr>
        <w:t xml:space="preserve"> de 202</w:t>
      </w:r>
      <w:r>
        <w:rPr>
          <w:rFonts w:asciiTheme="minorHAnsi" w:hAnsiTheme="minorHAnsi" w:cstheme="minorHAnsi"/>
          <w:bCs/>
          <w:sz w:val="22"/>
          <w:szCs w:val="22"/>
          <w:lang w:eastAsia="en-US"/>
        </w:rPr>
        <w:t>5</w:t>
      </w:r>
      <w:r w:rsidRPr="001E4E97">
        <w:rPr>
          <w:rFonts w:asciiTheme="minorHAnsi" w:hAnsiTheme="minorHAnsi" w:cstheme="minorHAnsi"/>
          <w:bCs/>
          <w:sz w:val="22"/>
          <w:szCs w:val="22"/>
          <w:lang w:eastAsia="en-US"/>
        </w:rPr>
        <w:t xml:space="preserve"> pela BDO &amp; Associados – SROC </w:t>
      </w:r>
      <w:r>
        <w:rPr>
          <w:rFonts w:asciiTheme="minorHAnsi" w:hAnsiTheme="minorHAnsi" w:cstheme="minorHAnsi"/>
          <w:bCs/>
          <w:sz w:val="22"/>
          <w:szCs w:val="22"/>
          <w:lang w:eastAsia="en-US"/>
        </w:rPr>
        <w:t>a</w:t>
      </w:r>
      <w:r w:rsidRPr="001E4E97">
        <w:rPr>
          <w:rFonts w:asciiTheme="minorHAnsi" w:hAnsiTheme="minorHAnsi" w:cstheme="minorHAnsi"/>
          <w:bCs/>
          <w:sz w:val="22"/>
          <w:szCs w:val="22"/>
          <w:lang w:eastAsia="en-US"/>
        </w:rPr>
        <w:t>presenta</w:t>
      </w:r>
      <w:r>
        <w:rPr>
          <w:rFonts w:asciiTheme="minorHAnsi" w:hAnsiTheme="minorHAnsi" w:cstheme="minorHAnsi"/>
          <w:bCs/>
          <w:sz w:val="22"/>
          <w:szCs w:val="22"/>
          <w:lang w:eastAsia="en-US"/>
        </w:rPr>
        <w:t xml:space="preserve"> 3</w:t>
      </w:r>
      <w:r w:rsidRPr="001E4E97">
        <w:rPr>
          <w:rFonts w:asciiTheme="minorHAnsi" w:hAnsiTheme="minorHAnsi" w:cstheme="minorHAnsi"/>
          <w:bCs/>
          <w:sz w:val="22"/>
          <w:szCs w:val="22"/>
          <w:lang w:eastAsia="en-US"/>
        </w:rPr>
        <w:t xml:space="preserve"> Reservas</w:t>
      </w:r>
      <w:r>
        <w:rPr>
          <w:rFonts w:asciiTheme="minorHAnsi" w:hAnsiTheme="minorHAnsi" w:cstheme="minorHAnsi"/>
          <w:bCs/>
          <w:sz w:val="22"/>
          <w:szCs w:val="22"/>
          <w:lang w:eastAsia="en-US"/>
        </w:rPr>
        <w:t>, tendo o Conselho de Administração tomado as seguintes diligências no sentido de as eliminar da CLC das contas de 2025:</w:t>
      </w:r>
    </w:p>
    <w:p w14:paraId="5F7A6A4B" w14:textId="77777777" w:rsidR="006D7C47" w:rsidRDefault="006D7C47" w:rsidP="006D7C47">
      <w:pPr>
        <w:jc w:val="both"/>
        <w:rPr>
          <w:rFonts w:asciiTheme="minorHAnsi" w:hAnsiTheme="minorHAnsi" w:cstheme="minorHAnsi"/>
          <w:bCs/>
          <w:sz w:val="22"/>
          <w:szCs w:val="22"/>
          <w:lang w:eastAsia="en-US"/>
        </w:rPr>
      </w:pPr>
    </w:p>
    <w:tbl>
      <w:tblPr>
        <w:tblW w:w="5087" w:type="pct"/>
        <w:jc w:val="center"/>
        <w:tblCellMar>
          <w:left w:w="70" w:type="dxa"/>
          <w:right w:w="70" w:type="dxa"/>
        </w:tblCellMar>
        <w:tblLook w:val="04A0" w:firstRow="1" w:lastRow="0" w:firstColumn="1" w:lastColumn="0" w:noHBand="0" w:noVBand="1"/>
      </w:tblPr>
      <w:tblGrid>
        <w:gridCol w:w="4391"/>
        <w:gridCol w:w="4108"/>
      </w:tblGrid>
      <w:tr w:rsidR="001E4E97" w:rsidRPr="00D917F5" w14:paraId="0E4DF5C1" w14:textId="77777777" w:rsidTr="007732BE">
        <w:trPr>
          <w:trHeight w:val="276"/>
          <w:tblHeader/>
          <w:jc w:val="center"/>
        </w:trPr>
        <w:tc>
          <w:tcPr>
            <w:tcW w:w="2583" w:type="pct"/>
            <w:vMerge w:val="restart"/>
            <w:tcBorders>
              <w:top w:val="single" w:sz="4" w:space="0" w:color="FFFFFF"/>
              <w:left w:val="single" w:sz="4" w:space="0" w:color="FFFFFF"/>
              <w:bottom w:val="single" w:sz="4" w:space="0" w:color="FFFFFF"/>
              <w:right w:val="single" w:sz="4" w:space="0" w:color="FFFFFF"/>
            </w:tcBorders>
            <w:shd w:val="clear" w:color="auto" w:fill="8EAADB" w:themeFill="accent5" w:themeFillTint="99"/>
            <w:vAlign w:val="center"/>
            <w:hideMark/>
          </w:tcPr>
          <w:p w14:paraId="7197F60D" w14:textId="41FB2A22" w:rsidR="001E4E97" w:rsidRPr="00D917F5" w:rsidRDefault="001E4E97" w:rsidP="007732BE">
            <w:pPr>
              <w:jc w:val="center"/>
              <w:rPr>
                <w:rFonts w:ascii="Calibri" w:hAnsi="Calibri" w:cs="Calibri"/>
                <w:b/>
                <w:bCs/>
                <w:sz w:val="18"/>
                <w:szCs w:val="18"/>
              </w:rPr>
            </w:pPr>
            <w:r>
              <w:rPr>
                <w:rFonts w:ascii="Calibri" w:hAnsi="Calibri" w:cs="Calibri"/>
                <w:b/>
                <w:bCs/>
                <w:sz w:val="18"/>
                <w:szCs w:val="18"/>
              </w:rPr>
              <w:t>Reservas</w:t>
            </w:r>
          </w:p>
        </w:tc>
        <w:tc>
          <w:tcPr>
            <w:tcW w:w="2417" w:type="pct"/>
            <w:vMerge w:val="restart"/>
            <w:tcBorders>
              <w:top w:val="single" w:sz="4" w:space="0" w:color="FFFFFF"/>
              <w:left w:val="single" w:sz="4" w:space="0" w:color="FFFFFF"/>
              <w:right w:val="single" w:sz="4" w:space="0" w:color="FFFFFF"/>
            </w:tcBorders>
            <w:shd w:val="clear" w:color="auto" w:fill="8EAADB" w:themeFill="accent5" w:themeFillTint="99"/>
            <w:vAlign w:val="center"/>
          </w:tcPr>
          <w:p w14:paraId="6DC73520" w14:textId="7B8D8820" w:rsidR="001E4E97" w:rsidRPr="00D917F5" w:rsidRDefault="001E4E97" w:rsidP="007732BE">
            <w:pPr>
              <w:jc w:val="center"/>
              <w:rPr>
                <w:rFonts w:ascii="Calibri" w:hAnsi="Calibri" w:cs="Calibri"/>
                <w:b/>
                <w:bCs/>
                <w:sz w:val="18"/>
                <w:szCs w:val="18"/>
              </w:rPr>
            </w:pPr>
            <w:r w:rsidRPr="00D917F5">
              <w:rPr>
                <w:rFonts w:ascii="Calibri" w:hAnsi="Calibri" w:cs="Calibri"/>
                <w:b/>
                <w:bCs/>
                <w:sz w:val="18"/>
                <w:szCs w:val="18"/>
              </w:rPr>
              <w:t xml:space="preserve">Diligências </w:t>
            </w:r>
          </w:p>
        </w:tc>
      </w:tr>
      <w:tr w:rsidR="001E4E97" w:rsidRPr="00D917F5" w14:paraId="10EB072F" w14:textId="77777777" w:rsidTr="007732BE">
        <w:trPr>
          <w:trHeight w:val="276"/>
          <w:tblHeader/>
          <w:jc w:val="center"/>
        </w:trPr>
        <w:tc>
          <w:tcPr>
            <w:tcW w:w="2583" w:type="pct"/>
            <w:vMerge/>
            <w:tcBorders>
              <w:top w:val="single" w:sz="4" w:space="0" w:color="FFFFFF"/>
              <w:left w:val="single" w:sz="4" w:space="0" w:color="FFFFFF"/>
              <w:bottom w:val="single" w:sz="4" w:space="0" w:color="FFFFFF"/>
              <w:right w:val="single" w:sz="4" w:space="0" w:color="FFFFFF"/>
            </w:tcBorders>
            <w:shd w:val="clear" w:color="auto" w:fill="8EAADB" w:themeFill="accent5" w:themeFillTint="99"/>
            <w:vAlign w:val="center"/>
            <w:hideMark/>
          </w:tcPr>
          <w:p w14:paraId="5FD99A98" w14:textId="77777777" w:rsidR="001E4E97" w:rsidRPr="00D917F5" w:rsidRDefault="001E4E97" w:rsidP="007732BE">
            <w:pPr>
              <w:rPr>
                <w:rFonts w:ascii="Calibri" w:hAnsi="Calibri" w:cs="Calibri"/>
                <w:b/>
                <w:bCs/>
                <w:color w:val="000000"/>
                <w:sz w:val="18"/>
                <w:szCs w:val="18"/>
              </w:rPr>
            </w:pPr>
          </w:p>
        </w:tc>
        <w:tc>
          <w:tcPr>
            <w:tcW w:w="2417" w:type="pct"/>
            <w:vMerge/>
            <w:tcBorders>
              <w:left w:val="single" w:sz="4" w:space="0" w:color="FFFFFF"/>
              <w:bottom w:val="single" w:sz="4" w:space="0" w:color="FFFFFF"/>
              <w:right w:val="single" w:sz="4" w:space="0" w:color="FFFFFF"/>
            </w:tcBorders>
            <w:shd w:val="clear" w:color="auto" w:fill="8EAADB" w:themeFill="accent5" w:themeFillTint="99"/>
            <w:vAlign w:val="center"/>
          </w:tcPr>
          <w:p w14:paraId="3A0C9CE0" w14:textId="77777777" w:rsidR="001E4E97" w:rsidRPr="00D917F5" w:rsidRDefault="001E4E97" w:rsidP="007732BE">
            <w:pPr>
              <w:rPr>
                <w:rFonts w:ascii="Calibri" w:hAnsi="Calibri" w:cs="Calibri"/>
                <w:b/>
                <w:bCs/>
                <w:color w:val="000000"/>
                <w:sz w:val="18"/>
                <w:szCs w:val="18"/>
              </w:rPr>
            </w:pPr>
          </w:p>
        </w:tc>
      </w:tr>
      <w:tr w:rsidR="001E4E97" w:rsidRPr="00CD2347" w14:paraId="4AF1AD47" w14:textId="77777777" w:rsidTr="007732BE">
        <w:trPr>
          <w:trHeight w:val="1242"/>
          <w:jc w:val="center"/>
        </w:trPr>
        <w:tc>
          <w:tcPr>
            <w:tcW w:w="2583" w:type="pct"/>
            <w:tcBorders>
              <w:top w:val="nil"/>
              <w:left w:val="single" w:sz="4" w:space="0" w:color="FFFFFF"/>
              <w:bottom w:val="single" w:sz="4" w:space="0" w:color="FFFFFF"/>
              <w:right w:val="single" w:sz="4" w:space="0" w:color="FFFFFF"/>
            </w:tcBorders>
            <w:shd w:val="clear" w:color="auto" w:fill="D9E2F3"/>
            <w:hideMark/>
          </w:tcPr>
          <w:p w14:paraId="237F4655" w14:textId="77777777" w:rsidR="001E4E97" w:rsidRPr="008D13D6" w:rsidRDefault="001E4E97" w:rsidP="007732BE">
            <w:pPr>
              <w:jc w:val="both"/>
              <w:rPr>
                <w:rFonts w:ascii="Calibri" w:hAnsi="Calibri" w:cs="Calibri"/>
                <w:sz w:val="18"/>
                <w:szCs w:val="18"/>
                <w:lang w:eastAsia="en-US"/>
              </w:rPr>
            </w:pPr>
          </w:p>
          <w:p w14:paraId="44022744" w14:textId="7E07B63A" w:rsidR="001E4E97" w:rsidRPr="008D13D6" w:rsidRDefault="001E4E97" w:rsidP="001E4E97">
            <w:pPr>
              <w:jc w:val="both"/>
              <w:rPr>
                <w:rFonts w:ascii="Calibri" w:hAnsi="Calibri" w:cs="Calibri"/>
                <w:sz w:val="18"/>
                <w:szCs w:val="18"/>
                <w:lang w:eastAsia="en-US"/>
              </w:rPr>
            </w:pPr>
            <w:r w:rsidRPr="008D13D6">
              <w:rPr>
                <w:rFonts w:ascii="Calibri" w:hAnsi="Calibri" w:cs="Calibri"/>
                <w:sz w:val="18"/>
                <w:szCs w:val="18"/>
                <w:lang w:eastAsia="en-US"/>
              </w:rPr>
              <w:t>Provisão de 2 500 milhares de euros para fazer face a</w:t>
            </w:r>
          </w:p>
          <w:p w14:paraId="49719C48" w14:textId="711CB050" w:rsidR="001E4E97" w:rsidRPr="008D13D6" w:rsidRDefault="001E4E97" w:rsidP="00EF11ED">
            <w:pPr>
              <w:jc w:val="both"/>
              <w:rPr>
                <w:rFonts w:ascii="Calibri" w:hAnsi="Calibri" w:cs="Calibri"/>
                <w:color w:val="000000"/>
                <w:sz w:val="18"/>
                <w:szCs w:val="18"/>
              </w:rPr>
            </w:pPr>
            <w:r w:rsidRPr="008D13D6">
              <w:rPr>
                <w:rFonts w:ascii="Calibri" w:hAnsi="Calibri" w:cs="Calibri"/>
                <w:sz w:val="18"/>
                <w:szCs w:val="18"/>
                <w:lang w:eastAsia="en-US"/>
              </w:rPr>
              <w:t xml:space="preserve">possíveis contingências decorrentes da liquidação da participada BPN </w:t>
            </w:r>
            <w:proofErr w:type="spellStart"/>
            <w:r w:rsidRPr="008D13D6">
              <w:rPr>
                <w:rFonts w:ascii="Calibri" w:hAnsi="Calibri" w:cs="Calibri"/>
                <w:sz w:val="18"/>
                <w:szCs w:val="18"/>
                <w:lang w:eastAsia="en-US"/>
              </w:rPr>
              <w:t>Creditus</w:t>
            </w:r>
            <w:proofErr w:type="spellEnd"/>
            <w:r w:rsidRPr="008D13D6">
              <w:rPr>
                <w:rFonts w:ascii="Calibri" w:hAnsi="Calibri" w:cs="Calibri"/>
                <w:sz w:val="18"/>
                <w:szCs w:val="18"/>
                <w:lang w:eastAsia="en-US"/>
              </w:rPr>
              <w:t xml:space="preserve"> Brasil – </w:t>
            </w:r>
            <w:proofErr w:type="spellStart"/>
            <w:r w:rsidRPr="008D13D6">
              <w:rPr>
                <w:rFonts w:ascii="Calibri" w:hAnsi="Calibri" w:cs="Calibri"/>
                <w:sz w:val="18"/>
                <w:szCs w:val="18"/>
                <w:lang w:eastAsia="en-US"/>
              </w:rPr>
              <w:t>Promt</w:t>
            </w:r>
            <w:proofErr w:type="spellEnd"/>
            <w:r w:rsidRPr="008D13D6">
              <w:rPr>
                <w:rFonts w:ascii="Calibri" w:hAnsi="Calibri" w:cs="Calibri"/>
                <w:sz w:val="18"/>
                <w:szCs w:val="18"/>
                <w:lang w:eastAsia="en-US"/>
              </w:rPr>
              <w:t>. Vendas, Lda.</w:t>
            </w:r>
          </w:p>
        </w:tc>
        <w:tc>
          <w:tcPr>
            <w:tcW w:w="2417" w:type="pct"/>
            <w:tcBorders>
              <w:top w:val="nil"/>
              <w:left w:val="single" w:sz="4" w:space="0" w:color="FFFFFF"/>
              <w:bottom w:val="single" w:sz="4" w:space="0" w:color="FFFFFF"/>
              <w:right w:val="single" w:sz="4" w:space="0" w:color="FFFFFF"/>
            </w:tcBorders>
            <w:shd w:val="clear" w:color="auto" w:fill="D9E2F3"/>
          </w:tcPr>
          <w:p w14:paraId="26855AA3" w14:textId="77777777" w:rsidR="001E4E97" w:rsidRPr="008D13D6" w:rsidRDefault="001E4E97" w:rsidP="007732BE">
            <w:pPr>
              <w:jc w:val="both"/>
              <w:rPr>
                <w:rFonts w:ascii="Calibri" w:hAnsi="Calibri" w:cs="Calibri"/>
                <w:color w:val="000000"/>
                <w:sz w:val="18"/>
                <w:szCs w:val="18"/>
              </w:rPr>
            </w:pPr>
          </w:p>
          <w:p w14:paraId="55DF5B90" w14:textId="6BDA4165" w:rsidR="001E4E97" w:rsidRPr="008D13D6" w:rsidRDefault="008E0D55" w:rsidP="007732BE">
            <w:pPr>
              <w:jc w:val="both"/>
              <w:rPr>
                <w:rFonts w:ascii="Calibri" w:hAnsi="Calibri" w:cs="Calibri"/>
                <w:color w:val="000000"/>
                <w:sz w:val="18"/>
                <w:szCs w:val="18"/>
              </w:rPr>
            </w:pPr>
            <w:r w:rsidRPr="008D13D6">
              <w:rPr>
                <w:rFonts w:ascii="Calibri" w:hAnsi="Calibri" w:cs="Calibri"/>
                <w:color w:val="000000"/>
                <w:sz w:val="18"/>
                <w:szCs w:val="18"/>
              </w:rPr>
              <w:t xml:space="preserve">No </w:t>
            </w:r>
            <w:r w:rsidR="003F2DC0" w:rsidRPr="008D13D6">
              <w:rPr>
                <w:rFonts w:ascii="Calibri" w:hAnsi="Calibri" w:cs="Calibri"/>
                <w:color w:val="000000"/>
                <w:sz w:val="18"/>
                <w:szCs w:val="18"/>
              </w:rPr>
              <w:t>dia 2 de janeiro</w:t>
            </w:r>
            <w:r w:rsidRPr="008D13D6">
              <w:rPr>
                <w:rFonts w:ascii="Calibri" w:hAnsi="Calibri" w:cs="Calibri"/>
                <w:color w:val="000000"/>
                <w:sz w:val="18"/>
                <w:szCs w:val="18"/>
              </w:rPr>
              <w:t xml:space="preserve"> de 202</w:t>
            </w:r>
            <w:r w:rsidR="003F2DC0" w:rsidRPr="008D13D6">
              <w:rPr>
                <w:rFonts w:ascii="Calibri" w:hAnsi="Calibri" w:cs="Calibri"/>
                <w:color w:val="000000"/>
                <w:sz w:val="18"/>
                <w:szCs w:val="18"/>
              </w:rPr>
              <w:t>6</w:t>
            </w:r>
            <w:r w:rsidRPr="008D13D6">
              <w:rPr>
                <w:rFonts w:ascii="Calibri" w:hAnsi="Calibri" w:cs="Calibri"/>
                <w:color w:val="000000"/>
                <w:sz w:val="18"/>
                <w:szCs w:val="18"/>
              </w:rPr>
              <w:t xml:space="preserve"> c</w:t>
            </w:r>
            <w:r w:rsidR="00CD2347" w:rsidRPr="008D13D6">
              <w:rPr>
                <w:rFonts w:ascii="Calibri" w:hAnsi="Calibri" w:cs="Calibri"/>
                <w:color w:val="000000"/>
                <w:sz w:val="18"/>
                <w:szCs w:val="18"/>
              </w:rPr>
              <w:t>aducou o prazo de fiscalização pelas Autoridades fiscais do Brasil, pelo que a provisão foi revertida nas contas de 2025</w:t>
            </w:r>
          </w:p>
          <w:p w14:paraId="74C8805F" w14:textId="77777777" w:rsidR="001E4E97" w:rsidRPr="008D13D6" w:rsidRDefault="001E4E97" w:rsidP="007732BE">
            <w:pPr>
              <w:jc w:val="both"/>
              <w:rPr>
                <w:rFonts w:ascii="Calibri" w:hAnsi="Calibri" w:cs="Calibri"/>
                <w:color w:val="000000"/>
                <w:sz w:val="18"/>
                <w:szCs w:val="18"/>
              </w:rPr>
            </w:pPr>
          </w:p>
        </w:tc>
      </w:tr>
      <w:tr w:rsidR="001E4E97" w:rsidRPr="00CD2347" w14:paraId="1D09F892" w14:textId="77777777" w:rsidTr="00EF11ED">
        <w:trPr>
          <w:trHeight w:val="1529"/>
          <w:jc w:val="center"/>
        </w:trPr>
        <w:tc>
          <w:tcPr>
            <w:tcW w:w="2583" w:type="pct"/>
            <w:tcBorders>
              <w:top w:val="nil"/>
              <w:left w:val="single" w:sz="4" w:space="0" w:color="FFFFFF"/>
              <w:bottom w:val="single" w:sz="4" w:space="0" w:color="FFFFFF"/>
              <w:right w:val="single" w:sz="4" w:space="0" w:color="FFFFFF"/>
            </w:tcBorders>
            <w:shd w:val="clear" w:color="auto" w:fill="D9E2F3"/>
          </w:tcPr>
          <w:p w14:paraId="03C879CA" w14:textId="77777777" w:rsidR="001E4E97" w:rsidRPr="008D13D6" w:rsidRDefault="001E4E97" w:rsidP="007732BE">
            <w:pPr>
              <w:jc w:val="both"/>
              <w:rPr>
                <w:rFonts w:ascii="Calibri" w:hAnsi="Calibri" w:cs="Calibri"/>
                <w:sz w:val="18"/>
                <w:szCs w:val="18"/>
                <w:lang w:eastAsia="en-US"/>
              </w:rPr>
            </w:pPr>
          </w:p>
          <w:p w14:paraId="0F9C8800" w14:textId="3FD639C0" w:rsidR="00EF11ED" w:rsidRPr="008D13D6" w:rsidRDefault="00EF11ED" w:rsidP="007732BE">
            <w:pPr>
              <w:jc w:val="both"/>
              <w:rPr>
                <w:rFonts w:ascii="Calibri" w:hAnsi="Calibri" w:cs="Calibri"/>
                <w:sz w:val="18"/>
                <w:szCs w:val="18"/>
                <w:lang w:eastAsia="en-US"/>
              </w:rPr>
            </w:pPr>
            <w:proofErr w:type="spellStart"/>
            <w:r w:rsidRPr="008D13D6">
              <w:rPr>
                <w:rFonts w:ascii="Calibri" w:hAnsi="Calibri" w:cs="Calibri"/>
                <w:sz w:val="18"/>
                <w:szCs w:val="18"/>
                <w:lang w:eastAsia="en-US"/>
              </w:rPr>
              <w:t>Desreconhecim</w:t>
            </w:r>
            <w:r w:rsidR="003F2DC0" w:rsidRPr="008D13D6">
              <w:rPr>
                <w:rFonts w:ascii="Calibri" w:hAnsi="Calibri" w:cs="Calibri"/>
                <w:sz w:val="18"/>
                <w:szCs w:val="18"/>
                <w:lang w:eastAsia="en-US"/>
              </w:rPr>
              <w:t>en</w:t>
            </w:r>
            <w:r w:rsidRPr="008D13D6">
              <w:rPr>
                <w:rFonts w:ascii="Calibri" w:hAnsi="Calibri" w:cs="Calibri"/>
                <w:sz w:val="18"/>
                <w:szCs w:val="18"/>
                <w:lang w:eastAsia="en-US"/>
              </w:rPr>
              <w:t>to</w:t>
            </w:r>
            <w:proofErr w:type="spellEnd"/>
            <w:r w:rsidRPr="008D13D6">
              <w:rPr>
                <w:rFonts w:ascii="Calibri" w:hAnsi="Calibri" w:cs="Calibri"/>
                <w:sz w:val="18"/>
                <w:szCs w:val="18"/>
                <w:lang w:eastAsia="en-US"/>
              </w:rPr>
              <w:t xml:space="preserve"> em 2011</w:t>
            </w:r>
            <w:r w:rsidR="003F2DC0" w:rsidRPr="008D13D6">
              <w:rPr>
                <w:rFonts w:ascii="Calibri" w:hAnsi="Calibri" w:cs="Calibri"/>
                <w:sz w:val="18"/>
                <w:szCs w:val="18"/>
                <w:lang w:eastAsia="en-US"/>
              </w:rPr>
              <w:t xml:space="preserve">, ainda na esfera de </w:t>
            </w:r>
            <w:r w:rsidR="00EC4FDE" w:rsidRPr="008D13D6">
              <w:rPr>
                <w:rFonts w:ascii="Calibri" w:hAnsi="Calibri" w:cs="Calibri"/>
                <w:sz w:val="18"/>
                <w:szCs w:val="18"/>
                <w:lang w:eastAsia="en-US"/>
              </w:rPr>
              <w:t>participadas,</w:t>
            </w:r>
            <w:r w:rsidR="003F2DC0" w:rsidRPr="008D13D6">
              <w:rPr>
                <w:rFonts w:ascii="Calibri" w:hAnsi="Calibri" w:cs="Calibri"/>
                <w:sz w:val="18"/>
                <w:szCs w:val="18"/>
                <w:lang w:eastAsia="en-US"/>
              </w:rPr>
              <w:t xml:space="preserve"> entretanto liquidadas,</w:t>
            </w:r>
            <w:r w:rsidRPr="008D13D6">
              <w:rPr>
                <w:rFonts w:ascii="Calibri" w:hAnsi="Calibri" w:cs="Calibri"/>
                <w:sz w:val="18"/>
                <w:szCs w:val="18"/>
                <w:lang w:eastAsia="en-US"/>
              </w:rPr>
              <w:t xml:space="preserve"> de passivos registados em Contas a pagar por contrapartida de proveitos, no montante de cerca de 17.526 milhares de euros, sem evidência de que os mesmos reúnem as condições para esse </w:t>
            </w:r>
            <w:proofErr w:type="spellStart"/>
            <w:r w:rsidRPr="008D13D6">
              <w:rPr>
                <w:rFonts w:ascii="Calibri" w:hAnsi="Calibri" w:cs="Calibri"/>
                <w:sz w:val="18"/>
                <w:szCs w:val="18"/>
                <w:lang w:eastAsia="en-US"/>
              </w:rPr>
              <w:t>desreconhecimento</w:t>
            </w:r>
            <w:proofErr w:type="spellEnd"/>
          </w:p>
        </w:tc>
        <w:tc>
          <w:tcPr>
            <w:tcW w:w="2417" w:type="pct"/>
            <w:tcBorders>
              <w:top w:val="nil"/>
              <w:left w:val="single" w:sz="4" w:space="0" w:color="FFFFFF"/>
              <w:bottom w:val="single" w:sz="4" w:space="0" w:color="FFFFFF"/>
              <w:right w:val="single" w:sz="4" w:space="0" w:color="FFFFFF"/>
            </w:tcBorders>
            <w:shd w:val="clear" w:color="auto" w:fill="D9E2F3"/>
          </w:tcPr>
          <w:p w14:paraId="58242442" w14:textId="77777777" w:rsidR="001E4E97" w:rsidRPr="008D13D6" w:rsidRDefault="001E4E97" w:rsidP="007732BE">
            <w:pPr>
              <w:jc w:val="both"/>
              <w:rPr>
                <w:rFonts w:ascii="Calibri" w:hAnsi="Calibri" w:cs="Calibri"/>
                <w:color w:val="000000"/>
                <w:sz w:val="18"/>
                <w:szCs w:val="18"/>
              </w:rPr>
            </w:pPr>
          </w:p>
          <w:p w14:paraId="031A24FF" w14:textId="4AE27B19" w:rsidR="00EF11ED" w:rsidRPr="008D13D6" w:rsidRDefault="00EF11ED" w:rsidP="007732BE">
            <w:pPr>
              <w:jc w:val="both"/>
              <w:rPr>
                <w:rFonts w:ascii="Calibri" w:hAnsi="Calibri" w:cs="Calibri"/>
                <w:color w:val="000000"/>
                <w:sz w:val="18"/>
                <w:szCs w:val="18"/>
              </w:rPr>
            </w:pPr>
            <w:r w:rsidRPr="008D13D6">
              <w:rPr>
                <w:rFonts w:ascii="Calibri" w:hAnsi="Calibri" w:cs="Calibri"/>
                <w:color w:val="000000"/>
                <w:sz w:val="18"/>
                <w:szCs w:val="18"/>
              </w:rPr>
              <w:t>Obtenção de um parecer jurídico independente</w:t>
            </w:r>
            <w:r w:rsidR="00F86522" w:rsidRPr="008D13D6">
              <w:rPr>
                <w:rFonts w:ascii="Calibri" w:hAnsi="Calibri" w:cs="Calibri"/>
                <w:color w:val="000000"/>
                <w:sz w:val="18"/>
                <w:szCs w:val="18"/>
              </w:rPr>
              <w:t xml:space="preserve"> que indica que nunca a PARVALOREM poderá ser condenada a pagar tais créditos</w:t>
            </w:r>
            <w:r w:rsidR="008B3473" w:rsidRPr="008D13D6">
              <w:rPr>
                <w:rFonts w:ascii="Calibri" w:hAnsi="Calibri" w:cs="Calibri"/>
                <w:color w:val="000000"/>
                <w:sz w:val="18"/>
                <w:szCs w:val="18"/>
              </w:rPr>
              <w:t>. O auditor mediante a divulgação desta informação/Parecer no Relatório e Contas de 2025, admit</w:t>
            </w:r>
            <w:r w:rsidR="003F2DC0" w:rsidRPr="008D13D6">
              <w:rPr>
                <w:rFonts w:ascii="Calibri" w:hAnsi="Calibri" w:cs="Calibri"/>
                <w:color w:val="000000"/>
                <w:sz w:val="18"/>
                <w:szCs w:val="18"/>
              </w:rPr>
              <w:t>iu</w:t>
            </w:r>
            <w:r w:rsidR="008B3473" w:rsidRPr="008D13D6">
              <w:rPr>
                <w:rFonts w:ascii="Calibri" w:hAnsi="Calibri" w:cs="Calibri"/>
                <w:color w:val="000000"/>
                <w:sz w:val="18"/>
                <w:szCs w:val="18"/>
              </w:rPr>
              <w:t xml:space="preserve"> a eliminação desta reserva</w:t>
            </w:r>
          </w:p>
        </w:tc>
      </w:tr>
      <w:tr w:rsidR="001E4E97" w:rsidRPr="00A46A97" w14:paraId="57F8BB69" w14:textId="77777777" w:rsidTr="00EF11ED">
        <w:trPr>
          <w:trHeight w:val="984"/>
          <w:jc w:val="center"/>
        </w:trPr>
        <w:tc>
          <w:tcPr>
            <w:tcW w:w="2583" w:type="pct"/>
            <w:tcBorders>
              <w:top w:val="nil"/>
              <w:left w:val="single" w:sz="4" w:space="0" w:color="FFFFFF"/>
              <w:bottom w:val="single" w:sz="4" w:space="0" w:color="FFFFFF"/>
              <w:right w:val="single" w:sz="4" w:space="0" w:color="FFFFFF"/>
            </w:tcBorders>
            <w:shd w:val="clear" w:color="auto" w:fill="D9E2F3"/>
            <w:hideMark/>
          </w:tcPr>
          <w:p w14:paraId="477487B0" w14:textId="77777777" w:rsidR="001E4E97" w:rsidRPr="008D13D6" w:rsidRDefault="001E4E97" w:rsidP="00EF11ED">
            <w:pPr>
              <w:jc w:val="both"/>
              <w:rPr>
                <w:rFonts w:ascii="Calibri" w:hAnsi="Calibri" w:cs="Calibri"/>
                <w:color w:val="000000"/>
                <w:sz w:val="18"/>
                <w:szCs w:val="18"/>
              </w:rPr>
            </w:pPr>
          </w:p>
          <w:p w14:paraId="0E07C34C" w14:textId="273F0E3C" w:rsidR="00EF11ED" w:rsidRPr="008D13D6" w:rsidRDefault="00EF11ED" w:rsidP="00EF11ED">
            <w:pPr>
              <w:jc w:val="both"/>
              <w:rPr>
                <w:rFonts w:ascii="Calibri" w:hAnsi="Calibri" w:cs="Calibri"/>
                <w:color w:val="000000"/>
                <w:sz w:val="18"/>
                <w:szCs w:val="18"/>
              </w:rPr>
            </w:pPr>
            <w:r w:rsidRPr="008D13D6">
              <w:rPr>
                <w:rFonts w:ascii="Calibri" w:hAnsi="Calibri" w:cs="Calibri"/>
                <w:color w:val="000000"/>
                <w:sz w:val="18"/>
                <w:szCs w:val="18"/>
              </w:rPr>
              <w:t>Reforço da provisão para processos judiciais em curso insuficiente</w:t>
            </w:r>
          </w:p>
        </w:tc>
        <w:tc>
          <w:tcPr>
            <w:tcW w:w="2417" w:type="pct"/>
            <w:tcBorders>
              <w:top w:val="nil"/>
              <w:left w:val="single" w:sz="4" w:space="0" w:color="FFFFFF"/>
              <w:bottom w:val="single" w:sz="4" w:space="0" w:color="FFFFFF"/>
              <w:right w:val="single" w:sz="4" w:space="0" w:color="FFFFFF"/>
            </w:tcBorders>
            <w:shd w:val="clear" w:color="auto" w:fill="D9E2F3"/>
          </w:tcPr>
          <w:p w14:paraId="5ADC034A" w14:textId="77777777" w:rsidR="001E4E97" w:rsidRPr="008D13D6" w:rsidRDefault="001E4E97" w:rsidP="007732BE">
            <w:pPr>
              <w:jc w:val="both"/>
              <w:rPr>
                <w:rFonts w:ascii="Calibri" w:hAnsi="Calibri" w:cs="Calibri"/>
                <w:color w:val="000000"/>
                <w:sz w:val="18"/>
                <w:szCs w:val="18"/>
              </w:rPr>
            </w:pPr>
          </w:p>
          <w:p w14:paraId="109F7AF8" w14:textId="77777777" w:rsidR="001E4E97" w:rsidRDefault="0045337C" w:rsidP="00F51979">
            <w:pPr>
              <w:jc w:val="both"/>
              <w:rPr>
                <w:rFonts w:ascii="Calibri" w:hAnsi="Calibri" w:cs="Calibri"/>
                <w:sz w:val="18"/>
                <w:szCs w:val="18"/>
              </w:rPr>
            </w:pPr>
            <w:r>
              <w:rPr>
                <w:rFonts w:ascii="Calibri" w:hAnsi="Calibri" w:cs="Calibri"/>
                <w:sz w:val="18"/>
                <w:szCs w:val="18"/>
              </w:rPr>
              <w:t xml:space="preserve">Muito embora já existisse uma conta </w:t>
            </w:r>
            <w:proofErr w:type="gramStart"/>
            <w:r>
              <w:rPr>
                <w:rFonts w:ascii="Calibri" w:hAnsi="Calibri" w:cs="Calibri"/>
                <w:sz w:val="18"/>
                <w:szCs w:val="18"/>
              </w:rPr>
              <w:t>DO cativa</w:t>
            </w:r>
            <w:proofErr w:type="gramEnd"/>
            <w:r>
              <w:rPr>
                <w:rFonts w:ascii="Calibri" w:hAnsi="Calibri" w:cs="Calibri"/>
                <w:sz w:val="18"/>
                <w:szCs w:val="18"/>
              </w:rPr>
              <w:t xml:space="preserve"> para este efeito, em 2025 reforçou-se a</w:t>
            </w:r>
            <w:r w:rsidR="00EF11ED" w:rsidRPr="008D13D6">
              <w:rPr>
                <w:rFonts w:ascii="Calibri" w:hAnsi="Calibri" w:cs="Calibri"/>
                <w:sz w:val="18"/>
                <w:szCs w:val="18"/>
              </w:rPr>
              <w:t xml:space="preserve"> provisão para processos judiciais em curso por forma a cobrir </w:t>
            </w:r>
            <w:r w:rsidR="008B3473" w:rsidRPr="008D13D6">
              <w:rPr>
                <w:rFonts w:ascii="Calibri" w:hAnsi="Calibri" w:cs="Calibri"/>
                <w:sz w:val="18"/>
                <w:szCs w:val="18"/>
              </w:rPr>
              <w:t>a totalidade das eventuais perdas estimadas</w:t>
            </w:r>
          </w:p>
          <w:p w14:paraId="0389C935" w14:textId="320403A7" w:rsidR="00F51979" w:rsidRPr="008D13D6" w:rsidRDefault="00F51979" w:rsidP="00F51979">
            <w:pPr>
              <w:jc w:val="both"/>
              <w:rPr>
                <w:rFonts w:ascii="Calibri" w:hAnsi="Calibri" w:cs="Calibri"/>
                <w:color w:val="000000"/>
                <w:sz w:val="18"/>
                <w:szCs w:val="18"/>
              </w:rPr>
            </w:pPr>
          </w:p>
        </w:tc>
      </w:tr>
    </w:tbl>
    <w:p w14:paraId="0E17D44F" w14:textId="77777777" w:rsidR="001E4E97" w:rsidRDefault="001E4E97" w:rsidP="006D7C47">
      <w:pPr>
        <w:jc w:val="both"/>
        <w:rPr>
          <w:rFonts w:asciiTheme="minorHAnsi" w:hAnsiTheme="minorHAnsi" w:cstheme="minorHAnsi"/>
          <w:bCs/>
          <w:sz w:val="22"/>
          <w:szCs w:val="22"/>
          <w:lang w:eastAsia="en-US"/>
        </w:rPr>
      </w:pPr>
    </w:p>
    <w:p w14:paraId="653475A0" w14:textId="77777777" w:rsidR="001E4E97" w:rsidRPr="001E4E97" w:rsidRDefault="001E4E97" w:rsidP="006D7C47">
      <w:pPr>
        <w:jc w:val="both"/>
        <w:rPr>
          <w:rFonts w:asciiTheme="minorHAnsi" w:hAnsiTheme="minorHAnsi" w:cstheme="minorHAnsi"/>
          <w:bCs/>
          <w:sz w:val="22"/>
          <w:szCs w:val="22"/>
          <w:lang w:eastAsia="en-US"/>
        </w:rPr>
      </w:pPr>
    </w:p>
    <w:p w14:paraId="74C11D1F" w14:textId="02CCC251" w:rsidR="007B3E2A" w:rsidRPr="007B3E2A" w:rsidRDefault="007B3E2A" w:rsidP="007B3E2A">
      <w:pPr>
        <w:pStyle w:val="PargrafodaLista"/>
        <w:numPr>
          <w:ilvl w:val="0"/>
          <w:numId w:val="39"/>
        </w:numPr>
        <w:rPr>
          <w:rFonts w:asciiTheme="minorHAnsi" w:hAnsiTheme="minorHAnsi" w:cstheme="minorHAnsi"/>
          <w:b/>
          <w:sz w:val="22"/>
          <w:szCs w:val="22"/>
          <w:lang w:eastAsia="en-US"/>
        </w:rPr>
      </w:pPr>
      <w:r w:rsidRPr="007B3E2A">
        <w:rPr>
          <w:rFonts w:asciiTheme="minorHAnsi" w:hAnsiTheme="minorHAnsi" w:cstheme="minorHAnsi"/>
          <w:b/>
          <w:sz w:val="22"/>
          <w:szCs w:val="22"/>
          <w:lang w:eastAsia="en-US"/>
        </w:rPr>
        <w:t xml:space="preserve">Auditorias conduzidas pelo Tribunal de Contas </w:t>
      </w:r>
      <w:r>
        <w:rPr>
          <w:rFonts w:asciiTheme="minorHAnsi" w:hAnsiTheme="minorHAnsi" w:cstheme="minorHAnsi"/>
          <w:b/>
          <w:sz w:val="22"/>
          <w:szCs w:val="22"/>
          <w:lang w:eastAsia="en-US"/>
        </w:rPr>
        <w:t xml:space="preserve">ou IGF </w:t>
      </w:r>
      <w:r w:rsidRPr="007B3E2A">
        <w:rPr>
          <w:rFonts w:asciiTheme="minorHAnsi" w:hAnsiTheme="minorHAnsi" w:cstheme="minorHAnsi"/>
          <w:b/>
          <w:sz w:val="22"/>
          <w:szCs w:val="22"/>
          <w:lang w:eastAsia="en-US"/>
        </w:rPr>
        <w:t>nos últimos três anos</w:t>
      </w:r>
    </w:p>
    <w:p w14:paraId="607B9106" w14:textId="77777777" w:rsidR="007B3E2A" w:rsidRDefault="007B3E2A" w:rsidP="007B3E2A">
      <w:pPr>
        <w:rPr>
          <w:rFonts w:asciiTheme="minorHAnsi" w:hAnsiTheme="minorHAnsi" w:cstheme="minorHAnsi"/>
          <w:b/>
          <w:sz w:val="22"/>
          <w:szCs w:val="22"/>
          <w:lang w:eastAsia="en-US"/>
        </w:rPr>
      </w:pPr>
    </w:p>
    <w:p w14:paraId="48104404" w14:textId="77777777" w:rsidR="007B3E2A" w:rsidRPr="00642358" w:rsidRDefault="007B3E2A" w:rsidP="007B3E2A">
      <w:pPr>
        <w:pStyle w:val="CorpodotextoMP"/>
        <w:rPr>
          <w:rFonts w:asciiTheme="minorHAnsi" w:hAnsiTheme="minorHAnsi" w:cstheme="minorHAnsi"/>
          <w:sz w:val="22"/>
          <w:szCs w:val="22"/>
        </w:rPr>
      </w:pPr>
      <w:r w:rsidRPr="003F2DC0">
        <w:rPr>
          <w:rFonts w:asciiTheme="minorHAnsi" w:hAnsiTheme="minorHAnsi" w:cstheme="minorHAnsi"/>
          <w:sz w:val="22"/>
          <w:szCs w:val="22"/>
        </w:rPr>
        <w:t>Não foram dirigidas à Empresa quaisquer recomendações resultantes de auditorias conduzidas pelo Tribunal de Contas durante os últimos três anos.</w:t>
      </w:r>
    </w:p>
    <w:p w14:paraId="467C2D67" w14:textId="77777777" w:rsidR="007B3E2A" w:rsidRDefault="007B3E2A" w:rsidP="007B3E2A">
      <w:pPr>
        <w:rPr>
          <w:rFonts w:asciiTheme="minorHAnsi" w:hAnsiTheme="minorHAnsi" w:cstheme="minorHAnsi"/>
          <w:b/>
          <w:sz w:val="22"/>
          <w:szCs w:val="22"/>
          <w:lang w:eastAsia="en-US"/>
        </w:rPr>
      </w:pPr>
    </w:p>
    <w:p w14:paraId="029AD5B2" w14:textId="77777777" w:rsidR="007B3E2A" w:rsidRPr="007B3E2A" w:rsidRDefault="007B3E2A" w:rsidP="007B3E2A">
      <w:pPr>
        <w:rPr>
          <w:rFonts w:asciiTheme="minorHAnsi" w:hAnsiTheme="minorHAnsi" w:cstheme="minorHAnsi"/>
          <w:b/>
          <w:sz w:val="22"/>
          <w:szCs w:val="22"/>
          <w:lang w:eastAsia="en-US"/>
        </w:rPr>
      </w:pPr>
    </w:p>
    <w:p w14:paraId="561E19B2" w14:textId="792EA6CA" w:rsidR="007B3E2A" w:rsidRPr="000D410D" w:rsidRDefault="00FE2A46" w:rsidP="007B3E2A">
      <w:pPr>
        <w:pStyle w:val="PargrafodaLista"/>
        <w:numPr>
          <w:ilvl w:val="0"/>
          <w:numId w:val="39"/>
        </w:numPr>
        <w:rPr>
          <w:rFonts w:asciiTheme="minorHAnsi" w:hAnsiTheme="minorHAnsi" w:cstheme="minorHAnsi"/>
          <w:b/>
          <w:sz w:val="22"/>
          <w:szCs w:val="22"/>
          <w:lang w:eastAsia="en-US"/>
        </w:rPr>
      </w:pPr>
      <w:r>
        <w:rPr>
          <w:rFonts w:asciiTheme="minorHAnsi" w:hAnsiTheme="minorHAnsi" w:cstheme="minorHAnsi"/>
          <w:b/>
          <w:sz w:val="22"/>
          <w:szCs w:val="22"/>
          <w:lang w:eastAsia="en-US"/>
        </w:rPr>
        <w:t>Medidas implementadas no sentido da apresentação futura do relato de sustentabilidade</w:t>
      </w:r>
    </w:p>
    <w:p w14:paraId="74C1C557" w14:textId="77777777" w:rsidR="006D7C47" w:rsidRPr="003F2DC0" w:rsidRDefault="006D7C47" w:rsidP="006D7C47">
      <w:pPr>
        <w:jc w:val="both"/>
        <w:rPr>
          <w:rFonts w:asciiTheme="minorHAnsi" w:hAnsiTheme="minorHAnsi" w:cstheme="minorHAnsi"/>
          <w:bCs/>
          <w:sz w:val="22"/>
          <w:szCs w:val="22"/>
          <w:lang w:eastAsia="en-US"/>
        </w:rPr>
      </w:pPr>
    </w:p>
    <w:bookmarkEnd w:id="62"/>
    <w:p w14:paraId="48BC97F6" w14:textId="435BA057" w:rsidR="006D7C47" w:rsidRPr="00387CBF" w:rsidRDefault="00FE2A46" w:rsidP="006D7C47">
      <w:pPr>
        <w:jc w:val="both"/>
        <w:rPr>
          <w:rFonts w:asciiTheme="minorHAnsi" w:hAnsiTheme="minorHAnsi" w:cstheme="minorHAnsi"/>
          <w:bCs/>
          <w:sz w:val="22"/>
          <w:szCs w:val="22"/>
          <w:lang w:eastAsia="en-US"/>
        </w:rPr>
      </w:pPr>
      <w:r w:rsidRPr="003F2DC0">
        <w:rPr>
          <w:rFonts w:asciiTheme="minorHAnsi" w:hAnsiTheme="minorHAnsi" w:cstheme="minorHAnsi"/>
          <w:bCs/>
          <w:sz w:val="22"/>
          <w:szCs w:val="22"/>
          <w:lang w:eastAsia="en-US"/>
        </w:rPr>
        <w:t>Estando a PARVALOREM a iniciar o seu processo de liquidação, que se estima estar concluído até final de 2027, não é expetável a obrigação de apresentar relato de sustentabilidade. No entanto a PARVALOREM apresenta no seu R</w:t>
      </w:r>
      <w:r w:rsidR="007F72D9" w:rsidRPr="003F2DC0">
        <w:rPr>
          <w:rFonts w:asciiTheme="minorHAnsi" w:hAnsiTheme="minorHAnsi" w:cstheme="minorHAnsi"/>
          <w:bCs/>
          <w:sz w:val="22"/>
          <w:szCs w:val="22"/>
          <w:lang w:eastAsia="en-US"/>
        </w:rPr>
        <w:t xml:space="preserve">elatório </w:t>
      </w:r>
      <w:r w:rsidRPr="003F2DC0">
        <w:rPr>
          <w:rFonts w:asciiTheme="minorHAnsi" w:hAnsiTheme="minorHAnsi" w:cstheme="minorHAnsi"/>
          <w:bCs/>
          <w:sz w:val="22"/>
          <w:szCs w:val="22"/>
          <w:lang w:eastAsia="en-US"/>
        </w:rPr>
        <w:t>&amp;</w:t>
      </w:r>
      <w:r w:rsidR="007F72D9" w:rsidRPr="003F2DC0">
        <w:rPr>
          <w:rFonts w:asciiTheme="minorHAnsi" w:hAnsiTheme="minorHAnsi" w:cstheme="minorHAnsi"/>
          <w:bCs/>
          <w:sz w:val="22"/>
          <w:szCs w:val="22"/>
          <w:lang w:eastAsia="en-US"/>
        </w:rPr>
        <w:t xml:space="preserve"> </w:t>
      </w:r>
      <w:r w:rsidRPr="003F2DC0">
        <w:rPr>
          <w:rFonts w:asciiTheme="minorHAnsi" w:hAnsiTheme="minorHAnsi" w:cstheme="minorHAnsi"/>
          <w:bCs/>
          <w:sz w:val="22"/>
          <w:szCs w:val="22"/>
          <w:lang w:eastAsia="en-US"/>
        </w:rPr>
        <w:t>C</w:t>
      </w:r>
      <w:r w:rsidR="007F72D9" w:rsidRPr="003F2DC0">
        <w:rPr>
          <w:rFonts w:asciiTheme="minorHAnsi" w:hAnsiTheme="minorHAnsi" w:cstheme="minorHAnsi"/>
          <w:bCs/>
          <w:sz w:val="22"/>
          <w:szCs w:val="22"/>
          <w:lang w:eastAsia="en-US"/>
        </w:rPr>
        <w:t>ontas</w:t>
      </w:r>
      <w:r w:rsidRPr="003F2DC0">
        <w:rPr>
          <w:rFonts w:asciiTheme="minorHAnsi" w:hAnsiTheme="minorHAnsi" w:cstheme="minorHAnsi"/>
          <w:bCs/>
          <w:sz w:val="22"/>
          <w:szCs w:val="22"/>
          <w:lang w:eastAsia="en-US"/>
        </w:rPr>
        <w:t xml:space="preserve"> um </w:t>
      </w:r>
      <w:r w:rsidR="003F2DC0" w:rsidRPr="003F2DC0">
        <w:rPr>
          <w:rFonts w:asciiTheme="minorHAnsi" w:hAnsiTheme="minorHAnsi" w:cstheme="minorHAnsi"/>
          <w:bCs/>
          <w:sz w:val="22"/>
          <w:szCs w:val="22"/>
          <w:lang w:eastAsia="en-US"/>
        </w:rPr>
        <w:t>capítulo</w:t>
      </w:r>
      <w:r w:rsidRPr="003F2DC0">
        <w:rPr>
          <w:rFonts w:asciiTheme="minorHAnsi" w:hAnsiTheme="minorHAnsi" w:cstheme="minorHAnsi"/>
          <w:bCs/>
          <w:sz w:val="22"/>
          <w:szCs w:val="22"/>
          <w:lang w:eastAsia="en-US"/>
        </w:rPr>
        <w:t xml:space="preserve"> </w:t>
      </w:r>
      <w:r w:rsidR="003D6450" w:rsidRPr="003F2DC0">
        <w:rPr>
          <w:rFonts w:asciiTheme="minorHAnsi" w:hAnsiTheme="minorHAnsi" w:cstheme="minorHAnsi"/>
          <w:bCs/>
          <w:sz w:val="22"/>
          <w:szCs w:val="22"/>
          <w:lang w:eastAsia="en-US"/>
        </w:rPr>
        <w:t>específico</w:t>
      </w:r>
      <w:r w:rsidRPr="003F2DC0">
        <w:rPr>
          <w:rFonts w:asciiTheme="minorHAnsi" w:hAnsiTheme="minorHAnsi" w:cstheme="minorHAnsi"/>
          <w:bCs/>
          <w:sz w:val="22"/>
          <w:szCs w:val="22"/>
          <w:lang w:eastAsia="en-US"/>
        </w:rPr>
        <w:t xml:space="preserve"> com indicação das principais medidas </w:t>
      </w:r>
      <w:r w:rsidR="007F72D9" w:rsidRPr="003F2DC0">
        <w:rPr>
          <w:rFonts w:asciiTheme="minorHAnsi" w:hAnsiTheme="minorHAnsi" w:cstheme="minorHAnsi"/>
          <w:bCs/>
          <w:sz w:val="22"/>
          <w:szCs w:val="22"/>
          <w:lang w:eastAsia="en-US"/>
        </w:rPr>
        <w:t>adotadas</w:t>
      </w:r>
      <w:r w:rsidRPr="003F2DC0">
        <w:rPr>
          <w:rFonts w:asciiTheme="minorHAnsi" w:hAnsiTheme="minorHAnsi" w:cstheme="minorHAnsi"/>
          <w:bCs/>
          <w:sz w:val="22"/>
          <w:szCs w:val="22"/>
          <w:lang w:eastAsia="en-US"/>
        </w:rPr>
        <w:t xml:space="preserve"> no âmbito da </w:t>
      </w:r>
      <w:r w:rsidR="007F72D9" w:rsidRPr="003F2DC0">
        <w:rPr>
          <w:rFonts w:asciiTheme="minorHAnsi" w:hAnsiTheme="minorHAnsi" w:cstheme="minorHAnsi"/>
          <w:bCs/>
          <w:sz w:val="22"/>
          <w:szCs w:val="22"/>
          <w:lang w:eastAsia="en-US"/>
        </w:rPr>
        <w:t>sustentabilidade.</w:t>
      </w:r>
    </w:p>
    <w:p w14:paraId="061E8DDD" w14:textId="77777777" w:rsidR="006D7C47" w:rsidRPr="00387CBF" w:rsidRDefault="006D7C47" w:rsidP="006D7C47">
      <w:pPr>
        <w:jc w:val="both"/>
        <w:rPr>
          <w:rFonts w:asciiTheme="minorHAnsi" w:hAnsiTheme="minorHAnsi" w:cstheme="minorHAnsi"/>
          <w:bCs/>
          <w:sz w:val="22"/>
          <w:szCs w:val="22"/>
          <w:lang w:eastAsia="en-US"/>
        </w:rPr>
      </w:pPr>
    </w:p>
    <w:p w14:paraId="5D35146D" w14:textId="77777777" w:rsidR="006D7C47" w:rsidRDefault="006D7C47" w:rsidP="006D7C47">
      <w:pPr>
        <w:jc w:val="both"/>
        <w:rPr>
          <w:rFonts w:asciiTheme="minorHAnsi" w:hAnsiTheme="minorHAnsi" w:cstheme="minorHAnsi"/>
          <w:sz w:val="22"/>
          <w:szCs w:val="22"/>
          <w:lang w:eastAsia="en-US"/>
        </w:rPr>
      </w:pPr>
    </w:p>
    <w:p w14:paraId="2D60E77A" w14:textId="51ACB9F6" w:rsidR="00454670" w:rsidRPr="005E02AB" w:rsidRDefault="00454670" w:rsidP="00454670">
      <w:pPr>
        <w:jc w:val="both"/>
        <w:rPr>
          <w:rFonts w:asciiTheme="minorHAnsi" w:hAnsiTheme="minorHAnsi" w:cstheme="minorHAnsi"/>
          <w:b/>
          <w:sz w:val="22"/>
          <w:szCs w:val="22"/>
          <w:lang w:eastAsia="en-US"/>
        </w:rPr>
      </w:pPr>
      <w:r w:rsidRPr="005E02AB">
        <w:rPr>
          <w:rFonts w:asciiTheme="minorHAnsi" w:hAnsiTheme="minorHAnsi" w:cstheme="minorHAnsi"/>
          <w:b/>
          <w:sz w:val="22"/>
          <w:szCs w:val="22"/>
          <w:lang w:eastAsia="en-US"/>
        </w:rPr>
        <w:t>1</w:t>
      </w:r>
      <w:r>
        <w:rPr>
          <w:rFonts w:asciiTheme="minorHAnsi" w:hAnsiTheme="minorHAnsi" w:cstheme="minorHAnsi"/>
          <w:b/>
          <w:sz w:val="22"/>
          <w:szCs w:val="22"/>
          <w:lang w:eastAsia="en-US"/>
        </w:rPr>
        <w:t>3</w:t>
      </w:r>
      <w:r w:rsidRPr="005E02AB">
        <w:rPr>
          <w:rFonts w:asciiTheme="minorHAnsi" w:hAnsiTheme="minorHAnsi" w:cstheme="minorHAnsi"/>
          <w:b/>
          <w:sz w:val="22"/>
          <w:szCs w:val="22"/>
          <w:lang w:eastAsia="en-US"/>
        </w:rPr>
        <w:t xml:space="preserve">. </w:t>
      </w:r>
      <w:r>
        <w:rPr>
          <w:rFonts w:asciiTheme="minorHAnsi" w:hAnsiTheme="minorHAnsi" w:cstheme="minorHAnsi"/>
          <w:b/>
          <w:sz w:val="22"/>
          <w:szCs w:val="22"/>
          <w:lang w:eastAsia="en-US"/>
        </w:rPr>
        <w:t>Quadro-Síntese do Cumprimento das Orientações</w:t>
      </w:r>
    </w:p>
    <w:p w14:paraId="22D47A28" w14:textId="77777777" w:rsidR="00454670" w:rsidRDefault="00454670">
      <w:pPr>
        <w:rPr>
          <w:rFonts w:asciiTheme="minorHAnsi" w:hAnsiTheme="minorHAnsi" w:cstheme="minorHAnsi"/>
          <w:b/>
          <w:sz w:val="22"/>
          <w:szCs w:val="22"/>
          <w:lang w:eastAsia="en-US"/>
        </w:rPr>
      </w:pPr>
    </w:p>
    <w:tbl>
      <w:tblPr>
        <w:tblW w:w="8359" w:type="dxa"/>
        <w:tblCellMar>
          <w:left w:w="70" w:type="dxa"/>
          <w:right w:w="70" w:type="dxa"/>
        </w:tblCellMar>
        <w:tblLook w:val="04A0" w:firstRow="1" w:lastRow="0" w:firstColumn="1" w:lastColumn="0" w:noHBand="0" w:noVBand="1"/>
      </w:tblPr>
      <w:tblGrid>
        <w:gridCol w:w="562"/>
        <w:gridCol w:w="5954"/>
        <w:gridCol w:w="992"/>
        <w:gridCol w:w="851"/>
      </w:tblGrid>
      <w:tr w:rsidR="008C311C" w14:paraId="4BE8FBF4" w14:textId="77777777" w:rsidTr="00AB2F99">
        <w:trPr>
          <w:trHeight w:val="300"/>
          <w:tblHeader/>
        </w:trPr>
        <w:tc>
          <w:tcPr>
            <w:tcW w:w="562" w:type="dxa"/>
            <w:vMerge w:val="restart"/>
            <w:tcBorders>
              <w:top w:val="single" w:sz="4" w:space="0" w:color="A6A6A6"/>
              <w:bottom w:val="single" w:sz="4" w:space="0" w:color="FFFFFF"/>
              <w:right w:val="single" w:sz="4" w:space="0" w:color="FFFFFF"/>
            </w:tcBorders>
            <w:shd w:val="clear" w:color="auto" w:fill="8EAADB"/>
            <w:vAlign w:val="center"/>
            <w:hideMark/>
          </w:tcPr>
          <w:p w14:paraId="284F9F53" w14:textId="77777777" w:rsidR="008C311C" w:rsidRPr="008C311C" w:rsidRDefault="008C311C">
            <w:pPr>
              <w:jc w:val="center"/>
              <w:rPr>
                <w:rFonts w:ascii="Calibri" w:hAnsi="Calibri" w:cs="Calibri"/>
                <w:b/>
                <w:bCs/>
                <w:sz w:val="14"/>
                <w:szCs w:val="14"/>
              </w:rPr>
            </w:pPr>
            <w:r w:rsidRPr="008C311C">
              <w:rPr>
                <w:rFonts w:ascii="Calibri" w:hAnsi="Calibri" w:cs="Calibri"/>
                <w:b/>
                <w:bCs/>
                <w:sz w:val="14"/>
                <w:szCs w:val="14"/>
              </w:rPr>
              <w:t>Ponto</w:t>
            </w:r>
          </w:p>
        </w:tc>
        <w:tc>
          <w:tcPr>
            <w:tcW w:w="5954" w:type="dxa"/>
            <w:vMerge w:val="restart"/>
            <w:tcBorders>
              <w:top w:val="single" w:sz="4" w:space="0" w:color="A6A6A6"/>
              <w:left w:val="single" w:sz="4" w:space="0" w:color="FFFFFF"/>
              <w:bottom w:val="single" w:sz="4" w:space="0" w:color="FFFFFF"/>
              <w:right w:val="single" w:sz="4" w:space="0" w:color="FFFFFF"/>
            </w:tcBorders>
            <w:shd w:val="clear" w:color="auto" w:fill="8EAADB"/>
            <w:vAlign w:val="center"/>
            <w:hideMark/>
          </w:tcPr>
          <w:p w14:paraId="11A00CC5" w14:textId="77777777" w:rsidR="008C311C" w:rsidRPr="008C311C" w:rsidRDefault="008C311C">
            <w:pPr>
              <w:jc w:val="center"/>
              <w:rPr>
                <w:rFonts w:ascii="Calibri" w:hAnsi="Calibri" w:cs="Calibri"/>
                <w:b/>
                <w:bCs/>
                <w:sz w:val="14"/>
                <w:szCs w:val="14"/>
              </w:rPr>
            </w:pPr>
            <w:r w:rsidRPr="008C311C">
              <w:rPr>
                <w:rFonts w:ascii="Calibri" w:hAnsi="Calibri" w:cs="Calibri"/>
                <w:b/>
                <w:bCs/>
                <w:sz w:val="14"/>
                <w:szCs w:val="14"/>
              </w:rPr>
              <w:t xml:space="preserve">Cumprimento das Orientações </w:t>
            </w:r>
          </w:p>
        </w:tc>
        <w:tc>
          <w:tcPr>
            <w:tcW w:w="992" w:type="dxa"/>
            <w:tcBorders>
              <w:top w:val="single" w:sz="4" w:space="0" w:color="A6A6A6"/>
              <w:left w:val="nil"/>
              <w:bottom w:val="single" w:sz="4" w:space="0" w:color="FFFFFF"/>
              <w:right w:val="single" w:sz="4" w:space="0" w:color="FFFFFF"/>
            </w:tcBorders>
            <w:shd w:val="clear" w:color="auto" w:fill="8EAADB"/>
            <w:noWrap/>
            <w:vAlign w:val="center"/>
            <w:hideMark/>
          </w:tcPr>
          <w:p w14:paraId="44169E55" w14:textId="77777777" w:rsidR="008C311C" w:rsidRPr="008C311C" w:rsidRDefault="008C311C">
            <w:pPr>
              <w:jc w:val="center"/>
              <w:rPr>
                <w:rFonts w:ascii="Calibri" w:hAnsi="Calibri" w:cs="Calibri"/>
                <w:b/>
                <w:bCs/>
                <w:sz w:val="14"/>
                <w:szCs w:val="14"/>
              </w:rPr>
            </w:pPr>
            <w:r w:rsidRPr="008C311C">
              <w:rPr>
                <w:rFonts w:ascii="Calibri" w:hAnsi="Calibri" w:cs="Calibri"/>
                <w:b/>
                <w:bCs/>
                <w:sz w:val="14"/>
                <w:szCs w:val="14"/>
              </w:rPr>
              <w:t>Cumprimento</w:t>
            </w:r>
          </w:p>
        </w:tc>
        <w:tc>
          <w:tcPr>
            <w:tcW w:w="851" w:type="dxa"/>
            <w:vMerge w:val="restart"/>
            <w:tcBorders>
              <w:top w:val="single" w:sz="4" w:space="0" w:color="A6A6A6"/>
              <w:left w:val="single" w:sz="4" w:space="0" w:color="FFFFFF"/>
              <w:bottom w:val="single" w:sz="4" w:space="0" w:color="FFFFFF"/>
            </w:tcBorders>
            <w:shd w:val="clear" w:color="auto" w:fill="8EAADB"/>
            <w:vAlign w:val="center"/>
            <w:hideMark/>
          </w:tcPr>
          <w:p w14:paraId="32C508A2" w14:textId="77777777" w:rsidR="008C311C" w:rsidRPr="008C311C" w:rsidRDefault="008C311C">
            <w:pPr>
              <w:jc w:val="center"/>
              <w:rPr>
                <w:rFonts w:ascii="Calibri" w:hAnsi="Calibri" w:cs="Calibri"/>
                <w:b/>
                <w:bCs/>
                <w:sz w:val="14"/>
                <w:szCs w:val="14"/>
              </w:rPr>
            </w:pPr>
            <w:r w:rsidRPr="008C311C">
              <w:rPr>
                <w:rFonts w:ascii="Calibri" w:hAnsi="Calibri" w:cs="Calibri"/>
                <w:b/>
                <w:bCs/>
                <w:sz w:val="14"/>
                <w:szCs w:val="14"/>
              </w:rPr>
              <w:t>Indicar Pág. Relatório Gestão</w:t>
            </w:r>
          </w:p>
        </w:tc>
      </w:tr>
      <w:tr w:rsidR="008C311C" w14:paraId="0BE08EC7" w14:textId="77777777" w:rsidTr="00AB2F99">
        <w:trPr>
          <w:trHeight w:val="300"/>
          <w:tblHeader/>
        </w:trPr>
        <w:tc>
          <w:tcPr>
            <w:tcW w:w="562" w:type="dxa"/>
            <w:vMerge/>
            <w:tcBorders>
              <w:top w:val="single" w:sz="4" w:space="0" w:color="A6A6A6"/>
              <w:bottom w:val="single" w:sz="4" w:space="0" w:color="FFFFFF"/>
              <w:right w:val="single" w:sz="4" w:space="0" w:color="FFFFFF"/>
            </w:tcBorders>
            <w:vAlign w:val="center"/>
            <w:hideMark/>
          </w:tcPr>
          <w:p w14:paraId="441695F5" w14:textId="77777777" w:rsidR="008C311C" w:rsidRDefault="008C311C">
            <w:pPr>
              <w:rPr>
                <w:rFonts w:ascii="Calibri" w:hAnsi="Calibri" w:cs="Calibri"/>
                <w:b/>
                <w:bCs/>
                <w:color w:val="FFFFFF"/>
                <w:sz w:val="18"/>
                <w:szCs w:val="18"/>
              </w:rPr>
            </w:pPr>
          </w:p>
        </w:tc>
        <w:tc>
          <w:tcPr>
            <w:tcW w:w="5954" w:type="dxa"/>
            <w:vMerge/>
            <w:tcBorders>
              <w:top w:val="single" w:sz="4" w:space="0" w:color="A6A6A6"/>
              <w:left w:val="single" w:sz="4" w:space="0" w:color="FFFFFF"/>
              <w:bottom w:val="single" w:sz="4" w:space="0" w:color="FFFFFF"/>
              <w:right w:val="single" w:sz="4" w:space="0" w:color="FFFFFF"/>
            </w:tcBorders>
            <w:vAlign w:val="center"/>
            <w:hideMark/>
          </w:tcPr>
          <w:p w14:paraId="3183BB6F" w14:textId="77777777" w:rsidR="008C311C" w:rsidRDefault="008C311C">
            <w:pPr>
              <w:rPr>
                <w:rFonts w:ascii="Calibri" w:hAnsi="Calibri" w:cs="Calibri"/>
                <w:b/>
                <w:bCs/>
                <w:color w:val="FFFFFF"/>
                <w:sz w:val="18"/>
                <w:szCs w:val="18"/>
              </w:rPr>
            </w:pPr>
          </w:p>
        </w:tc>
        <w:tc>
          <w:tcPr>
            <w:tcW w:w="992" w:type="dxa"/>
            <w:tcBorders>
              <w:top w:val="nil"/>
              <w:left w:val="nil"/>
              <w:bottom w:val="single" w:sz="4" w:space="0" w:color="FFFFFF"/>
              <w:right w:val="single" w:sz="4" w:space="0" w:color="FFFFFF"/>
            </w:tcBorders>
            <w:shd w:val="clear" w:color="auto" w:fill="8EAADB"/>
            <w:noWrap/>
            <w:vAlign w:val="center"/>
            <w:hideMark/>
          </w:tcPr>
          <w:p w14:paraId="25BA6C97" w14:textId="77777777" w:rsidR="008C311C" w:rsidRPr="008C311C" w:rsidRDefault="008C311C">
            <w:pPr>
              <w:jc w:val="center"/>
              <w:rPr>
                <w:rFonts w:ascii="Calibri" w:hAnsi="Calibri" w:cs="Calibri"/>
                <w:b/>
                <w:bCs/>
                <w:sz w:val="14"/>
                <w:szCs w:val="14"/>
              </w:rPr>
            </w:pPr>
            <w:r w:rsidRPr="008C311C">
              <w:rPr>
                <w:rFonts w:ascii="Calibri" w:hAnsi="Calibri" w:cs="Calibri"/>
                <w:b/>
                <w:bCs/>
                <w:sz w:val="14"/>
                <w:szCs w:val="14"/>
              </w:rPr>
              <w:t>S/N/N.A.</w:t>
            </w:r>
          </w:p>
        </w:tc>
        <w:tc>
          <w:tcPr>
            <w:tcW w:w="851" w:type="dxa"/>
            <w:vMerge/>
            <w:tcBorders>
              <w:top w:val="single" w:sz="4" w:space="0" w:color="A6A6A6"/>
              <w:left w:val="single" w:sz="4" w:space="0" w:color="FFFFFF"/>
              <w:bottom w:val="single" w:sz="4" w:space="0" w:color="FFFFFF"/>
            </w:tcBorders>
            <w:vAlign w:val="center"/>
            <w:hideMark/>
          </w:tcPr>
          <w:p w14:paraId="7BE49978" w14:textId="77777777" w:rsidR="008C311C" w:rsidRPr="008C311C" w:rsidRDefault="008C311C">
            <w:pPr>
              <w:rPr>
                <w:rFonts w:ascii="Calibri" w:hAnsi="Calibri" w:cs="Calibri"/>
                <w:b/>
                <w:bCs/>
                <w:color w:val="FFFFFF"/>
                <w:sz w:val="14"/>
                <w:szCs w:val="14"/>
              </w:rPr>
            </w:pPr>
          </w:p>
        </w:tc>
      </w:tr>
      <w:tr w:rsidR="008C311C" w14:paraId="5A76C364"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40D21746" w14:textId="77777777" w:rsidR="008C311C" w:rsidRPr="008C311C" w:rsidRDefault="008C311C">
            <w:pPr>
              <w:jc w:val="center"/>
              <w:rPr>
                <w:rFonts w:asciiTheme="minorHAnsi" w:hAnsiTheme="minorHAnsi" w:cstheme="minorHAnsi"/>
                <w:b/>
                <w:bCs/>
                <w:sz w:val="14"/>
                <w:szCs w:val="14"/>
              </w:rPr>
            </w:pPr>
            <w:r w:rsidRPr="008C311C">
              <w:rPr>
                <w:rFonts w:asciiTheme="minorHAnsi" w:hAnsiTheme="minorHAnsi" w:cstheme="minorHAnsi"/>
                <w:b/>
                <w:bCs/>
                <w:sz w:val="14"/>
                <w:szCs w:val="14"/>
              </w:rPr>
              <w:t>1</w:t>
            </w:r>
          </w:p>
        </w:tc>
        <w:tc>
          <w:tcPr>
            <w:tcW w:w="5954" w:type="dxa"/>
            <w:tcBorders>
              <w:top w:val="nil"/>
              <w:left w:val="nil"/>
              <w:bottom w:val="single" w:sz="4" w:space="0" w:color="FFFFFF"/>
              <w:right w:val="single" w:sz="4" w:space="0" w:color="FFFFFF"/>
            </w:tcBorders>
            <w:shd w:val="clear" w:color="auto" w:fill="D9E2F3"/>
            <w:noWrap/>
            <w:vAlign w:val="center"/>
            <w:hideMark/>
          </w:tcPr>
          <w:p w14:paraId="56D3ADFF" w14:textId="77777777" w:rsidR="008C311C" w:rsidRPr="008C311C" w:rsidRDefault="008C311C">
            <w:pPr>
              <w:rPr>
                <w:rFonts w:asciiTheme="minorHAnsi" w:hAnsiTheme="minorHAnsi" w:cstheme="minorHAnsi"/>
                <w:b/>
                <w:bCs/>
                <w:sz w:val="14"/>
                <w:szCs w:val="14"/>
              </w:rPr>
            </w:pPr>
            <w:r w:rsidRPr="008C311C">
              <w:rPr>
                <w:rFonts w:asciiTheme="minorHAnsi" w:hAnsiTheme="minorHAnsi" w:cstheme="minorHAnsi"/>
                <w:b/>
                <w:bCs/>
                <w:sz w:val="14"/>
                <w:szCs w:val="14"/>
              </w:rPr>
              <w:t xml:space="preserve">Execução do PAO </w:t>
            </w:r>
          </w:p>
        </w:tc>
        <w:tc>
          <w:tcPr>
            <w:tcW w:w="992" w:type="dxa"/>
            <w:tcBorders>
              <w:top w:val="nil"/>
              <w:left w:val="nil"/>
              <w:bottom w:val="single" w:sz="4" w:space="0" w:color="FFFFFF"/>
              <w:right w:val="single" w:sz="4" w:space="0" w:color="FFFFFF"/>
            </w:tcBorders>
            <w:shd w:val="clear" w:color="auto" w:fill="D9E2F3"/>
            <w:noWrap/>
            <w:vAlign w:val="center"/>
            <w:hideMark/>
          </w:tcPr>
          <w:p w14:paraId="11C6FA1D"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851" w:type="dxa"/>
            <w:tcBorders>
              <w:top w:val="nil"/>
              <w:left w:val="nil"/>
              <w:bottom w:val="single" w:sz="4" w:space="0" w:color="FFFFFF"/>
            </w:tcBorders>
            <w:shd w:val="clear" w:color="auto" w:fill="D9E2F3"/>
            <w:vAlign w:val="center"/>
            <w:hideMark/>
          </w:tcPr>
          <w:p w14:paraId="1975E249"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0FE5EF59"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1932A800" w14:textId="77777777" w:rsidR="008C311C" w:rsidRPr="008C311C" w:rsidRDefault="008C311C">
            <w:pPr>
              <w:jc w:val="center"/>
              <w:rPr>
                <w:rFonts w:asciiTheme="minorHAnsi" w:hAnsiTheme="minorHAnsi" w:cstheme="minorHAnsi"/>
                <w:b/>
                <w:bCs/>
                <w:sz w:val="14"/>
                <w:szCs w:val="14"/>
              </w:rPr>
            </w:pPr>
            <w:r w:rsidRPr="008C311C">
              <w:rPr>
                <w:rFonts w:asciiTheme="minorHAnsi" w:hAnsiTheme="minorHAnsi" w:cstheme="minorHAnsi"/>
                <w:b/>
                <w:bCs/>
                <w:sz w:val="14"/>
                <w:szCs w:val="14"/>
              </w:rPr>
              <w:t> </w:t>
            </w:r>
          </w:p>
        </w:tc>
        <w:tc>
          <w:tcPr>
            <w:tcW w:w="5954" w:type="dxa"/>
            <w:tcBorders>
              <w:top w:val="nil"/>
              <w:left w:val="nil"/>
              <w:bottom w:val="single" w:sz="4" w:space="0" w:color="FFFFFF"/>
              <w:right w:val="single" w:sz="4" w:space="0" w:color="FFFFFF"/>
            </w:tcBorders>
            <w:shd w:val="clear" w:color="auto" w:fill="D9E2F3"/>
            <w:noWrap/>
            <w:vAlign w:val="center"/>
            <w:hideMark/>
          </w:tcPr>
          <w:p w14:paraId="4763C537" w14:textId="77777777" w:rsidR="008C311C" w:rsidRPr="008C311C" w:rsidRDefault="008C311C">
            <w:pPr>
              <w:ind w:firstLineChars="100" w:firstLine="140"/>
              <w:rPr>
                <w:rFonts w:asciiTheme="minorHAnsi" w:hAnsiTheme="minorHAnsi" w:cstheme="minorHAnsi"/>
                <w:sz w:val="14"/>
                <w:szCs w:val="14"/>
              </w:rPr>
            </w:pPr>
            <w:r w:rsidRPr="008C311C">
              <w:rPr>
                <w:rFonts w:asciiTheme="minorHAnsi" w:hAnsiTheme="minorHAnsi" w:cstheme="minorHAnsi"/>
                <w:sz w:val="14"/>
                <w:szCs w:val="14"/>
              </w:rPr>
              <w:t xml:space="preserve">Metas a atingir constantes no PAO </w:t>
            </w:r>
          </w:p>
        </w:tc>
        <w:tc>
          <w:tcPr>
            <w:tcW w:w="992" w:type="dxa"/>
            <w:tcBorders>
              <w:top w:val="nil"/>
              <w:left w:val="nil"/>
              <w:bottom w:val="single" w:sz="4" w:space="0" w:color="FFFFFF"/>
              <w:right w:val="single" w:sz="4" w:space="0" w:color="FFFFFF"/>
            </w:tcBorders>
            <w:shd w:val="clear" w:color="auto" w:fill="D9E2F3"/>
            <w:noWrap/>
            <w:vAlign w:val="center"/>
            <w:hideMark/>
          </w:tcPr>
          <w:p w14:paraId="5991B82E"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851" w:type="dxa"/>
            <w:tcBorders>
              <w:top w:val="nil"/>
              <w:left w:val="nil"/>
              <w:bottom w:val="single" w:sz="4" w:space="0" w:color="FFFFFF"/>
            </w:tcBorders>
            <w:shd w:val="clear" w:color="auto" w:fill="D9E2F3"/>
            <w:vAlign w:val="center"/>
            <w:hideMark/>
          </w:tcPr>
          <w:p w14:paraId="46539773"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4FFBC62A"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031BD146"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5954" w:type="dxa"/>
            <w:tcBorders>
              <w:top w:val="nil"/>
              <w:left w:val="nil"/>
              <w:bottom w:val="single" w:sz="4" w:space="0" w:color="FFFFFF"/>
              <w:right w:val="single" w:sz="4" w:space="0" w:color="FFFFFF"/>
            </w:tcBorders>
            <w:shd w:val="clear" w:color="auto" w:fill="D9E2F3"/>
            <w:noWrap/>
            <w:vAlign w:val="center"/>
            <w:hideMark/>
          </w:tcPr>
          <w:p w14:paraId="5D3816C9" w14:textId="77777777" w:rsidR="008C311C" w:rsidRPr="008C311C" w:rsidRDefault="008C311C">
            <w:pPr>
              <w:ind w:firstLineChars="200" w:firstLine="280"/>
              <w:rPr>
                <w:rFonts w:asciiTheme="minorHAnsi" w:hAnsiTheme="minorHAnsi" w:cstheme="minorHAnsi"/>
                <w:sz w:val="14"/>
                <w:szCs w:val="14"/>
              </w:rPr>
            </w:pPr>
            <w:r w:rsidRPr="008C311C">
              <w:rPr>
                <w:rFonts w:asciiTheme="minorHAnsi" w:hAnsiTheme="minorHAnsi" w:cstheme="minorHAnsi"/>
                <w:sz w:val="14"/>
                <w:szCs w:val="14"/>
              </w:rPr>
              <w:t>Volume de Negócios</w:t>
            </w:r>
          </w:p>
        </w:tc>
        <w:tc>
          <w:tcPr>
            <w:tcW w:w="992" w:type="dxa"/>
            <w:tcBorders>
              <w:top w:val="nil"/>
              <w:left w:val="nil"/>
              <w:bottom w:val="single" w:sz="4" w:space="0" w:color="FFFFFF"/>
              <w:right w:val="single" w:sz="4" w:space="0" w:color="FFFFFF"/>
            </w:tcBorders>
            <w:shd w:val="clear" w:color="auto" w:fill="D9E2F3"/>
            <w:noWrap/>
            <w:vAlign w:val="center"/>
            <w:hideMark/>
          </w:tcPr>
          <w:p w14:paraId="4BCF0B3E" w14:textId="08B134C0"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r w:rsidR="00077840">
              <w:rPr>
                <w:rFonts w:asciiTheme="minorHAnsi" w:hAnsiTheme="minorHAnsi" w:cstheme="minorHAnsi"/>
                <w:sz w:val="14"/>
                <w:szCs w:val="14"/>
              </w:rPr>
              <w:t>S</w:t>
            </w:r>
          </w:p>
        </w:tc>
        <w:tc>
          <w:tcPr>
            <w:tcW w:w="851" w:type="dxa"/>
            <w:tcBorders>
              <w:top w:val="nil"/>
              <w:left w:val="nil"/>
              <w:bottom w:val="single" w:sz="4" w:space="0" w:color="FFFFFF"/>
            </w:tcBorders>
            <w:shd w:val="clear" w:color="auto" w:fill="D9E2F3"/>
            <w:vAlign w:val="center"/>
            <w:hideMark/>
          </w:tcPr>
          <w:p w14:paraId="60EF1B6B"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74A27BF4"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08EE217D"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5954" w:type="dxa"/>
            <w:tcBorders>
              <w:top w:val="nil"/>
              <w:left w:val="nil"/>
              <w:bottom w:val="single" w:sz="4" w:space="0" w:color="FFFFFF"/>
              <w:right w:val="single" w:sz="4" w:space="0" w:color="FFFFFF"/>
            </w:tcBorders>
            <w:shd w:val="clear" w:color="auto" w:fill="D9E2F3"/>
            <w:noWrap/>
            <w:vAlign w:val="center"/>
            <w:hideMark/>
          </w:tcPr>
          <w:p w14:paraId="32875EED" w14:textId="77777777" w:rsidR="008C311C" w:rsidRPr="008C311C" w:rsidRDefault="008C311C">
            <w:pPr>
              <w:ind w:firstLineChars="200" w:firstLine="280"/>
              <w:rPr>
                <w:rFonts w:asciiTheme="minorHAnsi" w:hAnsiTheme="minorHAnsi" w:cstheme="minorHAnsi"/>
                <w:sz w:val="14"/>
                <w:szCs w:val="14"/>
              </w:rPr>
            </w:pPr>
            <w:r w:rsidRPr="008C311C">
              <w:rPr>
                <w:rFonts w:asciiTheme="minorHAnsi" w:hAnsiTheme="minorHAnsi" w:cstheme="minorHAnsi"/>
                <w:sz w:val="14"/>
                <w:szCs w:val="14"/>
              </w:rPr>
              <w:t>Gastos Operacionais</w:t>
            </w:r>
          </w:p>
        </w:tc>
        <w:tc>
          <w:tcPr>
            <w:tcW w:w="992" w:type="dxa"/>
            <w:tcBorders>
              <w:top w:val="nil"/>
              <w:left w:val="nil"/>
              <w:bottom w:val="single" w:sz="4" w:space="0" w:color="FFFFFF"/>
              <w:right w:val="single" w:sz="4" w:space="0" w:color="FFFFFF"/>
            </w:tcBorders>
            <w:shd w:val="clear" w:color="auto" w:fill="D9E2F3"/>
            <w:noWrap/>
            <w:vAlign w:val="center"/>
            <w:hideMark/>
          </w:tcPr>
          <w:p w14:paraId="0E516B83" w14:textId="11416911"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r w:rsidR="00077840">
              <w:rPr>
                <w:rFonts w:asciiTheme="minorHAnsi" w:hAnsiTheme="minorHAnsi" w:cstheme="minorHAnsi"/>
                <w:sz w:val="14"/>
                <w:szCs w:val="14"/>
              </w:rPr>
              <w:t>S</w:t>
            </w:r>
          </w:p>
        </w:tc>
        <w:tc>
          <w:tcPr>
            <w:tcW w:w="851" w:type="dxa"/>
            <w:tcBorders>
              <w:top w:val="nil"/>
              <w:left w:val="nil"/>
              <w:bottom w:val="single" w:sz="4" w:space="0" w:color="FFFFFF"/>
            </w:tcBorders>
            <w:shd w:val="clear" w:color="auto" w:fill="D9E2F3"/>
            <w:vAlign w:val="center"/>
            <w:hideMark/>
          </w:tcPr>
          <w:p w14:paraId="64964A05"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06F97B92"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187A2D30"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5954" w:type="dxa"/>
            <w:tcBorders>
              <w:top w:val="nil"/>
              <w:left w:val="nil"/>
              <w:bottom w:val="single" w:sz="4" w:space="0" w:color="FFFFFF"/>
              <w:right w:val="single" w:sz="4" w:space="0" w:color="FFFFFF"/>
            </w:tcBorders>
            <w:shd w:val="clear" w:color="auto" w:fill="D9E2F3"/>
            <w:noWrap/>
            <w:vAlign w:val="center"/>
            <w:hideMark/>
          </w:tcPr>
          <w:p w14:paraId="2224537F" w14:textId="77777777" w:rsidR="008C311C" w:rsidRPr="008C311C" w:rsidRDefault="008C311C">
            <w:pPr>
              <w:ind w:firstLineChars="200" w:firstLine="280"/>
              <w:rPr>
                <w:rFonts w:asciiTheme="minorHAnsi" w:hAnsiTheme="minorHAnsi" w:cstheme="minorHAnsi"/>
                <w:sz w:val="14"/>
                <w:szCs w:val="14"/>
              </w:rPr>
            </w:pPr>
            <w:r w:rsidRPr="008C311C">
              <w:rPr>
                <w:rFonts w:asciiTheme="minorHAnsi" w:hAnsiTheme="minorHAnsi" w:cstheme="minorHAnsi"/>
                <w:sz w:val="14"/>
                <w:szCs w:val="14"/>
              </w:rPr>
              <w:t>Rácio de Eficiência</w:t>
            </w:r>
          </w:p>
        </w:tc>
        <w:tc>
          <w:tcPr>
            <w:tcW w:w="992" w:type="dxa"/>
            <w:tcBorders>
              <w:top w:val="nil"/>
              <w:left w:val="nil"/>
              <w:bottom w:val="single" w:sz="4" w:space="0" w:color="FFFFFF"/>
              <w:right w:val="single" w:sz="4" w:space="0" w:color="FFFFFF"/>
            </w:tcBorders>
            <w:shd w:val="clear" w:color="auto" w:fill="D9E2F3"/>
            <w:noWrap/>
            <w:vAlign w:val="center"/>
            <w:hideMark/>
          </w:tcPr>
          <w:p w14:paraId="66A3E66F" w14:textId="15687750"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r w:rsidR="00077840">
              <w:rPr>
                <w:rFonts w:asciiTheme="minorHAnsi" w:hAnsiTheme="minorHAnsi" w:cstheme="minorHAnsi"/>
                <w:sz w:val="14"/>
                <w:szCs w:val="14"/>
              </w:rPr>
              <w:t>S</w:t>
            </w:r>
          </w:p>
        </w:tc>
        <w:tc>
          <w:tcPr>
            <w:tcW w:w="851" w:type="dxa"/>
            <w:tcBorders>
              <w:top w:val="nil"/>
              <w:left w:val="nil"/>
              <w:bottom w:val="single" w:sz="4" w:space="0" w:color="FFFFFF"/>
            </w:tcBorders>
            <w:shd w:val="clear" w:color="auto" w:fill="D9E2F3"/>
            <w:vAlign w:val="center"/>
            <w:hideMark/>
          </w:tcPr>
          <w:p w14:paraId="38CC0C1D"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3FEFAA5D"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2C064B02"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5954" w:type="dxa"/>
            <w:tcBorders>
              <w:top w:val="nil"/>
              <w:left w:val="nil"/>
              <w:bottom w:val="single" w:sz="4" w:space="0" w:color="FFFFFF"/>
              <w:right w:val="single" w:sz="4" w:space="0" w:color="FFFFFF"/>
            </w:tcBorders>
            <w:shd w:val="clear" w:color="auto" w:fill="D9E2F3"/>
            <w:noWrap/>
            <w:vAlign w:val="center"/>
            <w:hideMark/>
          </w:tcPr>
          <w:p w14:paraId="087863B2" w14:textId="77777777" w:rsidR="008C311C" w:rsidRPr="008C311C" w:rsidRDefault="008C311C">
            <w:pPr>
              <w:ind w:firstLineChars="200" w:firstLine="280"/>
              <w:rPr>
                <w:rFonts w:asciiTheme="minorHAnsi" w:hAnsiTheme="minorHAnsi" w:cstheme="minorHAnsi"/>
                <w:sz w:val="14"/>
                <w:szCs w:val="14"/>
              </w:rPr>
            </w:pPr>
            <w:r w:rsidRPr="008C311C">
              <w:rPr>
                <w:rFonts w:asciiTheme="minorHAnsi" w:hAnsiTheme="minorHAnsi" w:cstheme="minorHAnsi"/>
                <w:sz w:val="14"/>
                <w:szCs w:val="14"/>
              </w:rPr>
              <w:t>Variação de endividamento</w:t>
            </w:r>
          </w:p>
        </w:tc>
        <w:tc>
          <w:tcPr>
            <w:tcW w:w="992" w:type="dxa"/>
            <w:tcBorders>
              <w:top w:val="nil"/>
              <w:left w:val="nil"/>
              <w:bottom w:val="single" w:sz="4" w:space="0" w:color="FFFFFF"/>
              <w:right w:val="single" w:sz="4" w:space="0" w:color="FFFFFF"/>
            </w:tcBorders>
            <w:shd w:val="clear" w:color="auto" w:fill="D9E2F3"/>
            <w:noWrap/>
            <w:vAlign w:val="center"/>
            <w:hideMark/>
          </w:tcPr>
          <w:p w14:paraId="0D956096" w14:textId="63B5EC23"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r w:rsidR="00077840">
              <w:rPr>
                <w:rFonts w:asciiTheme="minorHAnsi" w:hAnsiTheme="minorHAnsi" w:cstheme="minorHAnsi"/>
                <w:sz w:val="14"/>
                <w:szCs w:val="14"/>
              </w:rPr>
              <w:t>S</w:t>
            </w:r>
          </w:p>
        </w:tc>
        <w:tc>
          <w:tcPr>
            <w:tcW w:w="851" w:type="dxa"/>
            <w:tcBorders>
              <w:top w:val="nil"/>
              <w:left w:val="nil"/>
              <w:bottom w:val="single" w:sz="4" w:space="0" w:color="FFFFFF"/>
            </w:tcBorders>
            <w:shd w:val="clear" w:color="auto" w:fill="D9E2F3"/>
            <w:vAlign w:val="center"/>
            <w:hideMark/>
          </w:tcPr>
          <w:p w14:paraId="36A70175"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54CB8BAB"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686788DA"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5954" w:type="dxa"/>
            <w:tcBorders>
              <w:top w:val="nil"/>
              <w:left w:val="nil"/>
              <w:bottom w:val="single" w:sz="4" w:space="0" w:color="FFFFFF"/>
              <w:right w:val="single" w:sz="4" w:space="0" w:color="FFFFFF"/>
            </w:tcBorders>
            <w:shd w:val="clear" w:color="auto" w:fill="D9E2F3"/>
            <w:noWrap/>
            <w:vAlign w:val="center"/>
            <w:hideMark/>
          </w:tcPr>
          <w:p w14:paraId="66F9EF94" w14:textId="77777777" w:rsidR="008C311C" w:rsidRPr="008C311C" w:rsidRDefault="008C311C">
            <w:pPr>
              <w:ind w:firstLineChars="100" w:firstLine="140"/>
              <w:rPr>
                <w:rFonts w:asciiTheme="minorHAnsi" w:hAnsiTheme="minorHAnsi" w:cstheme="minorHAnsi"/>
                <w:sz w:val="14"/>
                <w:szCs w:val="14"/>
              </w:rPr>
            </w:pPr>
            <w:r w:rsidRPr="008C311C">
              <w:rPr>
                <w:rFonts w:asciiTheme="minorHAnsi" w:hAnsiTheme="minorHAnsi" w:cstheme="minorHAnsi"/>
                <w:sz w:val="14"/>
                <w:szCs w:val="14"/>
              </w:rPr>
              <w:t>Outras metas de gestão relacionadas com a atividade da empresa</w:t>
            </w:r>
          </w:p>
        </w:tc>
        <w:tc>
          <w:tcPr>
            <w:tcW w:w="992" w:type="dxa"/>
            <w:tcBorders>
              <w:top w:val="nil"/>
              <w:left w:val="nil"/>
              <w:bottom w:val="single" w:sz="4" w:space="0" w:color="FFFFFF"/>
              <w:right w:val="single" w:sz="4" w:space="0" w:color="FFFFFF"/>
            </w:tcBorders>
            <w:shd w:val="clear" w:color="auto" w:fill="D9E2F3"/>
            <w:noWrap/>
            <w:vAlign w:val="center"/>
            <w:hideMark/>
          </w:tcPr>
          <w:p w14:paraId="1D68FF8C" w14:textId="5530DDC5"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r w:rsidR="00077840">
              <w:rPr>
                <w:rFonts w:asciiTheme="minorHAnsi" w:hAnsiTheme="minorHAnsi" w:cstheme="minorHAnsi"/>
                <w:sz w:val="14"/>
                <w:szCs w:val="14"/>
              </w:rPr>
              <w:t>S</w:t>
            </w:r>
          </w:p>
        </w:tc>
        <w:tc>
          <w:tcPr>
            <w:tcW w:w="851" w:type="dxa"/>
            <w:tcBorders>
              <w:top w:val="nil"/>
              <w:left w:val="nil"/>
              <w:bottom w:val="single" w:sz="4" w:space="0" w:color="FFFFFF"/>
            </w:tcBorders>
            <w:shd w:val="clear" w:color="auto" w:fill="D9E2F3"/>
            <w:vAlign w:val="center"/>
            <w:hideMark/>
          </w:tcPr>
          <w:p w14:paraId="60205E39"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4CAFF45C"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1FBA0C98" w14:textId="77777777" w:rsidR="008C311C" w:rsidRPr="008C311C" w:rsidRDefault="008C311C">
            <w:pPr>
              <w:jc w:val="center"/>
              <w:rPr>
                <w:rFonts w:asciiTheme="minorHAnsi" w:hAnsiTheme="minorHAnsi" w:cstheme="minorHAnsi"/>
                <w:b/>
                <w:bCs/>
                <w:sz w:val="14"/>
                <w:szCs w:val="14"/>
              </w:rPr>
            </w:pPr>
            <w:r w:rsidRPr="008C311C">
              <w:rPr>
                <w:rFonts w:asciiTheme="minorHAnsi" w:hAnsiTheme="minorHAnsi" w:cstheme="minorHAnsi"/>
                <w:b/>
                <w:bCs/>
                <w:sz w:val="14"/>
                <w:szCs w:val="14"/>
              </w:rPr>
              <w:t> </w:t>
            </w:r>
          </w:p>
        </w:tc>
        <w:tc>
          <w:tcPr>
            <w:tcW w:w="5954" w:type="dxa"/>
            <w:tcBorders>
              <w:top w:val="nil"/>
              <w:left w:val="nil"/>
              <w:bottom w:val="single" w:sz="4" w:space="0" w:color="FFFFFF"/>
              <w:right w:val="single" w:sz="4" w:space="0" w:color="FFFFFF"/>
            </w:tcBorders>
            <w:shd w:val="clear" w:color="auto" w:fill="D9E2F3"/>
            <w:noWrap/>
            <w:vAlign w:val="center"/>
            <w:hideMark/>
          </w:tcPr>
          <w:p w14:paraId="3F81E528" w14:textId="77777777" w:rsidR="008C311C" w:rsidRPr="008C311C" w:rsidRDefault="008C311C">
            <w:pPr>
              <w:ind w:firstLineChars="100" w:firstLine="140"/>
              <w:rPr>
                <w:rFonts w:asciiTheme="minorHAnsi" w:hAnsiTheme="minorHAnsi" w:cstheme="minorHAnsi"/>
                <w:sz w:val="14"/>
                <w:szCs w:val="14"/>
              </w:rPr>
            </w:pPr>
            <w:r w:rsidRPr="008C311C">
              <w:rPr>
                <w:rFonts w:asciiTheme="minorHAnsi" w:hAnsiTheme="minorHAnsi" w:cstheme="minorHAnsi"/>
                <w:sz w:val="14"/>
                <w:szCs w:val="14"/>
              </w:rPr>
              <w:t>Execução do orçamento carregado no SIGO/SOE</w:t>
            </w:r>
          </w:p>
        </w:tc>
        <w:tc>
          <w:tcPr>
            <w:tcW w:w="992" w:type="dxa"/>
            <w:tcBorders>
              <w:top w:val="nil"/>
              <w:left w:val="nil"/>
              <w:bottom w:val="single" w:sz="4" w:space="0" w:color="FFFFFF"/>
              <w:right w:val="single" w:sz="4" w:space="0" w:color="FFFFFF"/>
            </w:tcBorders>
            <w:shd w:val="clear" w:color="auto" w:fill="D9E2F3"/>
            <w:noWrap/>
            <w:vAlign w:val="center"/>
            <w:hideMark/>
          </w:tcPr>
          <w:p w14:paraId="75410360" w14:textId="4EB8AD5A"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r w:rsidR="00077840">
              <w:rPr>
                <w:rFonts w:asciiTheme="minorHAnsi" w:hAnsiTheme="minorHAnsi" w:cstheme="minorHAnsi"/>
                <w:sz w:val="14"/>
                <w:szCs w:val="14"/>
              </w:rPr>
              <w:t>S</w:t>
            </w:r>
          </w:p>
        </w:tc>
        <w:tc>
          <w:tcPr>
            <w:tcW w:w="851" w:type="dxa"/>
            <w:tcBorders>
              <w:top w:val="nil"/>
              <w:left w:val="nil"/>
              <w:bottom w:val="single" w:sz="4" w:space="0" w:color="FFFFFF"/>
            </w:tcBorders>
            <w:shd w:val="clear" w:color="auto" w:fill="D9E2F3"/>
            <w:vAlign w:val="center"/>
            <w:hideMark/>
          </w:tcPr>
          <w:p w14:paraId="5A2B5D87"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0C90BF2B"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153E51FB" w14:textId="77777777" w:rsidR="008C311C" w:rsidRPr="008C311C" w:rsidRDefault="008C311C">
            <w:pPr>
              <w:jc w:val="center"/>
              <w:rPr>
                <w:rFonts w:asciiTheme="minorHAnsi" w:hAnsiTheme="minorHAnsi" w:cstheme="minorHAnsi"/>
                <w:b/>
                <w:bCs/>
                <w:sz w:val="14"/>
                <w:szCs w:val="14"/>
              </w:rPr>
            </w:pPr>
            <w:r w:rsidRPr="008C311C">
              <w:rPr>
                <w:rFonts w:asciiTheme="minorHAnsi" w:hAnsiTheme="minorHAnsi" w:cstheme="minorHAnsi"/>
                <w:b/>
                <w:bCs/>
                <w:sz w:val="14"/>
                <w:szCs w:val="14"/>
              </w:rPr>
              <w:t> </w:t>
            </w:r>
          </w:p>
        </w:tc>
        <w:tc>
          <w:tcPr>
            <w:tcW w:w="5954" w:type="dxa"/>
            <w:tcBorders>
              <w:top w:val="nil"/>
              <w:left w:val="nil"/>
              <w:bottom w:val="single" w:sz="4" w:space="0" w:color="FFFFFF"/>
              <w:right w:val="single" w:sz="4" w:space="0" w:color="FFFFFF"/>
            </w:tcBorders>
            <w:shd w:val="clear" w:color="auto" w:fill="D9E2F3"/>
            <w:noWrap/>
            <w:vAlign w:val="center"/>
            <w:hideMark/>
          </w:tcPr>
          <w:p w14:paraId="12DBB485" w14:textId="77777777" w:rsidR="008C311C" w:rsidRPr="008C311C" w:rsidRDefault="008C311C">
            <w:pPr>
              <w:ind w:firstLineChars="100" w:firstLine="140"/>
              <w:rPr>
                <w:rFonts w:asciiTheme="minorHAnsi" w:hAnsiTheme="minorHAnsi" w:cstheme="minorHAnsi"/>
                <w:sz w:val="14"/>
                <w:szCs w:val="14"/>
              </w:rPr>
            </w:pPr>
            <w:r w:rsidRPr="008C311C">
              <w:rPr>
                <w:rFonts w:asciiTheme="minorHAnsi" w:hAnsiTheme="minorHAnsi" w:cstheme="minorHAnsi"/>
                <w:sz w:val="14"/>
                <w:szCs w:val="14"/>
              </w:rPr>
              <w:t>Autorizações Concedidas</w:t>
            </w:r>
          </w:p>
        </w:tc>
        <w:tc>
          <w:tcPr>
            <w:tcW w:w="992" w:type="dxa"/>
            <w:tcBorders>
              <w:top w:val="nil"/>
              <w:left w:val="nil"/>
              <w:bottom w:val="single" w:sz="4" w:space="0" w:color="FFFFFF"/>
              <w:right w:val="single" w:sz="4" w:space="0" w:color="FFFFFF"/>
            </w:tcBorders>
            <w:shd w:val="clear" w:color="auto" w:fill="D9E2F3"/>
            <w:noWrap/>
            <w:vAlign w:val="center"/>
            <w:hideMark/>
          </w:tcPr>
          <w:p w14:paraId="11A91DD9" w14:textId="1DDF26EC"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r w:rsidR="00077840">
              <w:rPr>
                <w:rFonts w:asciiTheme="minorHAnsi" w:hAnsiTheme="minorHAnsi" w:cstheme="minorHAnsi"/>
                <w:sz w:val="14"/>
                <w:szCs w:val="14"/>
              </w:rPr>
              <w:t>S</w:t>
            </w:r>
          </w:p>
        </w:tc>
        <w:tc>
          <w:tcPr>
            <w:tcW w:w="851" w:type="dxa"/>
            <w:tcBorders>
              <w:top w:val="nil"/>
              <w:left w:val="nil"/>
              <w:bottom w:val="single" w:sz="4" w:space="0" w:color="FFFFFF"/>
            </w:tcBorders>
            <w:shd w:val="clear" w:color="auto" w:fill="D9E2F3"/>
            <w:vAlign w:val="center"/>
            <w:hideMark/>
          </w:tcPr>
          <w:p w14:paraId="1FEAC4E8"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7CBF3760"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280281A8" w14:textId="77777777" w:rsidR="008C311C" w:rsidRPr="008C311C" w:rsidRDefault="008C311C">
            <w:pPr>
              <w:jc w:val="center"/>
              <w:rPr>
                <w:rFonts w:asciiTheme="minorHAnsi" w:hAnsiTheme="minorHAnsi" w:cstheme="minorHAnsi"/>
                <w:b/>
                <w:bCs/>
                <w:sz w:val="14"/>
                <w:szCs w:val="14"/>
              </w:rPr>
            </w:pPr>
            <w:r w:rsidRPr="008C311C">
              <w:rPr>
                <w:rFonts w:asciiTheme="minorHAnsi" w:hAnsiTheme="minorHAnsi" w:cstheme="minorHAnsi"/>
                <w:b/>
                <w:bCs/>
                <w:sz w:val="14"/>
                <w:szCs w:val="14"/>
              </w:rPr>
              <w:t>2</w:t>
            </w:r>
          </w:p>
        </w:tc>
        <w:tc>
          <w:tcPr>
            <w:tcW w:w="5954" w:type="dxa"/>
            <w:tcBorders>
              <w:top w:val="nil"/>
              <w:left w:val="nil"/>
              <w:bottom w:val="single" w:sz="4" w:space="0" w:color="FFFFFF"/>
              <w:right w:val="single" w:sz="4" w:space="0" w:color="FFFFFF"/>
            </w:tcBorders>
            <w:shd w:val="clear" w:color="auto" w:fill="D9E2F3"/>
            <w:noWrap/>
            <w:vAlign w:val="center"/>
            <w:hideMark/>
          </w:tcPr>
          <w:p w14:paraId="0334C3E1" w14:textId="77777777" w:rsidR="008C311C" w:rsidRPr="008C311C" w:rsidRDefault="008C311C">
            <w:pPr>
              <w:rPr>
                <w:rFonts w:asciiTheme="minorHAnsi" w:hAnsiTheme="minorHAnsi" w:cstheme="minorHAnsi"/>
                <w:b/>
                <w:bCs/>
                <w:sz w:val="14"/>
                <w:szCs w:val="14"/>
              </w:rPr>
            </w:pPr>
            <w:r w:rsidRPr="008C311C">
              <w:rPr>
                <w:rFonts w:asciiTheme="minorHAnsi" w:hAnsiTheme="minorHAnsi" w:cstheme="minorHAnsi"/>
                <w:b/>
                <w:bCs/>
                <w:sz w:val="14"/>
                <w:szCs w:val="14"/>
              </w:rPr>
              <w:t>Eficiência operacional e gastos operacionais</w:t>
            </w:r>
          </w:p>
        </w:tc>
        <w:tc>
          <w:tcPr>
            <w:tcW w:w="992" w:type="dxa"/>
            <w:tcBorders>
              <w:top w:val="nil"/>
              <w:left w:val="nil"/>
              <w:bottom w:val="single" w:sz="4" w:space="0" w:color="FFFFFF"/>
              <w:right w:val="single" w:sz="4" w:space="0" w:color="FFFFFF"/>
            </w:tcBorders>
            <w:shd w:val="clear" w:color="auto" w:fill="D9E2F3"/>
            <w:noWrap/>
            <w:vAlign w:val="center"/>
            <w:hideMark/>
          </w:tcPr>
          <w:p w14:paraId="1A4B4AE9" w14:textId="14E4DB51"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r w:rsidR="00077840">
              <w:rPr>
                <w:rFonts w:asciiTheme="minorHAnsi" w:hAnsiTheme="minorHAnsi" w:cstheme="minorHAnsi"/>
                <w:sz w:val="14"/>
                <w:szCs w:val="14"/>
              </w:rPr>
              <w:t>S</w:t>
            </w:r>
          </w:p>
        </w:tc>
        <w:tc>
          <w:tcPr>
            <w:tcW w:w="851" w:type="dxa"/>
            <w:tcBorders>
              <w:top w:val="nil"/>
              <w:left w:val="nil"/>
              <w:bottom w:val="single" w:sz="4" w:space="0" w:color="FFFFFF"/>
            </w:tcBorders>
            <w:shd w:val="clear" w:color="auto" w:fill="D9E2F3"/>
            <w:vAlign w:val="center"/>
            <w:hideMark/>
          </w:tcPr>
          <w:p w14:paraId="55857AA7"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7F147C79"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4EBC4E7E" w14:textId="77777777" w:rsidR="008C311C" w:rsidRPr="008C311C" w:rsidRDefault="008C311C">
            <w:pPr>
              <w:jc w:val="center"/>
              <w:rPr>
                <w:rFonts w:asciiTheme="minorHAnsi" w:hAnsiTheme="minorHAnsi" w:cstheme="minorHAnsi"/>
                <w:b/>
                <w:bCs/>
                <w:sz w:val="14"/>
                <w:szCs w:val="14"/>
              </w:rPr>
            </w:pPr>
            <w:r w:rsidRPr="008C311C">
              <w:rPr>
                <w:rFonts w:asciiTheme="minorHAnsi" w:hAnsiTheme="minorHAnsi" w:cstheme="minorHAnsi"/>
                <w:b/>
                <w:bCs/>
                <w:sz w:val="14"/>
                <w:szCs w:val="14"/>
              </w:rPr>
              <w:t>3</w:t>
            </w:r>
          </w:p>
        </w:tc>
        <w:tc>
          <w:tcPr>
            <w:tcW w:w="5954" w:type="dxa"/>
            <w:tcBorders>
              <w:top w:val="nil"/>
              <w:left w:val="nil"/>
              <w:bottom w:val="single" w:sz="4" w:space="0" w:color="FFFFFF"/>
              <w:right w:val="single" w:sz="4" w:space="0" w:color="FFFFFF"/>
            </w:tcBorders>
            <w:shd w:val="clear" w:color="auto" w:fill="D9E2F3"/>
            <w:noWrap/>
            <w:vAlign w:val="center"/>
            <w:hideMark/>
          </w:tcPr>
          <w:p w14:paraId="291C11EA" w14:textId="77777777" w:rsidR="008C311C" w:rsidRPr="008C311C" w:rsidRDefault="008C311C">
            <w:pPr>
              <w:rPr>
                <w:rFonts w:asciiTheme="minorHAnsi" w:hAnsiTheme="minorHAnsi" w:cstheme="minorHAnsi"/>
                <w:b/>
                <w:bCs/>
                <w:sz w:val="14"/>
                <w:szCs w:val="14"/>
              </w:rPr>
            </w:pPr>
            <w:r w:rsidRPr="008C311C">
              <w:rPr>
                <w:rFonts w:asciiTheme="minorHAnsi" w:hAnsiTheme="minorHAnsi" w:cstheme="minorHAnsi"/>
                <w:b/>
                <w:bCs/>
                <w:sz w:val="14"/>
                <w:szCs w:val="14"/>
              </w:rPr>
              <w:t>Recursos humanos e Massa Salarial</w:t>
            </w:r>
          </w:p>
        </w:tc>
        <w:tc>
          <w:tcPr>
            <w:tcW w:w="992" w:type="dxa"/>
            <w:tcBorders>
              <w:top w:val="nil"/>
              <w:left w:val="nil"/>
              <w:bottom w:val="single" w:sz="4" w:space="0" w:color="FFFFFF"/>
              <w:right w:val="single" w:sz="4" w:space="0" w:color="FFFFFF"/>
            </w:tcBorders>
            <w:shd w:val="clear" w:color="auto" w:fill="D9E2F3"/>
            <w:noWrap/>
            <w:vAlign w:val="center"/>
            <w:hideMark/>
          </w:tcPr>
          <w:p w14:paraId="34E80531"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851" w:type="dxa"/>
            <w:tcBorders>
              <w:top w:val="nil"/>
              <w:left w:val="nil"/>
              <w:bottom w:val="single" w:sz="4" w:space="0" w:color="FFFFFF"/>
            </w:tcBorders>
            <w:shd w:val="clear" w:color="auto" w:fill="D9E2F3"/>
            <w:vAlign w:val="center"/>
            <w:hideMark/>
          </w:tcPr>
          <w:p w14:paraId="441BF1B5"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7EE3430E"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4FF83859" w14:textId="77777777" w:rsidR="008C311C" w:rsidRPr="008C311C" w:rsidRDefault="008C311C">
            <w:pPr>
              <w:jc w:val="center"/>
              <w:rPr>
                <w:rFonts w:asciiTheme="minorHAnsi" w:hAnsiTheme="minorHAnsi" w:cstheme="minorHAnsi"/>
                <w:b/>
                <w:bCs/>
                <w:sz w:val="14"/>
                <w:szCs w:val="14"/>
              </w:rPr>
            </w:pPr>
            <w:r w:rsidRPr="008C311C">
              <w:rPr>
                <w:rFonts w:asciiTheme="minorHAnsi" w:hAnsiTheme="minorHAnsi" w:cstheme="minorHAnsi"/>
                <w:b/>
                <w:bCs/>
                <w:sz w:val="14"/>
                <w:szCs w:val="14"/>
              </w:rPr>
              <w:t> </w:t>
            </w:r>
          </w:p>
        </w:tc>
        <w:tc>
          <w:tcPr>
            <w:tcW w:w="5954" w:type="dxa"/>
            <w:tcBorders>
              <w:top w:val="nil"/>
              <w:left w:val="nil"/>
              <w:bottom w:val="single" w:sz="4" w:space="0" w:color="FFFFFF"/>
              <w:right w:val="single" w:sz="4" w:space="0" w:color="FFFFFF"/>
            </w:tcBorders>
            <w:shd w:val="clear" w:color="auto" w:fill="D9E2F3"/>
            <w:noWrap/>
            <w:vAlign w:val="center"/>
            <w:hideMark/>
          </w:tcPr>
          <w:p w14:paraId="00969B0F" w14:textId="77777777" w:rsidR="008C311C" w:rsidRPr="008C311C" w:rsidRDefault="008C311C">
            <w:pPr>
              <w:ind w:firstLineChars="100" w:firstLine="140"/>
              <w:rPr>
                <w:rFonts w:asciiTheme="minorHAnsi" w:hAnsiTheme="minorHAnsi" w:cstheme="minorHAnsi"/>
                <w:sz w:val="14"/>
                <w:szCs w:val="14"/>
              </w:rPr>
            </w:pPr>
            <w:r w:rsidRPr="008C311C">
              <w:rPr>
                <w:rFonts w:asciiTheme="minorHAnsi" w:hAnsiTheme="minorHAnsi" w:cstheme="minorHAnsi"/>
                <w:sz w:val="14"/>
                <w:szCs w:val="14"/>
              </w:rPr>
              <w:t>Indicação da evolução dos RH</w:t>
            </w:r>
          </w:p>
        </w:tc>
        <w:tc>
          <w:tcPr>
            <w:tcW w:w="992" w:type="dxa"/>
            <w:tcBorders>
              <w:top w:val="nil"/>
              <w:left w:val="nil"/>
              <w:bottom w:val="single" w:sz="4" w:space="0" w:color="FFFFFF"/>
              <w:right w:val="single" w:sz="4" w:space="0" w:color="FFFFFF"/>
            </w:tcBorders>
            <w:shd w:val="clear" w:color="auto" w:fill="D9E2F3"/>
            <w:noWrap/>
            <w:vAlign w:val="center"/>
            <w:hideMark/>
          </w:tcPr>
          <w:p w14:paraId="2CC73111" w14:textId="2ABE7304"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r w:rsidR="00077840">
              <w:rPr>
                <w:rFonts w:asciiTheme="minorHAnsi" w:hAnsiTheme="minorHAnsi" w:cstheme="minorHAnsi"/>
                <w:sz w:val="14"/>
                <w:szCs w:val="14"/>
              </w:rPr>
              <w:t>S</w:t>
            </w:r>
          </w:p>
        </w:tc>
        <w:tc>
          <w:tcPr>
            <w:tcW w:w="851" w:type="dxa"/>
            <w:tcBorders>
              <w:top w:val="nil"/>
              <w:left w:val="nil"/>
              <w:bottom w:val="single" w:sz="4" w:space="0" w:color="FFFFFF"/>
            </w:tcBorders>
            <w:shd w:val="clear" w:color="auto" w:fill="D9E2F3"/>
            <w:vAlign w:val="center"/>
            <w:hideMark/>
          </w:tcPr>
          <w:p w14:paraId="70B22FDE"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548E0137"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6F906BCA" w14:textId="77777777" w:rsidR="008C311C" w:rsidRPr="008C311C" w:rsidRDefault="008C311C">
            <w:pPr>
              <w:jc w:val="center"/>
              <w:rPr>
                <w:rFonts w:asciiTheme="minorHAnsi" w:hAnsiTheme="minorHAnsi" w:cstheme="minorHAnsi"/>
                <w:b/>
                <w:bCs/>
                <w:sz w:val="14"/>
                <w:szCs w:val="14"/>
              </w:rPr>
            </w:pPr>
            <w:r w:rsidRPr="008C311C">
              <w:rPr>
                <w:rFonts w:asciiTheme="minorHAnsi" w:hAnsiTheme="minorHAnsi" w:cstheme="minorHAnsi"/>
                <w:b/>
                <w:bCs/>
                <w:sz w:val="14"/>
                <w:szCs w:val="14"/>
              </w:rPr>
              <w:t> </w:t>
            </w:r>
          </w:p>
        </w:tc>
        <w:tc>
          <w:tcPr>
            <w:tcW w:w="5954" w:type="dxa"/>
            <w:tcBorders>
              <w:top w:val="nil"/>
              <w:left w:val="nil"/>
              <w:bottom w:val="single" w:sz="4" w:space="0" w:color="FFFFFF"/>
              <w:right w:val="single" w:sz="4" w:space="0" w:color="FFFFFF"/>
            </w:tcBorders>
            <w:shd w:val="clear" w:color="auto" w:fill="D9E2F3"/>
            <w:noWrap/>
            <w:vAlign w:val="center"/>
            <w:hideMark/>
          </w:tcPr>
          <w:p w14:paraId="12842064" w14:textId="1B7A980A" w:rsidR="008C311C" w:rsidRPr="008C311C" w:rsidRDefault="008C311C">
            <w:pPr>
              <w:ind w:firstLineChars="100" w:firstLine="140"/>
              <w:rPr>
                <w:rFonts w:asciiTheme="minorHAnsi" w:hAnsiTheme="minorHAnsi" w:cstheme="minorHAnsi"/>
                <w:sz w:val="14"/>
                <w:szCs w:val="14"/>
              </w:rPr>
            </w:pPr>
            <w:r w:rsidRPr="008C311C">
              <w:rPr>
                <w:rFonts w:asciiTheme="minorHAnsi" w:hAnsiTheme="minorHAnsi" w:cstheme="minorHAnsi"/>
                <w:sz w:val="14"/>
                <w:szCs w:val="14"/>
              </w:rPr>
              <w:t>Identificação e disponibilização do Despacho autorizador de aumento dos RH (se aplicável)</w:t>
            </w:r>
          </w:p>
        </w:tc>
        <w:tc>
          <w:tcPr>
            <w:tcW w:w="992" w:type="dxa"/>
            <w:tcBorders>
              <w:top w:val="nil"/>
              <w:left w:val="nil"/>
              <w:bottom w:val="single" w:sz="4" w:space="0" w:color="FFFFFF"/>
              <w:right w:val="single" w:sz="4" w:space="0" w:color="FFFFFF"/>
            </w:tcBorders>
            <w:shd w:val="clear" w:color="auto" w:fill="D9E2F3"/>
            <w:noWrap/>
            <w:vAlign w:val="center"/>
            <w:hideMark/>
          </w:tcPr>
          <w:p w14:paraId="71DB677A" w14:textId="0118AADE"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r w:rsidR="00077840">
              <w:rPr>
                <w:rFonts w:asciiTheme="minorHAnsi" w:hAnsiTheme="minorHAnsi" w:cstheme="minorHAnsi"/>
                <w:sz w:val="14"/>
                <w:szCs w:val="14"/>
              </w:rPr>
              <w:t>N.A.</w:t>
            </w:r>
          </w:p>
        </w:tc>
        <w:tc>
          <w:tcPr>
            <w:tcW w:w="851" w:type="dxa"/>
            <w:tcBorders>
              <w:top w:val="nil"/>
              <w:left w:val="nil"/>
              <w:bottom w:val="single" w:sz="4" w:space="0" w:color="FFFFFF"/>
            </w:tcBorders>
            <w:shd w:val="clear" w:color="auto" w:fill="D9E2F3"/>
            <w:vAlign w:val="center"/>
            <w:hideMark/>
          </w:tcPr>
          <w:p w14:paraId="091DBAA5"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7BB444D1"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66D17A70" w14:textId="77777777" w:rsidR="008C311C" w:rsidRPr="008C311C" w:rsidRDefault="008C311C">
            <w:pPr>
              <w:jc w:val="center"/>
              <w:rPr>
                <w:rFonts w:asciiTheme="minorHAnsi" w:hAnsiTheme="minorHAnsi" w:cstheme="minorHAnsi"/>
                <w:b/>
                <w:bCs/>
                <w:sz w:val="14"/>
                <w:szCs w:val="14"/>
              </w:rPr>
            </w:pPr>
            <w:r w:rsidRPr="008C311C">
              <w:rPr>
                <w:rFonts w:asciiTheme="minorHAnsi" w:hAnsiTheme="minorHAnsi" w:cstheme="minorHAnsi"/>
                <w:b/>
                <w:bCs/>
                <w:sz w:val="14"/>
                <w:szCs w:val="14"/>
              </w:rPr>
              <w:t> </w:t>
            </w:r>
          </w:p>
        </w:tc>
        <w:tc>
          <w:tcPr>
            <w:tcW w:w="5954" w:type="dxa"/>
            <w:tcBorders>
              <w:top w:val="nil"/>
              <w:left w:val="nil"/>
              <w:bottom w:val="single" w:sz="4" w:space="0" w:color="FFFFFF"/>
              <w:right w:val="single" w:sz="4" w:space="0" w:color="FFFFFF"/>
            </w:tcBorders>
            <w:shd w:val="clear" w:color="auto" w:fill="D9E2F3"/>
            <w:noWrap/>
            <w:vAlign w:val="center"/>
            <w:hideMark/>
          </w:tcPr>
          <w:p w14:paraId="0D530444" w14:textId="77777777" w:rsidR="008C311C" w:rsidRPr="008C311C" w:rsidRDefault="008C311C">
            <w:pPr>
              <w:ind w:firstLineChars="100" w:firstLine="140"/>
              <w:rPr>
                <w:rFonts w:asciiTheme="minorHAnsi" w:hAnsiTheme="minorHAnsi" w:cstheme="minorHAnsi"/>
                <w:sz w:val="14"/>
                <w:szCs w:val="14"/>
              </w:rPr>
            </w:pPr>
            <w:r w:rsidRPr="008C311C">
              <w:rPr>
                <w:rFonts w:asciiTheme="minorHAnsi" w:hAnsiTheme="minorHAnsi" w:cstheme="minorHAnsi"/>
                <w:sz w:val="14"/>
                <w:szCs w:val="14"/>
              </w:rPr>
              <w:t>Evolução da massa salarial (sem efeito de volume)</w:t>
            </w:r>
          </w:p>
        </w:tc>
        <w:tc>
          <w:tcPr>
            <w:tcW w:w="992" w:type="dxa"/>
            <w:tcBorders>
              <w:top w:val="nil"/>
              <w:left w:val="nil"/>
              <w:bottom w:val="single" w:sz="4" w:space="0" w:color="FFFFFF"/>
              <w:right w:val="single" w:sz="4" w:space="0" w:color="FFFFFF"/>
            </w:tcBorders>
            <w:shd w:val="clear" w:color="auto" w:fill="D9E2F3"/>
            <w:noWrap/>
            <w:vAlign w:val="center"/>
            <w:hideMark/>
          </w:tcPr>
          <w:p w14:paraId="44D7558E" w14:textId="2A5FACA4" w:rsidR="008C311C" w:rsidRPr="008C311C" w:rsidRDefault="00077840">
            <w:pPr>
              <w:jc w:val="center"/>
              <w:rPr>
                <w:rFonts w:asciiTheme="minorHAnsi" w:hAnsiTheme="minorHAnsi" w:cstheme="minorHAnsi"/>
                <w:sz w:val="14"/>
                <w:szCs w:val="14"/>
              </w:rPr>
            </w:pPr>
            <w:r>
              <w:rPr>
                <w:rFonts w:asciiTheme="minorHAnsi" w:hAnsiTheme="minorHAnsi" w:cstheme="minorHAnsi"/>
                <w:sz w:val="14"/>
                <w:szCs w:val="14"/>
              </w:rPr>
              <w:t>S</w:t>
            </w:r>
            <w:r w:rsidR="008C311C" w:rsidRPr="008C311C">
              <w:rPr>
                <w:rFonts w:asciiTheme="minorHAnsi" w:hAnsiTheme="minorHAnsi" w:cstheme="minorHAnsi"/>
                <w:sz w:val="14"/>
                <w:szCs w:val="14"/>
              </w:rPr>
              <w:t> </w:t>
            </w:r>
          </w:p>
        </w:tc>
        <w:tc>
          <w:tcPr>
            <w:tcW w:w="851" w:type="dxa"/>
            <w:tcBorders>
              <w:top w:val="nil"/>
              <w:left w:val="nil"/>
              <w:bottom w:val="single" w:sz="4" w:space="0" w:color="FFFFFF"/>
            </w:tcBorders>
            <w:shd w:val="clear" w:color="auto" w:fill="D9E2F3"/>
            <w:vAlign w:val="center"/>
            <w:hideMark/>
          </w:tcPr>
          <w:p w14:paraId="13FA12EA"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28F84726"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4DC0ED67" w14:textId="77777777" w:rsidR="008C311C" w:rsidRPr="008C311C" w:rsidRDefault="008C311C">
            <w:pPr>
              <w:jc w:val="center"/>
              <w:rPr>
                <w:rFonts w:asciiTheme="minorHAnsi" w:hAnsiTheme="minorHAnsi" w:cstheme="minorHAnsi"/>
                <w:b/>
                <w:bCs/>
                <w:sz w:val="14"/>
                <w:szCs w:val="14"/>
              </w:rPr>
            </w:pPr>
            <w:r w:rsidRPr="008C311C">
              <w:rPr>
                <w:rFonts w:asciiTheme="minorHAnsi" w:hAnsiTheme="minorHAnsi" w:cstheme="minorHAnsi"/>
                <w:b/>
                <w:bCs/>
                <w:sz w:val="14"/>
                <w:szCs w:val="14"/>
              </w:rPr>
              <w:t>4</w:t>
            </w:r>
          </w:p>
        </w:tc>
        <w:tc>
          <w:tcPr>
            <w:tcW w:w="5954" w:type="dxa"/>
            <w:tcBorders>
              <w:top w:val="nil"/>
              <w:left w:val="nil"/>
              <w:bottom w:val="single" w:sz="4" w:space="0" w:color="FFFFFF"/>
              <w:right w:val="single" w:sz="4" w:space="0" w:color="FFFFFF"/>
            </w:tcBorders>
            <w:shd w:val="clear" w:color="auto" w:fill="D9E2F3"/>
            <w:noWrap/>
            <w:vAlign w:val="center"/>
            <w:hideMark/>
          </w:tcPr>
          <w:p w14:paraId="7D605C69" w14:textId="77777777" w:rsidR="008C311C" w:rsidRPr="008C311C" w:rsidRDefault="008C311C">
            <w:pPr>
              <w:rPr>
                <w:rFonts w:asciiTheme="minorHAnsi" w:hAnsiTheme="minorHAnsi" w:cstheme="minorHAnsi"/>
                <w:b/>
                <w:bCs/>
                <w:sz w:val="14"/>
                <w:szCs w:val="14"/>
              </w:rPr>
            </w:pPr>
            <w:r w:rsidRPr="008C311C">
              <w:rPr>
                <w:rFonts w:asciiTheme="minorHAnsi" w:hAnsiTheme="minorHAnsi" w:cstheme="minorHAnsi"/>
                <w:b/>
                <w:bCs/>
                <w:sz w:val="14"/>
                <w:szCs w:val="14"/>
              </w:rPr>
              <w:t>Plano de Investimentos</w:t>
            </w:r>
          </w:p>
        </w:tc>
        <w:tc>
          <w:tcPr>
            <w:tcW w:w="992" w:type="dxa"/>
            <w:tcBorders>
              <w:top w:val="nil"/>
              <w:left w:val="nil"/>
              <w:bottom w:val="single" w:sz="4" w:space="0" w:color="FFFFFF"/>
              <w:right w:val="single" w:sz="4" w:space="0" w:color="FFFFFF"/>
            </w:tcBorders>
            <w:shd w:val="clear" w:color="auto" w:fill="D9E2F3"/>
            <w:noWrap/>
            <w:vAlign w:val="center"/>
            <w:hideMark/>
          </w:tcPr>
          <w:p w14:paraId="74C619BC" w14:textId="3BC4E72E"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r w:rsidR="00077840" w:rsidRPr="008C311C">
              <w:rPr>
                <w:rFonts w:asciiTheme="minorHAnsi" w:hAnsiTheme="minorHAnsi" w:cstheme="minorHAnsi"/>
                <w:sz w:val="14"/>
                <w:szCs w:val="14"/>
              </w:rPr>
              <w:t> </w:t>
            </w:r>
            <w:r w:rsidR="00077840">
              <w:rPr>
                <w:rFonts w:asciiTheme="minorHAnsi" w:hAnsiTheme="minorHAnsi" w:cstheme="minorHAnsi"/>
                <w:sz w:val="14"/>
                <w:szCs w:val="14"/>
              </w:rPr>
              <w:t>N.A.</w:t>
            </w:r>
          </w:p>
        </w:tc>
        <w:tc>
          <w:tcPr>
            <w:tcW w:w="851" w:type="dxa"/>
            <w:tcBorders>
              <w:top w:val="nil"/>
              <w:left w:val="nil"/>
              <w:bottom w:val="single" w:sz="4" w:space="0" w:color="FFFFFF"/>
            </w:tcBorders>
            <w:shd w:val="clear" w:color="auto" w:fill="D9E2F3"/>
            <w:vAlign w:val="center"/>
            <w:hideMark/>
          </w:tcPr>
          <w:p w14:paraId="6ED62938"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243B55FB"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57CE55BE" w14:textId="77777777" w:rsidR="008C311C" w:rsidRPr="008C311C" w:rsidRDefault="008C311C">
            <w:pPr>
              <w:jc w:val="center"/>
              <w:rPr>
                <w:rFonts w:asciiTheme="minorHAnsi" w:hAnsiTheme="minorHAnsi" w:cstheme="minorHAnsi"/>
                <w:b/>
                <w:bCs/>
                <w:sz w:val="14"/>
                <w:szCs w:val="14"/>
              </w:rPr>
            </w:pPr>
            <w:r w:rsidRPr="008C311C">
              <w:rPr>
                <w:rFonts w:asciiTheme="minorHAnsi" w:hAnsiTheme="minorHAnsi" w:cstheme="minorHAnsi"/>
                <w:b/>
                <w:bCs/>
                <w:sz w:val="14"/>
                <w:szCs w:val="14"/>
              </w:rPr>
              <w:t>5</w:t>
            </w:r>
          </w:p>
        </w:tc>
        <w:tc>
          <w:tcPr>
            <w:tcW w:w="5954" w:type="dxa"/>
            <w:tcBorders>
              <w:top w:val="nil"/>
              <w:left w:val="nil"/>
              <w:bottom w:val="single" w:sz="4" w:space="0" w:color="FFFFFF"/>
              <w:right w:val="single" w:sz="4" w:space="0" w:color="FFFFFF"/>
            </w:tcBorders>
            <w:shd w:val="clear" w:color="auto" w:fill="D9E2F3"/>
            <w:noWrap/>
            <w:vAlign w:val="center"/>
            <w:hideMark/>
          </w:tcPr>
          <w:p w14:paraId="21BC4B2B" w14:textId="77777777" w:rsidR="008C311C" w:rsidRPr="008C311C" w:rsidRDefault="008C311C">
            <w:pPr>
              <w:rPr>
                <w:rFonts w:asciiTheme="minorHAnsi" w:hAnsiTheme="minorHAnsi" w:cstheme="minorHAnsi"/>
                <w:b/>
                <w:bCs/>
                <w:sz w:val="14"/>
                <w:szCs w:val="14"/>
              </w:rPr>
            </w:pPr>
            <w:r w:rsidRPr="008C311C">
              <w:rPr>
                <w:rFonts w:asciiTheme="minorHAnsi" w:hAnsiTheme="minorHAnsi" w:cstheme="minorHAnsi"/>
                <w:b/>
                <w:bCs/>
                <w:sz w:val="14"/>
                <w:szCs w:val="14"/>
              </w:rPr>
              <w:t>Contratualização de Serviço Público</w:t>
            </w:r>
          </w:p>
        </w:tc>
        <w:tc>
          <w:tcPr>
            <w:tcW w:w="992" w:type="dxa"/>
            <w:tcBorders>
              <w:top w:val="nil"/>
              <w:left w:val="nil"/>
              <w:bottom w:val="single" w:sz="4" w:space="0" w:color="FFFFFF"/>
              <w:right w:val="single" w:sz="4" w:space="0" w:color="FFFFFF"/>
            </w:tcBorders>
            <w:shd w:val="clear" w:color="auto" w:fill="D9E2F3"/>
            <w:noWrap/>
            <w:vAlign w:val="center"/>
            <w:hideMark/>
          </w:tcPr>
          <w:p w14:paraId="4F9C6EBC" w14:textId="0BE5B5E1" w:rsidR="008C311C" w:rsidRPr="008C311C" w:rsidRDefault="00077840">
            <w:pPr>
              <w:jc w:val="center"/>
              <w:rPr>
                <w:rFonts w:asciiTheme="minorHAnsi" w:hAnsiTheme="minorHAnsi" w:cstheme="minorHAnsi"/>
                <w:sz w:val="14"/>
                <w:szCs w:val="14"/>
              </w:rPr>
            </w:pPr>
            <w:r w:rsidRPr="008C311C">
              <w:rPr>
                <w:rFonts w:asciiTheme="minorHAnsi" w:hAnsiTheme="minorHAnsi" w:cstheme="minorHAnsi"/>
                <w:sz w:val="14"/>
                <w:szCs w:val="14"/>
              </w:rPr>
              <w:t> </w:t>
            </w:r>
            <w:r>
              <w:rPr>
                <w:rFonts w:asciiTheme="minorHAnsi" w:hAnsiTheme="minorHAnsi" w:cstheme="minorHAnsi"/>
                <w:sz w:val="14"/>
                <w:szCs w:val="14"/>
              </w:rPr>
              <w:t>N.A.</w:t>
            </w:r>
            <w:r w:rsidR="008C311C" w:rsidRPr="008C311C">
              <w:rPr>
                <w:rFonts w:asciiTheme="minorHAnsi" w:hAnsiTheme="minorHAnsi" w:cstheme="minorHAnsi"/>
                <w:sz w:val="14"/>
                <w:szCs w:val="14"/>
              </w:rPr>
              <w:t> </w:t>
            </w:r>
          </w:p>
        </w:tc>
        <w:tc>
          <w:tcPr>
            <w:tcW w:w="851" w:type="dxa"/>
            <w:tcBorders>
              <w:top w:val="nil"/>
              <w:left w:val="nil"/>
              <w:bottom w:val="single" w:sz="4" w:space="0" w:color="FFFFFF"/>
            </w:tcBorders>
            <w:shd w:val="clear" w:color="auto" w:fill="D9E2F3"/>
            <w:vAlign w:val="center"/>
            <w:hideMark/>
          </w:tcPr>
          <w:p w14:paraId="3F511264"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54DA059C"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135E34E2" w14:textId="77777777" w:rsidR="008C311C" w:rsidRPr="008C311C" w:rsidRDefault="008C311C">
            <w:pPr>
              <w:jc w:val="center"/>
              <w:rPr>
                <w:rFonts w:asciiTheme="minorHAnsi" w:hAnsiTheme="minorHAnsi" w:cstheme="minorHAnsi"/>
                <w:b/>
                <w:bCs/>
                <w:sz w:val="14"/>
                <w:szCs w:val="14"/>
              </w:rPr>
            </w:pPr>
            <w:r w:rsidRPr="008C311C">
              <w:rPr>
                <w:rFonts w:asciiTheme="minorHAnsi" w:hAnsiTheme="minorHAnsi" w:cstheme="minorHAnsi"/>
                <w:b/>
                <w:bCs/>
                <w:sz w:val="14"/>
                <w:szCs w:val="14"/>
              </w:rPr>
              <w:t> </w:t>
            </w:r>
          </w:p>
        </w:tc>
        <w:tc>
          <w:tcPr>
            <w:tcW w:w="5954" w:type="dxa"/>
            <w:tcBorders>
              <w:top w:val="nil"/>
              <w:left w:val="nil"/>
              <w:bottom w:val="single" w:sz="4" w:space="0" w:color="FFFFFF"/>
              <w:right w:val="single" w:sz="4" w:space="0" w:color="FFFFFF"/>
            </w:tcBorders>
            <w:shd w:val="clear" w:color="auto" w:fill="D9E2F3"/>
            <w:noWrap/>
            <w:vAlign w:val="center"/>
            <w:hideMark/>
          </w:tcPr>
          <w:p w14:paraId="201F8C82" w14:textId="77777777" w:rsidR="008C311C" w:rsidRPr="008C311C" w:rsidRDefault="008C311C">
            <w:pPr>
              <w:ind w:firstLineChars="100" w:firstLine="140"/>
              <w:rPr>
                <w:rFonts w:asciiTheme="minorHAnsi" w:hAnsiTheme="minorHAnsi" w:cstheme="minorHAnsi"/>
                <w:sz w:val="14"/>
                <w:szCs w:val="14"/>
              </w:rPr>
            </w:pPr>
            <w:r w:rsidRPr="008C311C">
              <w:rPr>
                <w:rFonts w:asciiTheme="minorHAnsi" w:hAnsiTheme="minorHAnsi" w:cstheme="minorHAnsi"/>
                <w:sz w:val="14"/>
                <w:szCs w:val="14"/>
              </w:rPr>
              <w:t>Indicadores, metas e execução</w:t>
            </w:r>
          </w:p>
        </w:tc>
        <w:tc>
          <w:tcPr>
            <w:tcW w:w="992" w:type="dxa"/>
            <w:tcBorders>
              <w:top w:val="nil"/>
              <w:left w:val="nil"/>
              <w:bottom w:val="single" w:sz="4" w:space="0" w:color="FFFFFF"/>
              <w:right w:val="single" w:sz="4" w:space="0" w:color="FFFFFF"/>
            </w:tcBorders>
            <w:shd w:val="clear" w:color="auto" w:fill="D9E2F3"/>
            <w:noWrap/>
            <w:vAlign w:val="center"/>
            <w:hideMark/>
          </w:tcPr>
          <w:p w14:paraId="755E18DC"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851" w:type="dxa"/>
            <w:tcBorders>
              <w:top w:val="nil"/>
              <w:left w:val="nil"/>
              <w:bottom w:val="single" w:sz="4" w:space="0" w:color="FFFFFF"/>
            </w:tcBorders>
            <w:shd w:val="clear" w:color="auto" w:fill="D9E2F3"/>
            <w:vAlign w:val="center"/>
            <w:hideMark/>
          </w:tcPr>
          <w:p w14:paraId="35ECB49F"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60ED878B"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4B16274F" w14:textId="77777777" w:rsidR="008C311C" w:rsidRPr="008C311C" w:rsidRDefault="008C311C">
            <w:pPr>
              <w:jc w:val="center"/>
              <w:rPr>
                <w:rFonts w:asciiTheme="minorHAnsi" w:hAnsiTheme="minorHAnsi" w:cstheme="minorHAnsi"/>
                <w:b/>
                <w:bCs/>
                <w:sz w:val="14"/>
                <w:szCs w:val="14"/>
              </w:rPr>
            </w:pPr>
            <w:r w:rsidRPr="008C311C">
              <w:rPr>
                <w:rFonts w:asciiTheme="minorHAnsi" w:hAnsiTheme="minorHAnsi" w:cstheme="minorHAnsi"/>
                <w:b/>
                <w:bCs/>
                <w:sz w:val="14"/>
                <w:szCs w:val="14"/>
              </w:rPr>
              <w:t> </w:t>
            </w:r>
          </w:p>
        </w:tc>
        <w:tc>
          <w:tcPr>
            <w:tcW w:w="5954" w:type="dxa"/>
            <w:tcBorders>
              <w:top w:val="nil"/>
              <w:left w:val="nil"/>
              <w:bottom w:val="single" w:sz="4" w:space="0" w:color="FFFFFF"/>
              <w:right w:val="single" w:sz="4" w:space="0" w:color="FFFFFF"/>
            </w:tcBorders>
            <w:shd w:val="clear" w:color="auto" w:fill="D9E2F3"/>
            <w:noWrap/>
            <w:vAlign w:val="center"/>
            <w:hideMark/>
          </w:tcPr>
          <w:p w14:paraId="2BEEE249" w14:textId="77777777" w:rsidR="008C311C" w:rsidRPr="008C311C" w:rsidRDefault="008C311C">
            <w:pPr>
              <w:ind w:firstLineChars="100" w:firstLine="140"/>
              <w:rPr>
                <w:rFonts w:asciiTheme="minorHAnsi" w:hAnsiTheme="minorHAnsi" w:cstheme="minorHAnsi"/>
                <w:sz w:val="14"/>
                <w:szCs w:val="14"/>
              </w:rPr>
            </w:pPr>
            <w:r w:rsidRPr="008C311C">
              <w:rPr>
                <w:rFonts w:asciiTheme="minorHAnsi" w:hAnsiTheme="minorHAnsi" w:cstheme="minorHAnsi"/>
                <w:sz w:val="14"/>
                <w:szCs w:val="14"/>
              </w:rPr>
              <w:t>Compensações recebidas</w:t>
            </w:r>
          </w:p>
        </w:tc>
        <w:tc>
          <w:tcPr>
            <w:tcW w:w="992" w:type="dxa"/>
            <w:tcBorders>
              <w:top w:val="nil"/>
              <w:left w:val="nil"/>
              <w:bottom w:val="single" w:sz="4" w:space="0" w:color="FFFFFF"/>
              <w:right w:val="single" w:sz="4" w:space="0" w:color="FFFFFF"/>
            </w:tcBorders>
            <w:shd w:val="clear" w:color="auto" w:fill="D9E2F3"/>
            <w:noWrap/>
            <w:vAlign w:val="center"/>
            <w:hideMark/>
          </w:tcPr>
          <w:p w14:paraId="066BC32B"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851" w:type="dxa"/>
            <w:tcBorders>
              <w:top w:val="nil"/>
              <w:left w:val="nil"/>
              <w:bottom w:val="single" w:sz="4" w:space="0" w:color="FFFFFF"/>
            </w:tcBorders>
            <w:shd w:val="clear" w:color="auto" w:fill="D9E2F3"/>
            <w:vAlign w:val="center"/>
            <w:hideMark/>
          </w:tcPr>
          <w:p w14:paraId="6F2B0862"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3F63BEC2"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1375C7B9" w14:textId="77777777" w:rsidR="008C311C" w:rsidRPr="008C311C" w:rsidRDefault="008C311C">
            <w:pPr>
              <w:jc w:val="center"/>
              <w:rPr>
                <w:rFonts w:asciiTheme="minorHAnsi" w:hAnsiTheme="minorHAnsi" w:cstheme="minorHAnsi"/>
                <w:b/>
                <w:bCs/>
                <w:sz w:val="14"/>
                <w:szCs w:val="14"/>
              </w:rPr>
            </w:pPr>
            <w:r w:rsidRPr="008C311C">
              <w:rPr>
                <w:rFonts w:asciiTheme="minorHAnsi" w:hAnsiTheme="minorHAnsi" w:cstheme="minorHAnsi"/>
                <w:b/>
                <w:bCs/>
                <w:sz w:val="14"/>
                <w:szCs w:val="14"/>
              </w:rPr>
              <w:t>6</w:t>
            </w:r>
          </w:p>
        </w:tc>
        <w:tc>
          <w:tcPr>
            <w:tcW w:w="5954" w:type="dxa"/>
            <w:tcBorders>
              <w:top w:val="nil"/>
              <w:left w:val="nil"/>
              <w:bottom w:val="single" w:sz="4" w:space="0" w:color="FFFFFF"/>
              <w:right w:val="single" w:sz="4" w:space="0" w:color="FFFFFF"/>
            </w:tcBorders>
            <w:shd w:val="clear" w:color="auto" w:fill="D9E2F3"/>
            <w:noWrap/>
            <w:vAlign w:val="center"/>
            <w:hideMark/>
          </w:tcPr>
          <w:p w14:paraId="287BD116" w14:textId="77777777" w:rsidR="008C311C" w:rsidRPr="008C311C" w:rsidRDefault="008C311C">
            <w:pPr>
              <w:rPr>
                <w:rFonts w:asciiTheme="minorHAnsi" w:hAnsiTheme="minorHAnsi" w:cstheme="minorHAnsi"/>
                <w:b/>
                <w:bCs/>
                <w:sz w:val="14"/>
                <w:szCs w:val="14"/>
              </w:rPr>
            </w:pPr>
            <w:r w:rsidRPr="008C311C">
              <w:rPr>
                <w:rFonts w:asciiTheme="minorHAnsi" w:hAnsiTheme="minorHAnsi" w:cstheme="minorHAnsi"/>
                <w:b/>
                <w:bCs/>
                <w:sz w:val="14"/>
                <w:szCs w:val="14"/>
              </w:rPr>
              <w:t>Gestão do Risco Financeiro</w:t>
            </w:r>
          </w:p>
        </w:tc>
        <w:tc>
          <w:tcPr>
            <w:tcW w:w="992" w:type="dxa"/>
            <w:tcBorders>
              <w:top w:val="nil"/>
              <w:left w:val="nil"/>
              <w:bottom w:val="single" w:sz="4" w:space="0" w:color="FFFFFF"/>
              <w:right w:val="single" w:sz="4" w:space="0" w:color="FFFFFF"/>
            </w:tcBorders>
            <w:shd w:val="clear" w:color="auto" w:fill="D9E2F3"/>
            <w:noWrap/>
            <w:vAlign w:val="center"/>
            <w:hideMark/>
          </w:tcPr>
          <w:p w14:paraId="3110FA68" w14:textId="067F3296" w:rsidR="008C311C" w:rsidRPr="008C311C" w:rsidRDefault="00077840">
            <w:pPr>
              <w:jc w:val="center"/>
              <w:rPr>
                <w:rFonts w:asciiTheme="minorHAnsi" w:hAnsiTheme="minorHAnsi" w:cstheme="minorHAnsi"/>
                <w:sz w:val="14"/>
                <w:szCs w:val="14"/>
              </w:rPr>
            </w:pPr>
            <w:r>
              <w:rPr>
                <w:rFonts w:asciiTheme="minorHAnsi" w:hAnsiTheme="minorHAnsi" w:cstheme="minorHAnsi"/>
                <w:sz w:val="14"/>
                <w:szCs w:val="14"/>
              </w:rPr>
              <w:t>S</w:t>
            </w:r>
            <w:r w:rsidR="008C311C" w:rsidRPr="008C311C">
              <w:rPr>
                <w:rFonts w:asciiTheme="minorHAnsi" w:hAnsiTheme="minorHAnsi" w:cstheme="minorHAnsi"/>
                <w:sz w:val="14"/>
                <w:szCs w:val="14"/>
              </w:rPr>
              <w:t> </w:t>
            </w:r>
          </w:p>
        </w:tc>
        <w:tc>
          <w:tcPr>
            <w:tcW w:w="851" w:type="dxa"/>
            <w:tcBorders>
              <w:top w:val="nil"/>
              <w:left w:val="nil"/>
              <w:bottom w:val="single" w:sz="4" w:space="0" w:color="FFFFFF"/>
            </w:tcBorders>
            <w:shd w:val="clear" w:color="auto" w:fill="D9E2F3"/>
            <w:vAlign w:val="center"/>
            <w:hideMark/>
          </w:tcPr>
          <w:p w14:paraId="73633135"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79DDEA3E"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7099DFBB" w14:textId="77777777" w:rsidR="008C311C" w:rsidRPr="008C311C" w:rsidRDefault="008C311C">
            <w:pPr>
              <w:jc w:val="center"/>
              <w:rPr>
                <w:rFonts w:asciiTheme="minorHAnsi" w:hAnsiTheme="minorHAnsi" w:cstheme="minorHAnsi"/>
                <w:b/>
                <w:bCs/>
                <w:sz w:val="14"/>
                <w:szCs w:val="14"/>
              </w:rPr>
            </w:pPr>
            <w:r w:rsidRPr="008C311C">
              <w:rPr>
                <w:rFonts w:asciiTheme="minorHAnsi" w:hAnsiTheme="minorHAnsi" w:cstheme="minorHAnsi"/>
                <w:b/>
                <w:bCs/>
                <w:sz w:val="14"/>
                <w:szCs w:val="14"/>
              </w:rPr>
              <w:t>7</w:t>
            </w:r>
          </w:p>
        </w:tc>
        <w:tc>
          <w:tcPr>
            <w:tcW w:w="5954" w:type="dxa"/>
            <w:tcBorders>
              <w:top w:val="nil"/>
              <w:left w:val="nil"/>
              <w:bottom w:val="single" w:sz="4" w:space="0" w:color="FFFFFF"/>
              <w:right w:val="single" w:sz="4" w:space="0" w:color="FFFFFF"/>
            </w:tcBorders>
            <w:shd w:val="clear" w:color="auto" w:fill="D9E2F3"/>
            <w:noWrap/>
            <w:vAlign w:val="center"/>
            <w:hideMark/>
          </w:tcPr>
          <w:p w14:paraId="5A28FF2B" w14:textId="77777777" w:rsidR="008C311C" w:rsidRPr="008C311C" w:rsidRDefault="008C311C">
            <w:pPr>
              <w:rPr>
                <w:rFonts w:asciiTheme="minorHAnsi" w:hAnsiTheme="minorHAnsi" w:cstheme="minorHAnsi"/>
                <w:b/>
                <w:bCs/>
                <w:sz w:val="14"/>
                <w:szCs w:val="14"/>
              </w:rPr>
            </w:pPr>
            <w:r w:rsidRPr="008C311C">
              <w:rPr>
                <w:rFonts w:asciiTheme="minorHAnsi" w:hAnsiTheme="minorHAnsi" w:cstheme="minorHAnsi"/>
                <w:b/>
                <w:bCs/>
                <w:sz w:val="14"/>
                <w:szCs w:val="14"/>
              </w:rPr>
              <w:t>Limites de Crescimento do Endividamento</w:t>
            </w:r>
          </w:p>
        </w:tc>
        <w:tc>
          <w:tcPr>
            <w:tcW w:w="992" w:type="dxa"/>
            <w:tcBorders>
              <w:top w:val="nil"/>
              <w:left w:val="nil"/>
              <w:bottom w:val="single" w:sz="4" w:space="0" w:color="FFFFFF"/>
              <w:right w:val="single" w:sz="4" w:space="0" w:color="FFFFFF"/>
            </w:tcBorders>
            <w:shd w:val="clear" w:color="auto" w:fill="D9E2F3"/>
            <w:noWrap/>
            <w:vAlign w:val="center"/>
            <w:hideMark/>
          </w:tcPr>
          <w:p w14:paraId="71D206BC" w14:textId="58C460A9" w:rsidR="008C311C" w:rsidRPr="008C311C" w:rsidRDefault="00077840">
            <w:pPr>
              <w:jc w:val="center"/>
              <w:rPr>
                <w:rFonts w:asciiTheme="minorHAnsi" w:hAnsiTheme="minorHAnsi" w:cstheme="minorHAnsi"/>
                <w:sz w:val="14"/>
                <w:szCs w:val="14"/>
              </w:rPr>
            </w:pPr>
            <w:r>
              <w:rPr>
                <w:rFonts w:asciiTheme="minorHAnsi" w:hAnsiTheme="minorHAnsi" w:cstheme="minorHAnsi"/>
                <w:sz w:val="14"/>
                <w:szCs w:val="14"/>
              </w:rPr>
              <w:t>S</w:t>
            </w:r>
            <w:r w:rsidR="008C311C" w:rsidRPr="008C311C">
              <w:rPr>
                <w:rFonts w:asciiTheme="minorHAnsi" w:hAnsiTheme="minorHAnsi" w:cstheme="minorHAnsi"/>
                <w:sz w:val="14"/>
                <w:szCs w:val="14"/>
              </w:rPr>
              <w:t> </w:t>
            </w:r>
          </w:p>
        </w:tc>
        <w:tc>
          <w:tcPr>
            <w:tcW w:w="851" w:type="dxa"/>
            <w:tcBorders>
              <w:top w:val="nil"/>
              <w:left w:val="nil"/>
              <w:bottom w:val="single" w:sz="4" w:space="0" w:color="FFFFFF"/>
            </w:tcBorders>
            <w:shd w:val="clear" w:color="auto" w:fill="D9E2F3"/>
            <w:vAlign w:val="center"/>
            <w:hideMark/>
          </w:tcPr>
          <w:p w14:paraId="21594CA4"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30FB2864"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51705557" w14:textId="77777777" w:rsidR="008C311C" w:rsidRPr="008C311C" w:rsidRDefault="008C311C">
            <w:pPr>
              <w:jc w:val="center"/>
              <w:rPr>
                <w:rFonts w:asciiTheme="minorHAnsi" w:hAnsiTheme="minorHAnsi" w:cstheme="minorHAnsi"/>
                <w:b/>
                <w:bCs/>
                <w:sz w:val="14"/>
                <w:szCs w:val="14"/>
              </w:rPr>
            </w:pPr>
            <w:r w:rsidRPr="008C311C">
              <w:rPr>
                <w:rFonts w:asciiTheme="minorHAnsi" w:hAnsiTheme="minorHAnsi" w:cstheme="minorHAnsi"/>
                <w:b/>
                <w:bCs/>
                <w:sz w:val="14"/>
                <w:szCs w:val="14"/>
              </w:rPr>
              <w:t>8</w:t>
            </w:r>
          </w:p>
        </w:tc>
        <w:tc>
          <w:tcPr>
            <w:tcW w:w="5954" w:type="dxa"/>
            <w:tcBorders>
              <w:top w:val="nil"/>
              <w:left w:val="nil"/>
              <w:bottom w:val="single" w:sz="4" w:space="0" w:color="FFFFFF"/>
              <w:right w:val="single" w:sz="4" w:space="0" w:color="FFFFFF"/>
            </w:tcBorders>
            <w:shd w:val="clear" w:color="auto" w:fill="D9E2F3"/>
            <w:noWrap/>
            <w:vAlign w:val="center"/>
            <w:hideMark/>
          </w:tcPr>
          <w:p w14:paraId="5D86DE85" w14:textId="77777777" w:rsidR="008C311C" w:rsidRPr="008C311C" w:rsidRDefault="008C311C">
            <w:pPr>
              <w:rPr>
                <w:rFonts w:asciiTheme="minorHAnsi" w:hAnsiTheme="minorHAnsi" w:cstheme="minorHAnsi"/>
                <w:b/>
                <w:bCs/>
                <w:sz w:val="14"/>
                <w:szCs w:val="14"/>
              </w:rPr>
            </w:pPr>
            <w:r w:rsidRPr="008C311C">
              <w:rPr>
                <w:rFonts w:asciiTheme="minorHAnsi" w:hAnsiTheme="minorHAnsi" w:cstheme="minorHAnsi"/>
                <w:b/>
                <w:bCs/>
                <w:sz w:val="14"/>
                <w:szCs w:val="14"/>
              </w:rPr>
              <w:t>Princípio da Unidade de Tesouraria do Estado</w:t>
            </w:r>
          </w:p>
        </w:tc>
        <w:tc>
          <w:tcPr>
            <w:tcW w:w="992" w:type="dxa"/>
            <w:tcBorders>
              <w:top w:val="nil"/>
              <w:left w:val="nil"/>
              <w:bottom w:val="single" w:sz="4" w:space="0" w:color="FFFFFF"/>
              <w:right w:val="single" w:sz="4" w:space="0" w:color="FFFFFF"/>
            </w:tcBorders>
            <w:shd w:val="clear" w:color="auto" w:fill="D9E2F3"/>
            <w:noWrap/>
            <w:vAlign w:val="center"/>
            <w:hideMark/>
          </w:tcPr>
          <w:p w14:paraId="1A136E15"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851" w:type="dxa"/>
            <w:tcBorders>
              <w:top w:val="nil"/>
              <w:left w:val="nil"/>
              <w:bottom w:val="single" w:sz="4" w:space="0" w:color="FFFFFF"/>
            </w:tcBorders>
            <w:shd w:val="clear" w:color="auto" w:fill="D9E2F3"/>
            <w:vAlign w:val="center"/>
            <w:hideMark/>
          </w:tcPr>
          <w:p w14:paraId="7672E654"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2D76E1C4"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2E49522E"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5954" w:type="dxa"/>
            <w:tcBorders>
              <w:top w:val="nil"/>
              <w:left w:val="nil"/>
              <w:bottom w:val="single" w:sz="4" w:space="0" w:color="FFFFFF"/>
              <w:right w:val="single" w:sz="4" w:space="0" w:color="FFFFFF"/>
            </w:tcBorders>
            <w:shd w:val="clear" w:color="auto" w:fill="D9E2F3"/>
            <w:noWrap/>
            <w:vAlign w:val="center"/>
            <w:hideMark/>
          </w:tcPr>
          <w:p w14:paraId="4DE27DFC" w14:textId="77777777" w:rsidR="008C311C" w:rsidRPr="008C311C" w:rsidRDefault="008C311C">
            <w:pPr>
              <w:ind w:firstLineChars="100" w:firstLine="140"/>
              <w:rPr>
                <w:rFonts w:asciiTheme="minorHAnsi" w:hAnsiTheme="minorHAnsi" w:cstheme="minorHAnsi"/>
                <w:sz w:val="14"/>
                <w:szCs w:val="14"/>
              </w:rPr>
            </w:pPr>
            <w:r w:rsidRPr="008C311C">
              <w:rPr>
                <w:rFonts w:asciiTheme="minorHAnsi" w:hAnsiTheme="minorHAnsi" w:cstheme="minorHAnsi"/>
                <w:sz w:val="14"/>
                <w:szCs w:val="14"/>
              </w:rPr>
              <w:t>Disponibilidades e aplicações centralizadas no IGCP</w:t>
            </w:r>
          </w:p>
        </w:tc>
        <w:tc>
          <w:tcPr>
            <w:tcW w:w="992" w:type="dxa"/>
            <w:tcBorders>
              <w:top w:val="nil"/>
              <w:left w:val="nil"/>
              <w:bottom w:val="single" w:sz="4" w:space="0" w:color="FFFFFF"/>
              <w:right w:val="single" w:sz="4" w:space="0" w:color="FFFFFF"/>
            </w:tcBorders>
            <w:shd w:val="clear" w:color="auto" w:fill="D9E2F3"/>
            <w:noWrap/>
            <w:vAlign w:val="center"/>
            <w:hideMark/>
          </w:tcPr>
          <w:p w14:paraId="05080D22" w14:textId="00BD07C5" w:rsidR="008C311C" w:rsidRPr="008C311C" w:rsidRDefault="00077840">
            <w:pPr>
              <w:jc w:val="center"/>
              <w:rPr>
                <w:rFonts w:asciiTheme="minorHAnsi" w:hAnsiTheme="minorHAnsi" w:cstheme="minorHAnsi"/>
                <w:sz w:val="14"/>
                <w:szCs w:val="14"/>
              </w:rPr>
            </w:pPr>
            <w:r>
              <w:rPr>
                <w:rFonts w:asciiTheme="minorHAnsi" w:hAnsiTheme="minorHAnsi" w:cstheme="minorHAnsi"/>
                <w:sz w:val="14"/>
                <w:szCs w:val="14"/>
              </w:rPr>
              <w:t>S</w:t>
            </w:r>
            <w:r w:rsidR="008C311C" w:rsidRPr="008C311C">
              <w:rPr>
                <w:rFonts w:asciiTheme="minorHAnsi" w:hAnsiTheme="minorHAnsi" w:cstheme="minorHAnsi"/>
                <w:sz w:val="14"/>
                <w:szCs w:val="14"/>
              </w:rPr>
              <w:t> </w:t>
            </w:r>
          </w:p>
        </w:tc>
        <w:tc>
          <w:tcPr>
            <w:tcW w:w="851" w:type="dxa"/>
            <w:tcBorders>
              <w:top w:val="nil"/>
              <w:left w:val="nil"/>
              <w:bottom w:val="single" w:sz="4" w:space="0" w:color="FFFFFF"/>
            </w:tcBorders>
            <w:shd w:val="clear" w:color="auto" w:fill="D9E2F3"/>
            <w:vAlign w:val="center"/>
            <w:hideMark/>
          </w:tcPr>
          <w:p w14:paraId="20EC8A00"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2D940B9C"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44BFE5C8"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5954" w:type="dxa"/>
            <w:tcBorders>
              <w:top w:val="nil"/>
              <w:left w:val="nil"/>
              <w:bottom w:val="single" w:sz="4" w:space="0" w:color="FFFFFF"/>
              <w:right w:val="single" w:sz="4" w:space="0" w:color="FFFFFF"/>
            </w:tcBorders>
            <w:shd w:val="clear" w:color="auto" w:fill="D9E2F3"/>
            <w:noWrap/>
            <w:vAlign w:val="center"/>
            <w:hideMark/>
          </w:tcPr>
          <w:p w14:paraId="10DF11BC" w14:textId="77777777" w:rsidR="008C311C" w:rsidRPr="008C311C" w:rsidRDefault="008C311C">
            <w:pPr>
              <w:ind w:firstLineChars="100" w:firstLine="140"/>
              <w:rPr>
                <w:rFonts w:asciiTheme="minorHAnsi" w:hAnsiTheme="minorHAnsi" w:cstheme="minorHAnsi"/>
                <w:sz w:val="14"/>
                <w:szCs w:val="14"/>
              </w:rPr>
            </w:pPr>
            <w:r w:rsidRPr="008C311C">
              <w:rPr>
                <w:rFonts w:asciiTheme="minorHAnsi" w:hAnsiTheme="minorHAnsi" w:cstheme="minorHAnsi"/>
                <w:sz w:val="14"/>
                <w:szCs w:val="14"/>
              </w:rPr>
              <w:t>Disponibilidades e aplicações na Banca Comercial</w:t>
            </w:r>
          </w:p>
        </w:tc>
        <w:tc>
          <w:tcPr>
            <w:tcW w:w="992" w:type="dxa"/>
            <w:tcBorders>
              <w:top w:val="nil"/>
              <w:left w:val="nil"/>
              <w:bottom w:val="single" w:sz="4" w:space="0" w:color="FFFFFF"/>
              <w:right w:val="single" w:sz="4" w:space="0" w:color="FFFFFF"/>
            </w:tcBorders>
            <w:shd w:val="clear" w:color="auto" w:fill="D9E2F3"/>
            <w:noWrap/>
            <w:vAlign w:val="center"/>
            <w:hideMark/>
          </w:tcPr>
          <w:p w14:paraId="58B8183C" w14:textId="53E68A82" w:rsidR="008C311C" w:rsidRPr="008C311C" w:rsidRDefault="00077840">
            <w:pPr>
              <w:jc w:val="center"/>
              <w:rPr>
                <w:rFonts w:asciiTheme="minorHAnsi" w:hAnsiTheme="minorHAnsi" w:cstheme="minorHAnsi"/>
                <w:sz w:val="14"/>
                <w:szCs w:val="14"/>
              </w:rPr>
            </w:pPr>
            <w:r>
              <w:rPr>
                <w:rFonts w:asciiTheme="minorHAnsi" w:hAnsiTheme="minorHAnsi" w:cstheme="minorHAnsi"/>
                <w:sz w:val="14"/>
                <w:szCs w:val="14"/>
              </w:rPr>
              <w:t>S</w:t>
            </w:r>
          </w:p>
        </w:tc>
        <w:tc>
          <w:tcPr>
            <w:tcW w:w="851" w:type="dxa"/>
            <w:tcBorders>
              <w:top w:val="nil"/>
              <w:left w:val="nil"/>
              <w:bottom w:val="single" w:sz="4" w:space="0" w:color="FFFFFF"/>
            </w:tcBorders>
            <w:shd w:val="clear" w:color="auto" w:fill="D9E2F3"/>
            <w:vAlign w:val="center"/>
            <w:hideMark/>
          </w:tcPr>
          <w:p w14:paraId="2986A5D1"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6258ACE2"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238E1A7E"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5954" w:type="dxa"/>
            <w:tcBorders>
              <w:top w:val="nil"/>
              <w:left w:val="nil"/>
              <w:bottom w:val="single" w:sz="4" w:space="0" w:color="FFFFFF"/>
              <w:right w:val="single" w:sz="4" w:space="0" w:color="FFFFFF"/>
            </w:tcBorders>
            <w:shd w:val="clear" w:color="auto" w:fill="D9E2F3"/>
            <w:noWrap/>
            <w:vAlign w:val="center"/>
            <w:hideMark/>
          </w:tcPr>
          <w:p w14:paraId="1D9B1DCE" w14:textId="77777777" w:rsidR="008C311C" w:rsidRPr="008C311C" w:rsidRDefault="008C311C">
            <w:pPr>
              <w:ind w:firstLineChars="100" w:firstLine="140"/>
              <w:rPr>
                <w:rFonts w:asciiTheme="minorHAnsi" w:hAnsiTheme="minorHAnsi" w:cstheme="minorHAnsi"/>
                <w:sz w:val="14"/>
                <w:szCs w:val="14"/>
              </w:rPr>
            </w:pPr>
            <w:r w:rsidRPr="008C311C">
              <w:rPr>
                <w:rFonts w:asciiTheme="minorHAnsi" w:hAnsiTheme="minorHAnsi" w:cstheme="minorHAnsi"/>
                <w:sz w:val="14"/>
                <w:szCs w:val="14"/>
              </w:rPr>
              <w:t>Juros auferidos e entregues em Receita do Estado</w:t>
            </w:r>
          </w:p>
        </w:tc>
        <w:tc>
          <w:tcPr>
            <w:tcW w:w="992" w:type="dxa"/>
            <w:tcBorders>
              <w:top w:val="nil"/>
              <w:left w:val="nil"/>
              <w:bottom w:val="single" w:sz="4" w:space="0" w:color="FFFFFF"/>
              <w:right w:val="single" w:sz="4" w:space="0" w:color="FFFFFF"/>
            </w:tcBorders>
            <w:shd w:val="clear" w:color="auto" w:fill="D9E2F3"/>
            <w:noWrap/>
            <w:vAlign w:val="center"/>
            <w:hideMark/>
          </w:tcPr>
          <w:p w14:paraId="62D32CFE" w14:textId="16B90AF8" w:rsidR="008C311C" w:rsidRPr="008C311C" w:rsidRDefault="00077840">
            <w:pPr>
              <w:jc w:val="center"/>
              <w:rPr>
                <w:rFonts w:asciiTheme="minorHAnsi" w:hAnsiTheme="minorHAnsi" w:cstheme="minorHAnsi"/>
                <w:sz w:val="14"/>
                <w:szCs w:val="14"/>
              </w:rPr>
            </w:pPr>
            <w:r w:rsidRPr="008C311C">
              <w:rPr>
                <w:rFonts w:asciiTheme="minorHAnsi" w:hAnsiTheme="minorHAnsi" w:cstheme="minorHAnsi"/>
                <w:sz w:val="14"/>
                <w:szCs w:val="14"/>
              </w:rPr>
              <w:t> </w:t>
            </w:r>
            <w:r>
              <w:rPr>
                <w:rFonts w:asciiTheme="minorHAnsi" w:hAnsiTheme="minorHAnsi" w:cstheme="minorHAnsi"/>
                <w:sz w:val="14"/>
                <w:szCs w:val="14"/>
              </w:rPr>
              <w:t>N.A.</w:t>
            </w:r>
            <w:r w:rsidR="008C311C" w:rsidRPr="008C311C">
              <w:rPr>
                <w:rFonts w:asciiTheme="minorHAnsi" w:hAnsiTheme="minorHAnsi" w:cstheme="minorHAnsi"/>
                <w:sz w:val="14"/>
                <w:szCs w:val="14"/>
              </w:rPr>
              <w:t> </w:t>
            </w:r>
          </w:p>
        </w:tc>
        <w:tc>
          <w:tcPr>
            <w:tcW w:w="851" w:type="dxa"/>
            <w:tcBorders>
              <w:top w:val="nil"/>
              <w:left w:val="nil"/>
              <w:bottom w:val="single" w:sz="4" w:space="0" w:color="FFFFFF"/>
            </w:tcBorders>
            <w:shd w:val="clear" w:color="auto" w:fill="D9E2F3"/>
            <w:vAlign w:val="center"/>
            <w:hideMark/>
          </w:tcPr>
          <w:p w14:paraId="5A71FF36"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336BCE96"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7EED3403"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5954" w:type="dxa"/>
            <w:tcBorders>
              <w:top w:val="nil"/>
              <w:left w:val="nil"/>
              <w:bottom w:val="single" w:sz="4" w:space="0" w:color="FFFFFF"/>
              <w:right w:val="single" w:sz="4" w:space="0" w:color="FFFFFF"/>
            </w:tcBorders>
            <w:shd w:val="clear" w:color="auto" w:fill="D9E2F3"/>
            <w:noWrap/>
            <w:vAlign w:val="center"/>
            <w:hideMark/>
          </w:tcPr>
          <w:p w14:paraId="6CF15617" w14:textId="77777777" w:rsidR="008C311C" w:rsidRPr="008C311C" w:rsidRDefault="008C311C">
            <w:pPr>
              <w:ind w:firstLineChars="100" w:firstLine="140"/>
              <w:rPr>
                <w:rFonts w:asciiTheme="minorHAnsi" w:hAnsiTheme="minorHAnsi" w:cstheme="minorHAnsi"/>
                <w:sz w:val="14"/>
                <w:szCs w:val="14"/>
              </w:rPr>
            </w:pPr>
            <w:r w:rsidRPr="008C311C">
              <w:rPr>
                <w:rFonts w:asciiTheme="minorHAnsi" w:hAnsiTheme="minorHAnsi" w:cstheme="minorHAnsi"/>
                <w:sz w:val="14"/>
                <w:szCs w:val="14"/>
              </w:rPr>
              <w:t>Identificação do(s) Despacho(s) autorizador(</w:t>
            </w:r>
            <w:proofErr w:type="spellStart"/>
            <w:r w:rsidRPr="008C311C">
              <w:rPr>
                <w:rFonts w:asciiTheme="minorHAnsi" w:hAnsiTheme="minorHAnsi" w:cstheme="minorHAnsi"/>
                <w:sz w:val="14"/>
                <w:szCs w:val="14"/>
              </w:rPr>
              <w:t>es</w:t>
            </w:r>
            <w:proofErr w:type="spellEnd"/>
            <w:r w:rsidRPr="008C311C">
              <w:rPr>
                <w:rFonts w:asciiTheme="minorHAnsi" w:hAnsiTheme="minorHAnsi" w:cstheme="minorHAnsi"/>
                <w:sz w:val="14"/>
                <w:szCs w:val="14"/>
              </w:rPr>
              <w:t xml:space="preserve">) do </w:t>
            </w:r>
            <w:proofErr w:type="spellStart"/>
            <w:r w:rsidRPr="008C311C">
              <w:rPr>
                <w:rFonts w:asciiTheme="minorHAnsi" w:hAnsiTheme="minorHAnsi" w:cstheme="minorHAnsi"/>
                <w:sz w:val="14"/>
                <w:szCs w:val="14"/>
              </w:rPr>
              <w:t>excecionamento</w:t>
            </w:r>
            <w:proofErr w:type="spellEnd"/>
            <w:r w:rsidRPr="008C311C">
              <w:rPr>
                <w:rFonts w:asciiTheme="minorHAnsi" w:hAnsiTheme="minorHAnsi" w:cstheme="minorHAnsi"/>
                <w:sz w:val="14"/>
                <w:szCs w:val="14"/>
              </w:rPr>
              <w:t xml:space="preserve"> (se aplicável)</w:t>
            </w:r>
          </w:p>
        </w:tc>
        <w:tc>
          <w:tcPr>
            <w:tcW w:w="992" w:type="dxa"/>
            <w:tcBorders>
              <w:top w:val="nil"/>
              <w:left w:val="nil"/>
              <w:bottom w:val="single" w:sz="4" w:space="0" w:color="FFFFFF"/>
              <w:right w:val="single" w:sz="4" w:space="0" w:color="FFFFFF"/>
            </w:tcBorders>
            <w:shd w:val="clear" w:color="auto" w:fill="D9E2F3"/>
            <w:noWrap/>
            <w:vAlign w:val="center"/>
            <w:hideMark/>
          </w:tcPr>
          <w:p w14:paraId="0180AC11" w14:textId="6AD29A2C" w:rsidR="008C311C" w:rsidRPr="008C311C" w:rsidRDefault="003330AD">
            <w:pPr>
              <w:jc w:val="center"/>
              <w:rPr>
                <w:rFonts w:asciiTheme="minorHAnsi" w:hAnsiTheme="minorHAnsi" w:cstheme="minorHAnsi"/>
                <w:sz w:val="14"/>
                <w:szCs w:val="14"/>
              </w:rPr>
            </w:pPr>
            <w:r>
              <w:rPr>
                <w:rFonts w:asciiTheme="minorHAnsi" w:hAnsiTheme="minorHAnsi" w:cstheme="minorHAnsi"/>
                <w:sz w:val="14"/>
                <w:szCs w:val="14"/>
              </w:rPr>
              <w:t>S</w:t>
            </w:r>
            <w:r w:rsidR="008C311C" w:rsidRPr="008C311C">
              <w:rPr>
                <w:rFonts w:asciiTheme="minorHAnsi" w:hAnsiTheme="minorHAnsi" w:cstheme="minorHAnsi"/>
                <w:sz w:val="14"/>
                <w:szCs w:val="14"/>
              </w:rPr>
              <w:t> </w:t>
            </w:r>
          </w:p>
        </w:tc>
        <w:tc>
          <w:tcPr>
            <w:tcW w:w="851" w:type="dxa"/>
            <w:tcBorders>
              <w:top w:val="nil"/>
              <w:left w:val="nil"/>
              <w:bottom w:val="single" w:sz="4" w:space="0" w:color="FFFFFF"/>
            </w:tcBorders>
            <w:shd w:val="clear" w:color="auto" w:fill="D9E2F3"/>
            <w:vAlign w:val="center"/>
            <w:hideMark/>
          </w:tcPr>
          <w:p w14:paraId="4055B775"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3803BA5D"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49E10F95" w14:textId="77777777" w:rsidR="008C311C" w:rsidRPr="008C311C" w:rsidRDefault="008C311C">
            <w:pPr>
              <w:jc w:val="center"/>
              <w:rPr>
                <w:rFonts w:asciiTheme="minorHAnsi" w:hAnsiTheme="minorHAnsi" w:cstheme="minorHAnsi"/>
                <w:b/>
                <w:bCs/>
                <w:sz w:val="14"/>
                <w:szCs w:val="14"/>
              </w:rPr>
            </w:pPr>
            <w:r w:rsidRPr="008C311C">
              <w:rPr>
                <w:rFonts w:asciiTheme="minorHAnsi" w:hAnsiTheme="minorHAnsi" w:cstheme="minorHAnsi"/>
                <w:b/>
                <w:bCs/>
                <w:sz w:val="14"/>
                <w:szCs w:val="14"/>
              </w:rPr>
              <w:t>9</w:t>
            </w:r>
          </w:p>
        </w:tc>
        <w:tc>
          <w:tcPr>
            <w:tcW w:w="5954" w:type="dxa"/>
            <w:tcBorders>
              <w:top w:val="nil"/>
              <w:left w:val="nil"/>
              <w:bottom w:val="single" w:sz="4" w:space="0" w:color="FFFFFF"/>
              <w:right w:val="single" w:sz="4" w:space="0" w:color="FFFFFF"/>
            </w:tcBorders>
            <w:shd w:val="clear" w:color="auto" w:fill="D9E2F3"/>
            <w:noWrap/>
            <w:vAlign w:val="center"/>
            <w:hideMark/>
          </w:tcPr>
          <w:p w14:paraId="5A1F9EB8" w14:textId="77777777" w:rsidR="008C311C" w:rsidRPr="008C311C" w:rsidRDefault="008C311C">
            <w:pPr>
              <w:rPr>
                <w:rFonts w:asciiTheme="minorHAnsi" w:hAnsiTheme="minorHAnsi" w:cstheme="minorHAnsi"/>
                <w:b/>
                <w:bCs/>
                <w:sz w:val="14"/>
                <w:szCs w:val="14"/>
              </w:rPr>
            </w:pPr>
            <w:r w:rsidRPr="008C311C">
              <w:rPr>
                <w:rFonts w:asciiTheme="minorHAnsi" w:hAnsiTheme="minorHAnsi" w:cstheme="minorHAnsi"/>
                <w:b/>
                <w:bCs/>
                <w:sz w:val="14"/>
                <w:szCs w:val="14"/>
              </w:rPr>
              <w:t xml:space="preserve">PMP a fornecedores e </w:t>
            </w:r>
            <w:proofErr w:type="spellStart"/>
            <w:r w:rsidRPr="008C311C">
              <w:rPr>
                <w:rFonts w:asciiTheme="minorHAnsi" w:hAnsiTheme="minorHAnsi" w:cstheme="minorHAnsi"/>
                <w:b/>
                <w:bCs/>
                <w:sz w:val="14"/>
                <w:szCs w:val="14"/>
              </w:rPr>
              <w:t>arrears</w:t>
            </w:r>
            <w:proofErr w:type="spellEnd"/>
          </w:p>
        </w:tc>
        <w:tc>
          <w:tcPr>
            <w:tcW w:w="992" w:type="dxa"/>
            <w:tcBorders>
              <w:top w:val="nil"/>
              <w:left w:val="nil"/>
              <w:bottom w:val="single" w:sz="4" w:space="0" w:color="FFFFFF"/>
              <w:right w:val="single" w:sz="4" w:space="0" w:color="FFFFFF"/>
            </w:tcBorders>
            <w:shd w:val="clear" w:color="auto" w:fill="D9E2F3"/>
            <w:noWrap/>
            <w:vAlign w:val="center"/>
            <w:hideMark/>
          </w:tcPr>
          <w:p w14:paraId="0A18DFA6"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851" w:type="dxa"/>
            <w:tcBorders>
              <w:top w:val="nil"/>
              <w:left w:val="nil"/>
              <w:bottom w:val="single" w:sz="4" w:space="0" w:color="FFFFFF"/>
            </w:tcBorders>
            <w:shd w:val="clear" w:color="auto" w:fill="D9E2F3"/>
            <w:vAlign w:val="center"/>
            <w:hideMark/>
          </w:tcPr>
          <w:p w14:paraId="77489EDF"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7FC9797D"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02114440" w14:textId="77777777" w:rsidR="008C311C" w:rsidRPr="008C311C" w:rsidRDefault="008C311C">
            <w:pPr>
              <w:jc w:val="center"/>
              <w:rPr>
                <w:rFonts w:asciiTheme="minorHAnsi" w:hAnsiTheme="minorHAnsi" w:cstheme="minorHAnsi"/>
                <w:b/>
                <w:bCs/>
                <w:sz w:val="14"/>
                <w:szCs w:val="14"/>
              </w:rPr>
            </w:pPr>
            <w:r w:rsidRPr="008C311C">
              <w:rPr>
                <w:rFonts w:asciiTheme="minorHAnsi" w:hAnsiTheme="minorHAnsi" w:cstheme="minorHAnsi"/>
                <w:b/>
                <w:bCs/>
                <w:sz w:val="14"/>
                <w:szCs w:val="14"/>
              </w:rPr>
              <w:t> </w:t>
            </w:r>
          </w:p>
        </w:tc>
        <w:tc>
          <w:tcPr>
            <w:tcW w:w="5954" w:type="dxa"/>
            <w:tcBorders>
              <w:top w:val="nil"/>
              <w:left w:val="nil"/>
              <w:bottom w:val="single" w:sz="4" w:space="0" w:color="FFFFFF"/>
              <w:right w:val="single" w:sz="4" w:space="0" w:color="FFFFFF"/>
            </w:tcBorders>
            <w:shd w:val="clear" w:color="auto" w:fill="D9E2F3"/>
            <w:noWrap/>
            <w:vAlign w:val="center"/>
            <w:hideMark/>
          </w:tcPr>
          <w:p w14:paraId="6B740325" w14:textId="77777777" w:rsidR="008C311C" w:rsidRPr="008C311C" w:rsidRDefault="008C311C">
            <w:pPr>
              <w:ind w:firstLineChars="100" w:firstLine="140"/>
              <w:rPr>
                <w:rFonts w:asciiTheme="minorHAnsi" w:hAnsiTheme="minorHAnsi" w:cstheme="minorHAnsi"/>
                <w:sz w:val="14"/>
                <w:szCs w:val="14"/>
              </w:rPr>
            </w:pPr>
            <w:r w:rsidRPr="008C311C">
              <w:rPr>
                <w:rFonts w:asciiTheme="minorHAnsi" w:hAnsiTheme="minorHAnsi" w:cstheme="minorHAnsi"/>
                <w:sz w:val="14"/>
                <w:szCs w:val="14"/>
              </w:rPr>
              <w:t>Evolução do PMP</w:t>
            </w:r>
          </w:p>
        </w:tc>
        <w:tc>
          <w:tcPr>
            <w:tcW w:w="992" w:type="dxa"/>
            <w:tcBorders>
              <w:top w:val="nil"/>
              <w:left w:val="nil"/>
              <w:bottom w:val="single" w:sz="4" w:space="0" w:color="FFFFFF"/>
              <w:right w:val="single" w:sz="4" w:space="0" w:color="FFFFFF"/>
            </w:tcBorders>
            <w:shd w:val="clear" w:color="auto" w:fill="D9E2F3"/>
            <w:noWrap/>
            <w:vAlign w:val="center"/>
            <w:hideMark/>
          </w:tcPr>
          <w:p w14:paraId="5CA98F9D" w14:textId="60FD6F95" w:rsidR="008C311C" w:rsidRPr="008C311C" w:rsidRDefault="00077840" w:rsidP="003330AD">
            <w:pPr>
              <w:jc w:val="center"/>
              <w:rPr>
                <w:rFonts w:asciiTheme="minorHAnsi" w:hAnsiTheme="minorHAnsi" w:cstheme="minorHAnsi"/>
                <w:sz w:val="14"/>
                <w:szCs w:val="14"/>
              </w:rPr>
            </w:pPr>
            <w:r>
              <w:rPr>
                <w:rFonts w:asciiTheme="minorHAnsi" w:hAnsiTheme="minorHAnsi" w:cstheme="minorHAnsi"/>
                <w:sz w:val="14"/>
                <w:szCs w:val="14"/>
              </w:rPr>
              <w:t>S</w:t>
            </w:r>
          </w:p>
        </w:tc>
        <w:tc>
          <w:tcPr>
            <w:tcW w:w="851" w:type="dxa"/>
            <w:tcBorders>
              <w:top w:val="nil"/>
              <w:left w:val="nil"/>
              <w:bottom w:val="single" w:sz="4" w:space="0" w:color="FFFFFF"/>
            </w:tcBorders>
            <w:shd w:val="clear" w:color="auto" w:fill="D9E2F3"/>
            <w:vAlign w:val="center"/>
            <w:hideMark/>
          </w:tcPr>
          <w:p w14:paraId="6FF75D76"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2BB4B5B9"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6F46B9E7" w14:textId="77777777" w:rsidR="008C311C" w:rsidRPr="008C311C" w:rsidRDefault="008C311C">
            <w:pPr>
              <w:jc w:val="center"/>
              <w:rPr>
                <w:rFonts w:asciiTheme="minorHAnsi" w:hAnsiTheme="minorHAnsi" w:cstheme="minorHAnsi"/>
                <w:b/>
                <w:bCs/>
                <w:sz w:val="14"/>
                <w:szCs w:val="14"/>
              </w:rPr>
            </w:pPr>
            <w:r w:rsidRPr="008C311C">
              <w:rPr>
                <w:rFonts w:asciiTheme="minorHAnsi" w:hAnsiTheme="minorHAnsi" w:cstheme="minorHAnsi"/>
                <w:b/>
                <w:bCs/>
                <w:sz w:val="14"/>
                <w:szCs w:val="14"/>
              </w:rPr>
              <w:t> </w:t>
            </w:r>
          </w:p>
        </w:tc>
        <w:tc>
          <w:tcPr>
            <w:tcW w:w="5954" w:type="dxa"/>
            <w:tcBorders>
              <w:top w:val="nil"/>
              <w:left w:val="nil"/>
              <w:bottom w:val="single" w:sz="4" w:space="0" w:color="FFFFFF"/>
              <w:right w:val="single" w:sz="4" w:space="0" w:color="FFFFFF"/>
            </w:tcBorders>
            <w:shd w:val="clear" w:color="auto" w:fill="D9E2F3"/>
            <w:noWrap/>
            <w:vAlign w:val="center"/>
            <w:hideMark/>
          </w:tcPr>
          <w:p w14:paraId="0756B8C0" w14:textId="77777777" w:rsidR="008C311C" w:rsidRPr="008C311C" w:rsidRDefault="008C311C">
            <w:pPr>
              <w:ind w:firstLineChars="100" w:firstLine="140"/>
              <w:rPr>
                <w:rFonts w:asciiTheme="minorHAnsi" w:hAnsiTheme="minorHAnsi" w:cstheme="minorHAnsi"/>
                <w:sz w:val="14"/>
                <w:szCs w:val="14"/>
              </w:rPr>
            </w:pPr>
            <w:r w:rsidRPr="008C311C">
              <w:rPr>
                <w:rFonts w:asciiTheme="minorHAnsi" w:hAnsiTheme="minorHAnsi" w:cstheme="minorHAnsi"/>
                <w:sz w:val="14"/>
                <w:szCs w:val="14"/>
              </w:rPr>
              <w:t>Pagamentos em atraso</w:t>
            </w:r>
          </w:p>
        </w:tc>
        <w:tc>
          <w:tcPr>
            <w:tcW w:w="992" w:type="dxa"/>
            <w:tcBorders>
              <w:top w:val="nil"/>
              <w:left w:val="nil"/>
              <w:bottom w:val="single" w:sz="4" w:space="0" w:color="FFFFFF"/>
              <w:right w:val="single" w:sz="4" w:space="0" w:color="FFFFFF"/>
            </w:tcBorders>
            <w:shd w:val="clear" w:color="auto" w:fill="D9E2F3"/>
            <w:noWrap/>
            <w:vAlign w:val="center"/>
            <w:hideMark/>
          </w:tcPr>
          <w:p w14:paraId="24FA4B88" w14:textId="6C33870E" w:rsidR="008C311C" w:rsidRPr="008C311C" w:rsidRDefault="00077840">
            <w:pPr>
              <w:jc w:val="center"/>
              <w:rPr>
                <w:rFonts w:asciiTheme="minorHAnsi" w:hAnsiTheme="minorHAnsi" w:cstheme="minorHAnsi"/>
                <w:sz w:val="14"/>
                <w:szCs w:val="14"/>
              </w:rPr>
            </w:pPr>
            <w:r>
              <w:rPr>
                <w:rFonts w:asciiTheme="minorHAnsi" w:hAnsiTheme="minorHAnsi" w:cstheme="minorHAnsi"/>
                <w:sz w:val="14"/>
                <w:szCs w:val="14"/>
              </w:rPr>
              <w:t>S</w:t>
            </w:r>
            <w:r w:rsidR="008C311C" w:rsidRPr="008C311C">
              <w:rPr>
                <w:rFonts w:asciiTheme="minorHAnsi" w:hAnsiTheme="minorHAnsi" w:cstheme="minorHAnsi"/>
                <w:sz w:val="14"/>
                <w:szCs w:val="14"/>
              </w:rPr>
              <w:t> </w:t>
            </w:r>
          </w:p>
        </w:tc>
        <w:tc>
          <w:tcPr>
            <w:tcW w:w="851" w:type="dxa"/>
            <w:tcBorders>
              <w:top w:val="nil"/>
              <w:left w:val="nil"/>
              <w:bottom w:val="single" w:sz="4" w:space="0" w:color="FFFFFF"/>
            </w:tcBorders>
            <w:shd w:val="clear" w:color="auto" w:fill="D9E2F3"/>
            <w:vAlign w:val="center"/>
            <w:hideMark/>
          </w:tcPr>
          <w:p w14:paraId="31307992"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3FE26702"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4EAC5252" w14:textId="77777777" w:rsidR="008C311C" w:rsidRPr="008C311C" w:rsidRDefault="008C311C">
            <w:pPr>
              <w:jc w:val="center"/>
              <w:rPr>
                <w:rFonts w:asciiTheme="minorHAnsi" w:hAnsiTheme="minorHAnsi" w:cstheme="minorHAnsi"/>
                <w:b/>
                <w:bCs/>
                <w:sz w:val="14"/>
                <w:szCs w:val="14"/>
              </w:rPr>
            </w:pPr>
            <w:r w:rsidRPr="008C311C">
              <w:rPr>
                <w:rFonts w:asciiTheme="minorHAnsi" w:hAnsiTheme="minorHAnsi" w:cstheme="minorHAnsi"/>
                <w:b/>
                <w:bCs/>
                <w:sz w:val="14"/>
                <w:szCs w:val="14"/>
              </w:rPr>
              <w:t>10</w:t>
            </w:r>
          </w:p>
        </w:tc>
        <w:tc>
          <w:tcPr>
            <w:tcW w:w="5954" w:type="dxa"/>
            <w:tcBorders>
              <w:top w:val="nil"/>
              <w:left w:val="nil"/>
              <w:bottom w:val="single" w:sz="4" w:space="0" w:color="FFFFFF"/>
              <w:right w:val="single" w:sz="4" w:space="0" w:color="FFFFFF"/>
            </w:tcBorders>
            <w:shd w:val="clear" w:color="auto" w:fill="D9E2F3"/>
            <w:noWrap/>
            <w:vAlign w:val="center"/>
            <w:hideMark/>
          </w:tcPr>
          <w:p w14:paraId="43DF0501" w14:textId="77777777" w:rsidR="008C311C" w:rsidRPr="008C311C" w:rsidRDefault="008C311C">
            <w:pPr>
              <w:rPr>
                <w:rFonts w:asciiTheme="minorHAnsi" w:hAnsiTheme="minorHAnsi" w:cstheme="minorHAnsi"/>
                <w:b/>
                <w:bCs/>
                <w:sz w:val="14"/>
                <w:szCs w:val="14"/>
              </w:rPr>
            </w:pPr>
            <w:r w:rsidRPr="008C311C">
              <w:rPr>
                <w:rFonts w:asciiTheme="minorHAnsi" w:hAnsiTheme="minorHAnsi" w:cstheme="minorHAnsi"/>
                <w:b/>
                <w:bCs/>
                <w:sz w:val="14"/>
                <w:szCs w:val="14"/>
              </w:rPr>
              <w:t>Estatuto do Gestor Público</w:t>
            </w:r>
          </w:p>
        </w:tc>
        <w:tc>
          <w:tcPr>
            <w:tcW w:w="992" w:type="dxa"/>
            <w:tcBorders>
              <w:top w:val="nil"/>
              <w:left w:val="nil"/>
              <w:bottom w:val="single" w:sz="4" w:space="0" w:color="FFFFFF"/>
              <w:right w:val="single" w:sz="4" w:space="0" w:color="FFFFFF"/>
            </w:tcBorders>
            <w:shd w:val="clear" w:color="auto" w:fill="D9E2F3"/>
            <w:noWrap/>
            <w:vAlign w:val="center"/>
            <w:hideMark/>
          </w:tcPr>
          <w:p w14:paraId="5DCFE2CF"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851" w:type="dxa"/>
            <w:tcBorders>
              <w:top w:val="nil"/>
              <w:left w:val="nil"/>
              <w:bottom w:val="single" w:sz="4" w:space="0" w:color="FFFFFF"/>
            </w:tcBorders>
            <w:shd w:val="clear" w:color="auto" w:fill="D9E2F3"/>
            <w:vAlign w:val="center"/>
            <w:hideMark/>
          </w:tcPr>
          <w:p w14:paraId="0B3D0B2D"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5F7BF361"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6B969143"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5954" w:type="dxa"/>
            <w:tcBorders>
              <w:top w:val="nil"/>
              <w:left w:val="nil"/>
              <w:bottom w:val="single" w:sz="4" w:space="0" w:color="FFFFFF"/>
              <w:right w:val="single" w:sz="4" w:space="0" w:color="FFFFFF"/>
            </w:tcBorders>
            <w:shd w:val="clear" w:color="auto" w:fill="D9E2F3"/>
            <w:noWrap/>
            <w:vAlign w:val="center"/>
            <w:hideMark/>
          </w:tcPr>
          <w:p w14:paraId="0A4FB9DE" w14:textId="77777777" w:rsidR="008C311C" w:rsidRPr="008C311C" w:rsidRDefault="008C311C">
            <w:pPr>
              <w:ind w:firstLineChars="100" w:firstLine="140"/>
              <w:rPr>
                <w:rFonts w:asciiTheme="minorHAnsi" w:hAnsiTheme="minorHAnsi" w:cstheme="minorHAnsi"/>
                <w:sz w:val="14"/>
                <w:szCs w:val="14"/>
              </w:rPr>
            </w:pPr>
            <w:r w:rsidRPr="008C311C">
              <w:rPr>
                <w:rFonts w:asciiTheme="minorHAnsi" w:hAnsiTheme="minorHAnsi" w:cstheme="minorHAnsi"/>
                <w:sz w:val="14"/>
                <w:szCs w:val="14"/>
              </w:rPr>
              <w:t>Objetivos de gestão</w:t>
            </w:r>
            <w:r w:rsidRPr="008C311C">
              <w:rPr>
                <w:rFonts w:asciiTheme="minorHAnsi" w:hAnsiTheme="minorHAnsi" w:cstheme="minorHAnsi"/>
                <w:sz w:val="14"/>
                <w:szCs w:val="14"/>
                <w:vertAlign w:val="superscript"/>
              </w:rPr>
              <w:t>(a)</w:t>
            </w:r>
          </w:p>
        </w:tc>
        <w:tc>
          <w:tcPr>
            <w:tcW w:w="992" w:type="dxa"/>
            <w:tcBorders>
              <w:top w:val="nil"/>
              <w:left w:val="nil"/>
              <w:bottom w:val="single" w:sz="4" w:space="0" w:color="FFFFFF"/>
              <w:right w:val="single" w:sz="4" w:space="0" w:color="FFFFFF"/>
            </w:tcBorders>
            <w:shd w:val="clear" w:color="auto" w:fill="D9E2F3"/>
            <w:noWrap/>
            <w:vAlign w:val="center"/>
            <w:hideMark/>
          </w:tcPr>
          <w:p w14:paraId="2F9A3D4F" w14:textId="0FD106C5" w:rsidR="008C311C" w:rsidRPr="008C311C" w:rsidRDefault="00077840">
            <w:pPr>
              <w:jc w:val="center"/>
              <w:rPr>
                <w:rFonts w:asciiTheme="minorHAnsi" w:hAnsiTheme="minorHAnsi" w:cstheme="minorHAnsi"/>
                <w:sz w:val="14"/>
                <w:szCs w:val="14"/>
              </w:rPr>
            </w:pPr>
            <w:r>
              <w:rPr>
                <w:rFonts w:asciiTheme="minorHAnsi" w:hAnsiTheme="minorHAnsi" w:cstheme="minorHAnsi"/>
                <w:sz w:val="14"/>
                <w:szCs w:val="14"/>
              </w:rPr>
              <w:t>S</w:t>
            </w:r>
            <w:r w:rsidR="008C311C" w:rsidRPr="008C311C">
              <w:rPr>
                <w:rFonts w:asciiTheme="minorHAnsi" w:hAnsiTheme="minorHAnsi" w:cstheme="minorHAnsi"/>
                <w:sz w:val="14"/>
                <w:szCs w:val="14"/>
              </w:rPr>
              <w:t> </w:t>
            </w:r>
          </w:p>
        </w:tc>
        <w:tc>
          <w:tcPr>
            <w:tcW w:w="851" w:type="dxa"/>
            <w:tcBorders>
              <w:top w:val="nil"/>
              <w:left w:val="nil"/>
              <w:bottom w:val="single" w:sz="4" w:space="0" w:color="FFFFFF"/>
            </w:tcBorders>
            <w:shd w:val="clear" w:color="auto" w:fill="D9E2F3"/>
            <w:vAlign w:val="center"/>
            <w:hideMark/>
          </w:tcPr>
          <w:p w14:paraId="4B2EDA5D"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5ABCA86B"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3134C906"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5954" w:type="dxa"/>
            <w:tcBorders>
              <w:top w:val="nil"/>
              <w:left w:val="nil"/>
              <w:bottom w:val="single" w:sz="4" w:space="0" w:color="FFFFFF"/>
              <w:right w:val="single" w:sz="4" w:space="0" w:color="FFFFFF"/>
            </w:tcBorders>
            <w:shd w:val="clear" w:color="auto" w:fill="D9E2F3"/>
            <w:noWrap/>
            <w:vAlign w:val="center"/>
            <w:hideMark/>
          </w:tcPr>
          <w:p w14:paraId="5110BD86" w14:textId="77777777" w:rsidR="008C311C" w:rsidRPr="008C311C" w:rsidRDefault="008C311C">
            <w:pPr>
              <w:ind w:firstLineChars="100" w:firstLine="140"/>
              <w:rPr>
                <w:rFonts w:asciiTheme="minorHAnsi" w:hAnsiTheme="minorHAnsi" w:cstheme="minorHAnsi"/>
                <w:sz w:val="14"/>
                <w:szCs w:val="14"/>
              </w:rPr>
            </w:pPr>
            <w:r w:rsidRPr="008C311C">
              <w:rPr>
                <w:rFonts w:asciiTheme="minorHAnsi" w:hAnsiTheme="minorHAnsi" w:cstheme="minorHAnsi"/>
                <w:sz w:val="14"/>
                <w:szCs w:val="14"/>
              </w:rPr>
              <w:t>Artigos 32.º e 33.º do EGP</w:t>
            </w:r>
          </w:p>
        </w:tc>
        <w:tc>
          <w:tcPr>
            <w:tcW w:w="992" w:type="dxa"/>
            <w:tcBorders>
              <w:top w:val="nil"/>
              <w:left w:val="nil"/>
              <w:bottom w:val="single" w:sz="4" w:space="0" w:color="FFFFFF"/>
              <w:right w:val="single" w:sz="4" w:space="0" w:color="FFFFFF"/>
            </w:tcBorders>
            <w:shd w:val="clear" w:color="auto" w:fill="D9E2F3"/>
            <w:noWrap/>
            <w:vAlign w:val="center"/>
            <w:hideMark/>
          </w:tcPr>
          <w:p w14:paraId="0A43AF6D"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851" w:type="dxa"/>
            <w:tcBorders>
              <w:top w:val="nil"/>
              <w:left w:val="nil"/>
              <w:bottom w:val="single" w:sz="4" w:space="0" w:color="FFFFFF"/>
            </w:tcBorders>
            <w:shd w:val="clear" w:color="auto" w:fill="D9E2F3"/>
            <w:vAlign w:val="center"/>
            <w:hideMark/>
          </w:tcPr>
          <w:p w14:paraId="61AD91BB"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254620CA"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129609E2"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5954" w:type="dxa"/>
            <w:tcBorders>
              <w:top w:val="nil"/>
              <w:left w:val="nil"/>
              <w:bottom w:val="single" w:sz="4" w:space="0" w:color="FFFFFF"/>
              <w:right w:val="single" w:sz="4" w:space="0" w:color="FFFFFF"/>
            </w:tcBorders>
            <w:shd w:val="clear" w:color="auto" w:fill="D9E2F3"/>
            <w:noWrap/>
            <w:vAlign w:val="center"/>
            <w:hideMark/>
          </w:tcPr>
          <w:p w14:paraId="2105E3FE" w14:textId="77777777" w:rsidR="008C311C" w:rsidRPr="008C311C" w:rsidRDefault="008C311C">
            <w:pPr>
              <w:ind w:firstLineChars="200" w:firstLine="280"/>
              <w:rPr>
                <w:rFonts w:asciiTheme="minorHAnsi" w:hAnsiTheme="minorHAnsi" w:cstheme="minorHAnsi"/>
                <w:sz w:val="14"/>
                <w:szCs w:val="14"/>
              </w:rPr>
            </w:pPr>
            <w:proofErr w:type="gramStart"/>
            <w:r w:rsidRPr="008C311C">
              <w:rPr>
                <w:rFonts w:asciiTheme="minorHAnsi" w:hAnsiTheme="minorHAnsi" w:cstheme="minorHAnsi"/>
                <w:sz w:val="14"/>
                <w:szCs w:val="14"/>
              </w:rPr>
              <w:t>Não</w:t>
            </w:r>
            <w:proofErr w:type="gramEnd"/>
            <w:r w:rsidRPr="008C311C">
              <w:rPr>
                <w:rFonts w:asciiTheme="minorHAnsi" w:hAnsiTheme="minorHAnsi" w:cstheme="minorHAnsi"/>
                <w:sz w:val="14"/>
                <w:szCs w:val="14"/>
              </w:rPr>
              <w:t xml:space="preserve"> utilização de cartão de crédito</w:t>
            </w:r>
          </w:p>
        </w:tc>
        <w:tc>
          <w:tcPr>
            <w:tcW w:w="992" w:type="dxa"/>
            <w:tcBorders>
              <w:top w:val="nil"/>
              <w:left w:val="nil"/>
              <w:bottom w:val="single" w:sz="4" w:space="0" w:color="FFFFFF"/>
              <w:right w:val="single" w:sz="4" w:space="0" w:color="FFFFFF"/>
            </w:tcBorders>
            <w:shd w:val="clear" w:color="auto" w:fill="D9E2F3"/>
            <w:noWrap/>
            <w:vAlign w:val="center"/>
            <w:hideMark/>
          </w:tcPr>
          <w:p w14:paraId="7A084649" w14:textId="262DA39E" w:rsidR="008C311C" w:rsidRPr="008C311C" w:rsidRDefault="00077840">
            <w:pPr>
              <w:jc w:val="center"/>
              <w:rPr>
                <w:rFonts w:asciiTheme="minorHAnsi" w:hAnsiTheme="minorHAnsi" w:cstheme="minorHAnsi"/>
                <w:sz w:val="14"/>
                <w:szCs w:val="14"/>
              </w:rPr>
            </w:pPr>
            <w:r>
              <w:rPr>
                <w:rFonts w:asciiTheme="minorHAnsi" w:hAnsiTheme="minorHAnsi" w:cstheme="minorHAnsi"/>
                <w:sz w:val="14"/>
                <w:szCs w:val="14"/>
              </w:rPr>
              <w:t>S</w:t>
            </w:r>
          </w:p>
        </w:tc>
        <w:tc>
          <w:tcPr>
            <w:tcW w:w="851" w:type="dxa"/>
            <w:tcBorders>
              <w:top w:val="nil"/>
              <w:left w:val="nil"/>
              <w:bottom w:val="single" w:sz="4" w:space="0" w:color="FFFFFF"/>
            </w:tcBorders>
            <w:shd w:val="clear" w:color="auto" w:fill="D9E2F3"/>
            <w:vAlign w:val="center"/>
            <w:hideMark/>
          </w:tcPr>
          <w:p w14:paraId="2A7D5582"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2E2C4551"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0E64A094"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5954" w:type="dxa"/>
            <w:tcBorders>
              <w:top w:val="nil"/>
              <w:left w:val="nil"/>
              <w:bottom w:val="single" w:sz="4" w:space="0" w:color="FFFFFF"/>
              <w:right w:val="single" w:sz="4" w:space="0" w:color="FFFFFF"/>
            </w:tcBorders>
            <w:shd w:val="clear" w:color="auto" w:fill="D9E2F3"/>
            <w:noWrap/>
            <w:vAlign w:val="center"/>
            <w:hideMark/>
          </w:tcPr>
          <w:p w14:paraId="45711446" w14:textId="77777777" w:rsidR="008C311C" w:rsidRPr="008C311C" w:rsidRDefault="008C311C">
            <w:pPr>
              <w:ind w:firstLineChars="200" w:firstLine="280"/>
              <w:rPr>
                <w:rFonts w:asciiTheme="minorHAnsi" w:hAnsiTheme="minorHAnsi" w:cstheme="minorHAnsi"/>
                <w:sz w:val="14"/>
                <w:szCs w:val="14"/>
              </w:rPr>
            </w:pPr>
            <w:r w:rsidRPr="008C311C">
              <w:rPr>
                <w:rFonts w:asciiTheme="minorHAnsi" w:hAnsiTheme="minorHAnsi" w:cstheme="minorHAnsi"/>
                <w:sz w:val="14"/>
                <w:szCs w:val="14"/>
              </w:rPr>
              <w:t>Não reembolso de despesas de representação pessoal</w:t>
            </w:r>
          </w:p>
        </w:tc>
        <w:tc>
          <w:tcPr>
            <w:tcW w:w="992" w:type="dxa"/>
            <w:tcBorders>
              <w:top w:val="nil"/>
              <w:left w:val="nil"/>
              <w:bottom w:val="single" w:sz="4" w:space="0" w:color="FFFFFF"/>
              <w:right w:val="single" w:sz="4" w:space="0" w:color="FFFFFF"/>
            </w:tcBorders>
            <w:shd w:val="clear" w:color="auto" w:fill="D9E2F3"/>
            <w:noWrap/>
            <w:vAlign w:val="center"/>
            <w:hideMark/>
          </w:tcPr>
          <w:p w14:paraId="1E239859" w14:textId="3FEAA36A"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r w:rsidR="00077840">
              <w:rPr>
                <w:rFonts w:asciiTheme="minorHAnsi" w:hAnsiTheme="minorHAnsi" w:cstheme="minorHAnsi"/>
                <w:sz w:val="14"/>
                <w:szCs w:val="14"/>
              </w:rPr>
              <w:t>S</w:t>
            </w:r>
          </w:p>
        </w:tc>
        <w:tc>
          <w:tcPr>
            <w:tcW w:w="851" w:type="dxa"/>
            <w:tcBorders>
              <w:top w:val="nil"/>
              <w:left w:val="nil"/>
              <w:bottom w:val="single" w:sz="4" w:space="0" w:color="FFFFFF"/>
            </w:tcBorders>
            <w:shd w:val="clear" w:color="auto" w:fill="D9E2F3"/>
            <w:vAlign w:val="center"/>
            <w:hideMark/>
          </w:tcPr>
          <w:p w14:paraId="56985CC8"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0FE2DD38"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736BF409"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5954" w:type="dxa"/>
            <w:tcBorders>
              <w:top w:val="nil"/>
              <w:left w:val="nil"/>
              <w:bottom w:val="single" w:sz="4" w:space="0" w:color="FFFFFF"/>
              <w:right w:val="single" w:sz="4" w:space="0" w:color="FFFFFF"/>
            </w:tcBorders>
            <w:shd w:val="clear" w:color="auto" w:fill="D9E2F3"/>
            <w:noWrap/>
            <w:vAlign w:val="center"/>
            <w:hideMark/>
          </w:tcPr>
          <w:p w14:paraId="0F7E05A4" w14:textId="77777777" w:rsidR="008C311C" w:rsidRPr="008C311C" w:rsidRDefault="008C311C">
            <w:pPr>
              <w:ind w:firstLineChars="200" w:firstLine="280"/>
              <w:rPr>
                <w:rFonts w:asciiTheme="minorHAnsi" w:hAnsiTheme="minorHAnsi" w:cstheme="minorHAnsi"/>
                <w:sz w:val="14"/>
                <w:szCs w:val="14"/>
              </w:rPr>
            </w:pPr>
            <w:r w:rsidRPr="008C311C">
              <w:rPr>
                <w:rFonts w:asciiTheme="minorHAnsi" w:hAnsiTheme="minorHAnsi" w:cstheme="minorHAnsi"/>
                <w:sz w:val="14"/>
                <w:szCs w:val="14"/>
              </w:rPr>
              <w:t>Valor máximo das despesas associadas a comunicações</w:t>
            </w:r>
          </w:p>
        </w:tc>
        <w:tc>
          <w:tcPr>
            <w:tcW w:w="992" w:type="dxa"/>
            <w:tcBorders>
              <w:top w:val="nil"/>
              <w:left w:val="nil"/>
              <w:bottom w:val="single" w:sz="4" w:space="0" w:color="FFFFFF"/>
              <w:right w:val="single" w:sz="4" w:space="0" w:color="FFFFFF"/>
            </w:tcBorders>
            <w:shd w:val="clear" w:color="auto" w:fill="D9E2F3"/>
            <w:noWrap/>
            <w:vAlign w:val="center"/>
            <w:hideMark/>
          </w:tcPr>
          <w:p w14:paraId="70AB2E88" w14:textId="278BEA22"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r w:rsidR="00077840">
              <w:rPr>
                <w:rFonts w:asciiTheme="minorHAnsi" w:hAnsiTheme="minorHAnsi" w:cstheme="minorHAnsi"/>
                <w:sz w:val="14"/>
                <w:szCs w:val="14"/>
              </w:rPr>
              <w:t>S</w:t>
            </w:r>
          </w:p>
        </w:tc>
        <w:tc>
          <w:tcPr>
            <w:tcW w:w="851" w:type="dxa"/>
            <w:tcBorders>
              <w:top w:val="nil"/>
              <w:left w:val="nil"/>
              <w:bottom w:val="single" w:sz="4" w:space="0" w:color="FFFFFF"/>
            </w:tcBorders>
            <w:shd w:val="clear" w:color="auto" w:fill="D9E2F3"/>
            <w:vAlign w:val="center"/>
            <w:hideMark/>
          </w:tcPr>
          <w:p w14:paraId="7224FBF5"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37345A8A"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0D4D6086"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5954" w:type="dxa"/>
            <w:tcBorders>
              <w:top w:val="nil"/>
              <w:left w:val="nil"/>
              <w:bottom w:val="single" w:sz="4" w:space="0" w:color="FFFFFF"/>
              <w:right w:val="single" w:sz="4" w:space="0" w:color="FFFFFF"/>
            </w:tcBorders>
            <w:shd w:val="clear" w:color="auto" w:fill="D9E2F3"/>
            <w:noWrap/>
            <w:vAlign w:val="center"/>
            <w:hideMark/>
          </w:tcPr>
          <w:p w14:paraId="6C7CAA7A" w14:textId="77777777" w:rsidR="008C311C" w:rsidRPr="008C311C" w:rsidRDefault="008C311C">
            <w:pPr>
              <w:ind w:firstLineChars="200" w:firstLine="280"/>
              <w:rPr>
                <w:rFonts w:asciiTheme="minorHAnsi" w:hAnsiTheme="minorHAnsi" w:cstheme="minorHAnsi"/>
                <w:sz w:val="14"/>
                <w:szCs w:val="14"/>
              </w:rPr>
            </w:pPr>
            <w:r w:rsidRPr="008C311C">
              <w:rPr>
                <w:rFonts w:asciiTheme="minorHAnsi" w:hAnsiTheme="minorHAnsi" w:cstheme="minorHAnsi"/>
                <w:sz w:val="14"/>
                <w:szCs w:val="14"/>
              </w:rPr>
              <w:t>Valor máximo de combustível e portagens afeto mensalmente às viaturas de serviço</w:t>
            </w:r>
          </w:p>
        </w:tc>
        <w:tc>
          <w:tcPr>
            <w:tcW w:w="992" w:type="dxa"/>
            <w:tcBorders>
              <w:top w:val="nil"/>
              <w:left w:val="nil"/>
              <w:bottom w:val="single" w:sz="4" w:space="0" w:color="FFFFFF"/>
              <w:right w:val="single" w:sz="4" w:space="0" w:color="FFFFFF"/>
            </w:tcBorders>
            <w:shd w:val="clear" w:color="auto" w:fill="D9E2F3"/>
            <w:noWrap/>
            <w:vAlign w:val="center"/>
            <w:hideMark/>
          </w:tcPr>
          <w:p w14:paraId="05A4F433" w14:textId="3DA1DEE9"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r w:rsidR="00077840">
              <w:rPr>
                <w:rFonts w:asciiTheme="minorHAnsi" w:hAnsiTheme="minorHAnsi" w:cstheme="minorHAnsi"/>
                <w:sz w:val="14"/>
                <w:szCs w:val="14"/>
              </w:rPr>
              <w:t>S</w:t>
            </w:r>
          </w:p>
        </w:tc>
        <w:tc>
          <w:tcPr>
            <w:tcW w:w="851" w:type="dxa"/>
            <w:tcBorders>
              <w:top w:val="nil"/>
              <w:left w:val="nil"/>
              <w:bottom w:val="single" w:sz="4" w:space="0" w:color="FFFFFF"/>
            </w:tcBorders>
            <w:shd w:val="clear" w:color="auto" w:fill="D9E2F3"/>
            <w:vAlign w:val="center"/>
            <w:hideMark/>
          </w:tcPr>
          <w:p w14:paraId="2438EEF8"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6F1BAD3F"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6E822DAE"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5954" w:type="dxa"/>
            <w:tcBorders>
              <w:top w:val="nil"/>
              <w:left w:val="nil"/>
              <w:bottom w:val="single" w:sz="4" w:space="0" w:color="FFFFFF"/>
              <w:right w:val="single" w:sz="4" w:space="0" w:color="FFFFFF"/>
            </w:tcBorders>
            <w:shd w:val="clear" w:color="auto" w:fill="D9E2F3"/>
            <w:noWrap/>
            <w:vAlign w:val="center"/>
            <w:hideMark/>
          </w:tcPr>
          <w:p w14:paraId="131F6C57" w14:textId="77777777" w:rsidR="008C311C" w:rsidRPr="008C311C" w:rsidRDefault="008C311C">
            <w:pPr>
              <w:ind w:firstLineChars="100" w:firstLine="140"/>
              <w:rPr>
                <w:rFonts w:asciiTheme="minorHAnsi" w:hAnsiTheme="minorHAnsi" w:cstheme="minorHAnsi"/>
                <w:sz w:val="14"/>
                <w:szCs w:val="14"/>
              </w:rPr>
            </w:pPr>
            <w:r w:rsidRPr="008C311C">
              <w:rPr>
                <w:rFonts w:asciiTheme="minorHAnsi" w:hAnsiTheme="minorHAnsi" w:cstheme="minorHAnsi"/>
                <w:sz w:val="14"/>
                <w:szCs w:val="14"/>
              </w:rPr>
              <w:t>Despesas não documentadas ou confidenciais</w:t>
            </w:r>
          </w:p>
        </w:tc>
        <w:tc>
          <w:tcPr>
            <w:tcW w:w="992" w:type="dxa"/>
            <w:tcBorders>
              <w:top w:val="nil"/>
              <w:left w:val="nil"/>
              <w:bottom w:val="single" w:sz="4" w:space="0" w:color="FFFFFF"/>
              <w:right w:val="single" w:sz="4" w:space="0" w:color="FFFFFF"/>
            </w:tcBorders>
            <w:shd w:val="clear" w:color="auto" w:fill="D9E2F3"/>
            <w:noWrap/>
            <w:vAlign w:val="center"/>
            <w:hideMark/>
          </w:tcPr>
          <w:p w14:paraId="378C1076" w14:textId="2C717DD3" w:rsidR="008C311C" w:rsidRPr="008C311C" w:rsidRDefault="00077840">
            <w:pPr>
              <w:jc w:val="center"/>
              <w:rPr>
                <w:rFonts w:asciiTheme="minorHAnsi" w:hAnsiTheme="minorHAnsi" w:cstheme="minorHAnsi"/>
                <w:sz w:val="14"/>
                <w:szCs w:val="14"/>
              </w:rPr>
            </w:pPr>
            <w:r w:rsidRPr="008C311C">
              <w:rPr>
                <w:rFonts w:asciiTheme="minorHAnsi" w:hAnsiTheme="minorHAnsi" w:cstheme="minorHAnsi"/>
                <w:sz w:val="14"/>
                <w:szCs w:val="14"/>
              </w:rPr>
              <w:t> </w:t>
            </w:r>
            <w:r>
              <w:rPr>
                <w:rFonts w:asciiTheme="minorHAnsi" w:hAnsiTheme="minorHAnsi" w:cstheme="minorHAnsi"/>
                <w:sz w:val="14"/>
                <w:szCs w:val="14"/>
              </w:rPr>
              <w:t>N</w:t>
            </w:r>
          </w:p>
        </w:tc>
        <w:tc>
          <w:tcPr>
            <w:tcW w:w="851" w:type="dxa"/>
            <w:tcBorders>
              <w:top w:val="nil"/>
              <w:left w:val="nil"/>
              <w:bottom w:val="single" w:sz="4" w:space="0" w:color="FFFFFF"/>
            </w:tcBorders>
            <w:shd w:val="clear" w:color="auto" w:fill="D9E2F3"/>
            <w:vAlign w:val="center"/>
            <w:hideMark/>
          </w:tcPr>
          <w:p w14:paraId="136043F4"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7CE3D735"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13D24047" w14:textId="77777777" w:rsidR="008C311C" w:rsidRPr="008C311C" w:rsidRDefault="008C311C">
            <w:pPr>
              <w:jc w:val="center"/>
              <w:rPr>
                <w:rFonts w:asciiTheme="minorHAnsi" w:hAnsiTheme="minorHAnsi" w:cstheme="minorHAnsi"/>
                <w:b/>
                <w:bCs/>
                <w:sz w:val="14"/>
                <w:szCs w:val="14"/>
              </w:rPr>
            </w:pPr>
            <w:r w:rsidRPr="008C311C">
              <w:rPr>
                <w:rFonts w:asciiTheme="minorHAnsi" w:hAnsiTheme="minorHAnsi" w:cstheme="minorHAnsi"/>
                <w:b/>
                <w:bCs/>
                <w:sz w:val="14"/>
                <w:szCs w:val="14"/>
              </w:rPr>
              <w:t>11</w:t>
            </w:r>
          </w:p>
        </w:tc>
        <w:tc>
          <w:tcPr>
            <w:tcW w:w="5954" w:type="dxa"/>
            <w:tcBorders>
              <w:top w:val="nil"/>
              <w:left w:val="nil"/>
              <w:bottom w:val="single" w:sz="4" w:space="0" w:color="FFFFFF"/>
              <w:right w:val="single" w:sz="4" w:space="0" w:color="FFFFFF"/>
            </w:tcBorders>
            <w:shd w:val="clear" w:color="auto" w:fill="D9E2F3"/>
            <w:noWrap/>
            <w:vAlign w:val="center"/>
            <w:hideMark/>
          </w:tcPr>
          <w:p w14:paraId="03F896F9" w14:textId="77777777" w:rsidR="008C311C" w:rsidRPr="008C311C" w:rsidRDefault="008C311C">
            <w:pPr>
              <w:rPr>
                <w:rFonts w:asciiTheme="minorHAnsi" w:hAnsiTheme="minorHAnsi" w:cstheme="minorHAnsi"/>
                <w:b/>
                <w:bCs/>
                <w:sz w:val="14"/>
                <w:szCs w:val="14"/>
              </w:rPr>
            </w:pPr>
            <w:r w:rsidRPr="008C311C">
              <w:rPr>
                <w:rFonts w:asciiTheme="minorHAnsi" w:hAnsiTheme="minorHAnsi" w:cstheme="minorHAnsi"/>
                <w:b/>
                <w:bCs/>
                <w:sz w:val="14"/>
                <w:szCs w:val="14"/>
              </w:rPr>
              <w:t>Contratação Pública</w:t>
            </w:r>
          </w:p>
        </w:tc>
        <w:tc>
          <w:tcPr>
            <w:tcW w:w="992" w:type="dxa"/>
            <w:tcBorders>
              <w:top w:val="nil"/>
              <w:left w:val="nil"/>
              <w:bottom w:val="single" w:sz="4" w:space="0" w:color="FFFFFF"/>
              <w:right w:val="single" w:sz="4" w:space="0" w:color="FFFFFF"/>
            </w:tcBorders>
            <w:shd w:val="clear" w:color="auto" w:fill="D9E2F3"/>
            <w:noWrap/>
            <w:vAlign w:val="center"/>
            <w:hideMark/>
          </w:tcPr>
          <w:p w14:paraId="72C48441" w14:textId="1AB6FB6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r w:rsidR="00077840" w:rsidRPr="008C311C">
              <w:rPr>
                <w:rFonts w:asciiTheme="minorHAnsi" w:hAnsiTheme="minorHAnsi" w:cstheme="minorHAnsi"/>
                <w:sz w:val="14"/>
                <w:szCs w:val="14"/>
              </w:rPr>
              <w:t> </w:t>
            </w:r>
            <w:r w:rsidR="00077840">
              <w:rPr>
                <w:rFonts w:asciiTheme="minorHAnsi" w:hAnsiTheme="minorHAnsi" w:cstheme="minorHAnsi"/>
                <w:sz w:val="14"/>
                <w:szCs w:val="14"/>
              </w:rPr>
              <w:t>N.A.</w:t>
            </w:r>
          </w:p>
        </w:tc>
        <w:tc>
          <w:tcPr>
            <w:tcW w:w="851" w:type="dxa"/>
            <w:tcBorders>
              <w:top w:val="nil"/>
              <w:left w:val="nil"/>
              <w:bottom w:val="single" w:sz="4" w:space="0" w:color="FFFFFF"/>
            </w:tcBorders>
            <w:shd w:val="clear" w:color="auto" w:fill="D9E2F3"/>
            <w:vAlign w:val="center"/>
            <w:hideMark/>
          </w:tcPr>
          <w:p w14:paraId="78129B7C"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0FE0F21C"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4BC41380"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5954" w:type="dxa"/>
            <w:tcBorders>
              <w:top w:val="nil"/>
              <w:left w:val="nil"/>
              <w:bottom w:val="single" w:sz="4" w:space="0" w:color="FFFFFF"/>
              <w:right w:val="single" w:sz="4" w:space="0" w:color="FFFFFF"/>
            </w:tcBorders>
            <w:shd w:val="clear" w:color="auto" w:fill="D9E2F3"/>
            <w:noWrap/>
            <w:vAlign w:val="center"/>
            <w:hideMark/>
          </w:tcPr>
          <w:p w14:paraId="3C2CEA18" w14:textId="77777777" w:rsidR="008C311C" w:rsidRPr="008C311C" w:rsidRDefault="008C311C">
            <w:pPr>
              <w:ind w:firstLineChars="100" w:firstLine="140"/>
              <w:rPr>
                <w:rFonts w:asciiTheme="minorHAnsi" w:hAnsiTheme="minorHAnsi" w:cstheme="minorHAnsi"/>
                <w:sz w:val="14"/>
                <w:szCs w:val="14"/>
              </w:rPr>
            </w:pPr>
            <w:r w:rsidRPr="008C311C">
              <w:rPr>
                <w:rFonts w:asciiTheme="minorHAnsi" w:hAnsiTheme="minorHAnsi" w:cstheme="minorHAnsi"/>
                <w:sz w:val="14"/>
                <w:szCs w:val="14"/>
              </w:rPr>
              <w:t>Aplicação das normas de contratação pública pela empresa</w:t>
            </w:r>
          </w:p>
        </w:tc>
        <w:tc>
          <w:tcPr>
            <w:tcW w:w="992" w:type="dxa"/>
            <w:tcBorders>
              <w:top w:val="nil"/>
              <w:left w:val="nil"/>
              <w:bottom w:val="single" w:sz="4" w:space="0" w:color="FFFFFF"/>
              <w:right w:val="single" w:sz="4" w:space="0" w:color="FFFFFF"/>
            </w:tcBorders>
            <w:shd w:val="clear" w:color="auto" w:fill="D9E2F3"/>
            <w:noWrap/>
            <w:vAlign w:val="center"/>
            <w:hideMark/>
          </w:tcPr>
          <w:p w14:paraId="221D7755"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851" w:type="dxa"/>
            <w:tcBorders>
              <w:top w:val="nil"/>
              <w:left w:val="nil"/>
              <w:bottom w:val="single" w:sz="4" w:space="0" w:color="FFFFFF"/>
            </w:tcBorders>
            <w:shd w:val="clear" w:color="auto" w:fill="D9E2F3"/>
            <w:vAlign w:val="center"/>
            <w:hideMark/>
          </w:tcPr>
          <w:p w14:paraId="5F77BED6"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4516DC4B"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43B4D1E5"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5954" w:type="dxa"/>
            <w:tcBorders>
              <w:top w:val="nil"/>
              <w:left w:val="nil"/>
              <w:bottom w:val="single" w:sz="4" w:space="0" w:color="FFFFFF"/>
              <w:right w:val="single" w:sz="4" w:space="0" w:color="FFFFFF"/>
            </w:tcBorders>
            <w:shd w:val="clear" w:color="auto" w:fill="D9E2F3"/>
            <w:noWrap/>
            <w:vAlign w:val="center"/>
            <w:hideMark/>
          </w:tcPr>
          <w:p w14:paraId="0AE5211A" w14:textId="77777777" w:rsidR="008C311C" w:rsidRPr="008C311C" w:rsidRDefault="008C311C">
            <w:pPr>
              <w:ind w:firstLineChars="100" w:firstLine="140"/>
              <w:rPr>
                <w:rFonts w:asciiTheme="minorHAnsi" w:hAnsiTheme="minorHAnsi" w:cstheme="minorHAnsi"/>
                <w:sz w:val="14"/>
                <w:szCs w:val="14"/>
              </w:rPr>
            </w:pPr>
            <w:r w:rsidRPr="008C311C">
              <w:rPr>
                <w:rFonts w:asciiTheme="minorHAnsi" w:hAnsiTheme="minorHAnsi" w:cstheme="minorHAnsi"/>
                <w:sz w:val="14"/>
                <w:szCs w:val="14"/>
              </w:rPr>
              <w:t>Aplicação das normas de contratação pública pelas participadas</w:t>
            </w:r>
          </w:p>
        </w:tc>
        <w:tc>
          <w:tcPr>
            <w:tcW w:w="992" w:type="dxa"/>
            <w:tcBorders>
              <w:top w:val="nil"/>
              <w:left w:val="nil"/>
              <w:bottom w:val="single" w:sz="4" w:space="0" w:color="FFFFFF"/>
              <w:right w:val="single" w:sz="4" w:space="0" w:color="FFFFFF"/>
            </w:tcBorders>
            <w:shd w:val="clear" w:color="auto" w:fill="D9E2F3"/>
            <w:noWrap/>
            <w:vAlign w:val="center"/>
            <w:hideMark/>
          </w:tcPr>
          <w:p w14:paraId="13338CEF"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851" w:type="dxa"/>
            <w:tcBorders>
              <w:top w:val="nil"/>
              <w:left w:val="nil"/>
              <w:bottom w:val="single" w:sz="4" w:space="0" w:color="FFFFFF"/>
            </w:tcBorders>
            <w:shd w:val="clear" w:color="auto" w:fill="D9E2F3"/>
            <w:vAlign w:val="center"/>
            <w:hideMark/>
          </w:tcPr>
          <w:p w14:paraId="3BB25FED"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6B163EFE"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190DF0E1"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5954" w:type="dxa"/>
            <w:tcBorders>
              <w:top w:val="nil"/>
              <w:left w:val="nil"/>
              <w:bottom w:val="single" w:sz="4" w:space="0" w:color="FFFFFF"/>
              <w:right w:val="single" w:sz="4" w:space="0" w:color="FFFFFF"/>
            </w:tcBorders>
            <w:shd w:val="clear" w:color="auto" w:fill="D9E2F3"/>
            <w:noWrap/>
            <w:vAlign w:val="center"/>
            <w:hideMark/>
          </w:tcPr>
          <w:p w14:paraId="46DEB417" w14:textId="77777777" w:rsidR="008C311C" w:rsidRPr="008C311C" w:rsidRDefault="008C311C">
            <w:pPr>
              <w:ind w:firstLineChars="100" w:firstLine="140"/>
              <w:rPr>
                <w:rFonts w:asciiTheme="minorHAnsi" w:hAnsiTheme="minorHAnsi" w:cstheme="minorHAnsi"/>
                <w:sz w:val="14"/>
                <w:szCs w:val="14"/>
              </w:rPr>
            </w:pPr>
            <w:r w:rsidRPr="008C311C">
              <w:rPr>
                <w:rFonts w:asciiTheme="minorHAnsi" w:hAnsiTheme="minorHAnsi" w:cstheme="minorHAnsi"/>
                <w:sz w:val="14"/>
                <w:szCs w:val="14"/>
              </w:rPr>
              <w:t xml:space="preserve">Procedimentos internos instituídos para a contratação de bens e serviços </w:t>
            </w:r>
          </w:p>
        </w:tc>
        <w:tc>
          <w:tcPr>
            <w:tcW w:w="992" w:type="dxa"/>
            <w:tcBorders>
              <w:top w:val="nil"/>
              <w:left w:val="nil"/>
              <w:bottom w:val="single" w:sz="4" w:space="0" w:color="FFFFFF"/>
              <w:right w:val="single" w:sz="4" w:space="0" w:color="FFFFFF"/>
            </w:tcBorders>
            <w:shd w:val="clear" w:color="auto" w:fill="D9E2F3"/>
            <w:noWrap/>
            <w:vAlign w:val="center"/>
            <w:hideMark/>
          </w:tcPr>
          <w:p w14:paraId="68AFB3B7"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851" w:type="dxa"/>
            <w:tcBorders>
              <w:top w:val="nil"/>
              <w:left w:val="nil"/>
              <w:bottom w:val="single" w:sz="4" w:space="0" w:color="FFFFFF"/>
            </w:tcBorders>
            <w:shd w:val="clear" w:color="auto" w:fill="D9E2F3"/>
            <w:vAlign w:val="center"/>
            <w:hideMark/>
          </w:tcPr>
          <w:p w14:paraId="378E59C2"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0DE61F19" w14:textId="77777777" w:rsidTr="00AB2F99">
        <w:trPr>
          <w:trHeight w:val="227"/>
        </w:trPr>
        <w:tc>
          <w:tcPr>
            <w:tcW w:w="562" w:type="dxa"/>
            <w:tcBorders>
              <w:top w:val="nil"/>
              <w:bottom w:val="single" w:sz="4" w:space="0" w:color="FFFFFF"/>
              <w:right w:val="single" w:sz="4" w:space="0" w:color="FFFFFF"/>
            </w:tcBorders>
            <w:shd w:val="clear" w:color="auto" w:fill="D9E2F3"/>
            <w:noWrap/>
            <w:vAlign w:val="center"/>
            <w:hideMark/>
          </w:tcPr>
          <w:p w14:paraId="4F7B761B"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5954" w:type="dxa"/>
            <w:tcBorders>
              <w:top w:val="nil"/>
              <w:left w:val="nil"/>
              <w:bottom w:val="single" w:sz="4" w:space="0" w:color="FFFFFF"/>
              <w:right w:val="single" w:sz="4" w:space="0" w:color="FFFFFF"/>
            </w:tcBorders>
            <w:shd w:val="clear" w:color="auto" w:fill="D9E2F3"/>
            <w:noWrap/>
            <w:vAlign w:val="center"/>
            <w:hideMark/>
          </w:tcPr>
          <w:p w14:paraId="4E6ECFEF" w14:textId="77777777" w:rsidR="008C311C" w:rsidRPr="008C311C" w:rsidRDefault="008C311C">
            <w:pPr>
              <w:ind w:firstLineChars="100" w:firstLine="140"/>
              <w:rPr>
                <w:rFonts w:asciiTheme="minorHAnsi" w:hAnsiTheme="minorHAnsi" w:cstheme="minorHAnsi"/>
                <w:sz w:val="14"/>
                <w:szCs w:val="14"/>
              </w:rPr>
            </w:pPr>
            <w:r w:rsidRPr="008C311C">
              <w:rPr>
                <w:rFonts w:asciiTheme="minorHAnsi" w:hAnsiTheme="minorHAnsi" w:cstheme="minorHAnsi"/>
                <w:sz w:val="14"/>
                <w:szCs w:val="14"/>
              </w:rPr>
              <w:t>Contratos submetidos a visto prévio do TC</w:t>
            </w:r>
          </w:p>
        </w:tc>
        <w:tc>
          <w:tcPr>
            <w:tcW w:w="992" w:type="dxa"/>
            <w:tcBorders>
              <w:top w:val="nil"/>
              <w:left w:val="nil"/>
              <w:bottom w:val="single" w:sz="4" w:space="0" w:color="FFFFFF"/>
              <w:right w:val="single" w:sz="4" w:space="0" w:color="FFFFFF"/>
            </w:tcBorders>
            <w:shd w:val="clear" w:color="auto" w:fill="D9E2F3"/>
            <w:noWrap/>
            <w:vAlign w:val="center"/>
            <w:hideMark/>
          </w:tcPr>
          <w:p w14:paraId="0C2BF3C5"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851" w:type="dxa"/>
            <w:tcBorders>
              <w:top w:val="nil"/>
              <w:left w:val="nil"/>
              <w:bottom w:val="single" w:sz="4" w:space="0" w:color="FFFFFF"/>
            </w:tcBorders>
            <w:shd w:val="clear" w:color="auto" w:fill="D9E2F3"/>
            <w:vAlign w:val="center"/>
            <w:hideMark/>
          </w:tcPr>
          <w:p w14:paraId="0D338E48"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710116AA" w14:textId="77777777" w:rsidTr="00AB2F99">
        <w:trPr>
          <w:trHeight w:val="227"/>
        </w:trPr>
        <w:tc>
          <w:tcPr>
            <w:tcW w:w="562" w:type="dxa"/>
            <w:tcBorders>
              <w:top w:val="single" w:sz="4" w:space="0" w:color="FFFFFF"/>
              <w:left w:val="single" w:sz="4" w:space="0" w:color="FFFFFF"/>
              <w:bottom w:val="single" w:sz="4" w:space="0" w:color="FFFFFF"/>
              <w:right w:val="single" w:sz="4" w:space="0" w:color="FFFFFF"/>
            </w:tcBorders>
            <w:shd w:val="clear" w:color="auto" w:fill="D9E2F3"/>
            <w:noWrap/>
            <w:vAlign w:val="center"/>
            <w:hideMark/>
          </w:tcPr>
          <w:p w14:paraId="5043CBBC" w14:textId="77777777" w:rsidR="008C311C" w:rsidRPr="008C311C" w:rsidRDefault="008C311C">
            <w:pPr>
              <w:jc w:val="center"/>
              <w:rPr>
                <w:rFonts w:asciiTheme="minorHAnsi" w:hAnsiTheme="minorHAnsi" w:cstheme="minorHAnsi"/>
                <w:b/>
                <w:bCs/>
                <w:sz w:val="14"/>
                <w:szCs w:val="14"/>
              </w:rPr>
            </w:pPr>
            <w:r w:rsidRPr="008C311C">
              <w:rPr>
                <w:rFonts w:asciiTheme="minorHAnsi" w:hAnsiTheme="minorHAnsi" w:cstheme="minorHAnsi"/>
                <w:b/>
                <w:bCs/>
                <w:sz w:val="14"/>
                <w:szCs w:val="14"/>
              </w:rPr>
              <w:lastRenderedPageBreak/>
              <w:t>12</w:t>
            </w:r>
          </w:p>
        </w:tc>
        <w:tc>
          <w:tcPr>
            <w:tcW w:w="5954" w:type="dxa"/>
            <w:tcBorders>
              <w:top w:val="single" w:sz="4" w:space="0" w:color="FFFFFF"/>
              <w:left w:val="nil"/>
              <w:bottom w:val="single" w:sz="4" w:space="0" w:color="FFFFFF"/>
              <w:right w:val="single" w:sz="4" w:space="0" w:color="FFFFFF"/>
            </w:tcBorders>
            <w:shd w:val="clear" w:color="auto" w:fill="D9E2F3"/>
            <w:noWrap/>
            <w:vAlign w:val="center"/>
            <w:hideMark/>
          </w:tcPr>
          <w:p w14:paraId="53EBDA57" w14:textId="77777777" w:rsidR="008C311C" w:rsidRPr="008C311C" w:rsidRDefault="008C311C">
            <w:pPr>
              <w:rPr>
                <w:rFonts w:asciiTheme="minorHAnsi" w:hAnsiTheme="minorHAnsi" w:cstheme="minorHAnsi"/>
                <w:b/>
                <w:bCs/>
                <w:sz w:val="14"/>
                <w:szCs w:val="14"/>
              </w:rPr>
            </w:pPr>
            <w:r w:rsidRPr="008C311C">
              <w:rPr>
                <w:rFonts w:asciiTheme="minorHAnsi" w:hAnsiTheme="minorHAnsi" w:cstheme="minorHAnsi"/>
                <w:b/>
                <w:bCs/>
                <w:sz w:val="14"/>
                <w:szCs w:val="14"/>
              </w:rPr>
              <w:t>Informação Complementar</w:t>
            </w:r>
          </w:p>
        </w:tc>
        <w:tc>
          <w:tcPr>
            <w:tcW w:w="992" w:type="dxa"/>
            <w:tcBorders>
              <w:top w:val="single" w:sz="4" w:space="0" w:color="FFFFFF"/>
              <w:left w:val="nil"/>
              <w:bottom w:val="single" w:sz="4" w:space="0" w:color="FFFFFF"/>
              <w:right w:val="single" w:sz="4" w:space="0" w:color="FFFFFF"/>
            </w:tcBorders>
            <w:shd w:val="clear" w:color="auto" w:fill="D9E2F3"/>
            <w:noWrap/>
            <w:vAlign w:val="center"/>
            <w:hideMark/>
          </w:tcPr>
          <w:p w14:paraId="1A241CCA"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851" w:type="dxa"/>
            <w:tcBorders>
              <w:top w:val="single" w:sz="4" w:space="0" w:color="FFFFFF"/>
              <w:left w:val="nil"/>
              <w:bottom w:val="single" w:sz="4" w:space="0" w:color="FFFFFF"/>
              <w:right w:val="single" w:sz="4" w:space="0" w:color="FFFFFF"/>
            </w:tcBorders>
            <w:shd w:val="clear" w:color="auto" w:fill="D9E2F3"/>
            <w:vAlign w:val="center"/>
            <w:hideMark/>
          </w:tcPr>
          <w:p w14:paraId="76713B69"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627177CB" w14:textId="77777777" w:rsidTr="00AB2F99">
        <w:trPr>
          <w:trHeight w:val="227"/>
        </w:trPr>
        <w:tc>
          <w:tcPr>
            <w:tcW w:w="562" w:type="dxa"/>
            <w:tcBorders>
              <w:top w:val="single" w:sz="4" w:space="0" w:color="FFFFFF"/>
              <w:left w:val="single" w:sz="4" w:space="0" w:color="FFFFFF"/>
              <w:bottom w:val="single" w:sz="4" w:space="0" w:color="FFFFFF"/>
              <w:right w:val="single" w:sz="4" w:space="0" w:color="FFFFFF"/>
            </w:tcBorders>
            <w:shd w:val="clear" w:color="auto" w:fill="D9E2F3"/>
            <w:noWrap/>
            <w:vAlign w:val="center"/>
            <w:hideMark/>
          </w:tcPr>
          <w:p w14:paraId="51CF6AC6" w14:textId="77777777" w:rsidR="008C311C" w:rsidRPr="008C311C" w:rsidRDefault="008C311C">
            <w:pPr>
              <w:jc w:val="center"/>
              <w:rPr>
                <w:rFonts w:asciiTheme="minorHAnsi" w:hAnsiTheme="minorHAnsi" w:cstheme="minorHAnsi"/>
                <w:b/>
                <w:bCs/>
                <w:sz w:val="14"/>
                <w:szCs w:val="14"/>
              </w:rPr>
            </w:pPr>
            <w:r w:rsidRPr="008C311C">
              <w:rPr>
                <w:rFonts w:asciiTheme="minorHAnsi" w:hAnsiTheme="minorHAnsi" w:cstheme="minorHAnsi"/>
                <w:b/>
                <w:bCs/>
                <w:sz w:val="14"/>
                <w:szCs w:val="14"/>
              </w:rPr>
              <w:t> </w:t>
            </w:r>
          </w:p>
        </w:tc>
        <w:tc>
          <w:tcPr>
            <w:tcW w:w="5954" w:type="dxa"/>
            <w:tcBorders>
              <w:top w:val="single" w:sz="4" w:space="0" w:color="FFFFFF"/>
              <w:left w:val="nil"/>
              <w:bottom w:val="single" w:sz="4" w:space="0" w:color="FFFFFF"/>
              <w:right w:val="single" w:sz="4" w:space="0" w:color="FFFFFF"/>
            </w:tcBorders>
            <w:shd w:val="clear" w:color="auto" w:fill="D9E2F3"/>
            <w:noWrap/>
            <w:vAlign w:val="center"/>
            <w:hideMark/>
          </w:tcPr>
          <w:p w14:paraId="1D4000E1" w14:textId="77777777" w:rsidR="008C311C" w:rsidRPr="008C311C" w:rsidRDefault="008C311C">
            <w:pPr>
              <w:ind w:firstLineChars="100" w:firstLine="140"/>
              <w:rPr>
                <w:rFonts w:asciiTheme="minorHAnsi" w:hAnsiTheme="minorHAnsi" w:cstheme="minorHAnsi"/>
                <w:sz w:val="14"/>
                <w:szCs w:val="14"/>
              </w:rPr>
            </w:pPr>
            <w:r w:rsidRPr="008C311C">
              <w:rPr>
                <w:rFonts w:asciiTheme="minorHAnsi" w:hAnsiTheme="minorHAnsi" w:cstheme="minorHAnsi"/>
                <w:sz w:val="14"/>
                <w:szCs w:val="14"/>
              </w:rPr>
              <w:t>Adesão ao Sistema Nacional de Compras Públicas</w:t>
            </w:r>
          </w:p>
        </w:tc>
        <w:tc>
          <w:tcPr>
            <w:tcW w:w="992" w:type="dxa"/>
            <w:tcBorders>
              <w:top w:val="single" w:sz="4" w:space="0" w:color="FFFFFF"/>
              <w:left w:val="nil"/>
              <w:bottom w:val="single" w:sz="4" w:space="0" w:color="FFFFFF"/>
              <w:right w:val="single" w:sz="4" w:space="0" w:color="FFFFFF"/>
            </w:tcBorders>
            <w:shd w:val="clear" w:color="auto" w:fill="D9E2F3"/>
            <w:noWrap/>
            <w:vAlign w:val="center"/>
            <w:hideMark/>
          </w:tcPr>
          <w:p w14:paraId="3B6E6E23" w14:textId="78D74EF8"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r w:rsidR="00077840" w:rsidRPr="008C311C">
              <w:rPr>
                <w:rFonts w:asciiTheme="minorHAnsi" w:hAnsiTheme="minorHAnsi" w:cstheme="minorHAnsi"/>
                <w:sz w:val="14"/>
                <w:szCs w:val="14"/>
              </w:rPr>
              <w:t> </w:t>
            </w:r>
            <w:r w:rsidR="00077840">
              <w:rPr>
                <w:rFonts w:asciiTheme="minorHAnsi" w:hAnsiTheme="minorHAnsi" w:cstheme="minorHAnsi"/>
                <w:sz w:val="14"/>
                <w:szCs w:val="14"/>
              </w:rPr>
              <w:t>N.A.</w:t>
            </w:r>
          </w:p>
        </w:tc>
        <w:tc>
          <w:tcPr>
            <w:tcW w:w="851" w:type="dxa"/>
            <w:tcBorders>
              <w:top w:val="single" w:sz="4" w:space="0" w:color="FFFFFF"/>
              <w:left w:val="nil"/>
              <w:bottom w:val="single" w:sz="4" w:space="0" w:color="FFFFFF"/>
              <w:right w:val="single" w:sz="4" w:space="0" w:color="FFFFFF"/>
            </w:tcBorders>
            <w:shd w:val="clear" w:color="auto" w:fill="D9E2F3"/>
            <w:vAlign w:val="center"/>
            <w:hideMark/>
          </w:tcPr>
          <w:p w14:paraId="1684099D"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26F849EC" w14:textId="77777777" w:rsidTr="00AB2F99">
        <w:trPr>
          <w:trHeight w:val="227"/>
        </w:trPr>
        <w:tc>
          <w:tcPr>
            <w:tcW w:w="562" w:type="dxa"/>
            <w:tcBorders>
              <w:top w:val="single" w:sz="4" w:space="0" w:color="FFFFFF"/>
              <w:left w:val="single" w:sz="4" w:space="0" w:color="FFFFFF"/>
              <w:bottom w:val="single" w:sz="4" w:space="0" w:color="FFFFFF"/>
              <w:right w:val="single" w:sz="4" w:space="0" w:color="FFFFFF"/>
            </w:tcBorders>
            <w:shd w:val="clear" w:color="auto" w:fill="D9E2F3"/>
            <w:noWrap/>
            <w:vAlign w:val="center"/>
            <w:hideMark/>
          </w:tcPr>
          <w:p w14:paraId="360D8395" w14:textId="77777777" w:rsidR="008C311C" w:rsidRPr="008C311C" w:rsidRDefault="008C311C">
            <w:pPr>
              <w:jc w:val="center"/>
              <w:rPr>
                <w:rFonts w:asciiTheme="minorHAnsi" w:hAnsiTheme="minorHAnsi" w:cstheme="minorHAnsi"/>
                <w:b/>
                <w:bCs/>
                <w:sz w:val="14"/>
                <w:szCs w:val="14"/>
              </w:rPr>
            </w:pPr>
            <w:r w:rsidRPr="008C311C">
              <w:rPr>
                <w:rFonts w:asciiTheme="minorHAnsi" w:hAnsiTheme="minorHAnsi" w:cstheme="minorHAnsi"/>
                <w:b/>
                <w:bCs/>
                <w:sz w:val="14"/>
                <w:szCs w:val="14"/>
              </w:rPr>
              <w:t> </w:t>
            </w:r>
          </w:p>
        </w:tc>
        <w:tc>
          <w:tcPr>
            <w:tcW w:w="5954" w:type="dxa"/>
            <w:tcBorders>
              <w:top w:val="single" w:sz="4" w:space="0" w:color="FFFFFF"/>
              <w:left w:val="nil"/>
              <w:bottom w:val="single" w:sz="4" w:space="0" w:color="FFFFFF"/>
              <w:right w:val="single" w:sz="4" w:space="0" w:color="FFFFFF"/>
            </w:tcBorders>
            <w:shd w:val="clear" w:color="auto" w:fill="D9E2F3"/>
            <w:noWrap/>
            <w:vAlign w:val="center"/>
            <w:hideMark/>
          </w:tcPr>
          <w:p w14:paraId="3F7DC6FE" w14:textId="43D01453" w:rsidR="008C311C" w:rsidRPr="008C311C" w:rsidRDefault="008C311C">
            <w:pPr>
              <w:ind w:firstLineChars="100" w:firstLine="140"/>
              <w:rPr>
                <w:rFonts w:asciiTheme="minorHAnsi" w:hAnsiTheme="minorHAnsi" w:cstheme="minorHAnsi"/>
                <w:sz w:val="14"/>
                <w:szCs w:val="14"/>
              </w:rPr>
            </w:pPr>
            <w:r w:rsidRPr="008C311C">
              <w:rPr>
                <w:rFonts w:asciiTheme="minorHAnsi" w:hAnsiTheme="minorHAnsi" w:cstheme="minorHAnsi"/>
                <w:sz w:val="14"/>
                <w:szCs w:val="14"/>
              </w:rPr>
              <w:t>Diligências tomadas sobre recomendações do acionista na última aprovação de contas</w:t>
            </w:r>
            <w:r w:rsidR="00096F91">
              <w:rPr>
                <w:rFonts w:asciiTheme="minorHAnsi" w:hAnsiTheme="minorHAnsi" w:cstheme="minorHAnsi"/>
                <w:sz w:val="14"/>
                <w:szCs w:val="14"/>
              </w:rPr>
              <w:t>:</w:t>
            </w:r>
          </w:p>
        </w:tc>
        <w:tc>
          <w:tcPr>
            <w:tcW w:w="992" w:type="dxa"/>
            <w:tcBorders>
              <w:top w:val="single" w:sz="4" w:space="0" w:color="FFFFFF"/>
              <w:left w:val="nil"/>
              <w:bottom w:val="single" w:sz="4" w:space="0" w:color="FFFFFF"/>
              <w:right w:val="single" w:sz="4" w:space="0" w:color="FFFFFF"/>
            </w:tcBorders>
            <w:shd w:val="clear" w:color="auto" w:fill="D9E2F3"/>
            <w:noWrap/>
            <w:vAlign w:val="center"/>
            <w:hideMark/>
          </w:tcPr>
          <w:p w14:paraId="5747CC46" w14:textId="1563F0B4"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851" w:type="dxa"/>
            <w:tcBorders>
              <w:top w:val="single" w:sz="4" w:space="0" w:color="FFFFFF"/>
              <w:left w:val="nil"/>
              <w:bottom w:val="single" w:sz="4" w:space="0" w:color="FFFFFF"/>
              <w:right w:val="single" w:sz="4" w:space="0" w:color="FFFFFF"/>
            </w:tcBorders>
            <w:shd w:val="clear" w:color="auto" w:fill="D9E2F3"/>
            <w:vAlign w:val="center"/>
            <w:hideMark/>
          </w:tcPr>
          <w:p w14:paraId="787476A3"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272B8F" w14:paraId="74752F30" w14:textId="77777777" w:rsidTr="00AB2F99">
        <w:trPr>
          <w:trHeight w:val="227"/>
        </w:trPr>
        <w:tc>
          <w:tcPr>
            <w:tcW w:w="562" w:type="dxa"/>
            <w:tcBorders>
              <w:top w:val="single" w:sz="4" w:space="0" w:color="FFFFFF"/>
              <w:left w:val="single" w:sz="4" w:space="0" w:color="FFFFFF"/>
              <w:bottom w:val="single" w:sz="4" w:space="0" w:color="FFFFFF"/>
              <w:right w:val="single" w:sz="4" w:space="0" w:color="FFFFFF"/>
            </w:tcBorders>
            <w:shd w:val="clear" w:color="auto" w:fill="D9E2F3"/>
            <w:noWrap/>
            <w:vAlign w:val="center"/>
          </w:tcPr>
          <w:p w14:paraId="0D19D239" w14:textId="77777777" w:rsidR="00272B8F" w:rsidRPr="008C311C" w:rsidRDefault="00272B8F">
            <w:pPr>
              <w:jc w:val="center"/>
              <w:rPr>
                <w:rFonts w:asciiTheme="minorHAnsi" w:hAnsiTheme="minorHAnsi" w:cstheme="minorHAnsi"/>
                <w:sz w:val="14"/>
                <w:szCs w:val="14"/>
              </w:rPr>
            </w:pPr>
          </w:p>
        </w:tc>
        <w:tc>
          <w:tcPr>
            <w:tcW w:w="5954" w:type="dxa"/>
            <w:tcBorders>
              <w:top w:val="single" w:sz="4" w:space="0" w:color="FFFFFF"/>
              <w:left w:val="nil"/>
              <w:bottom w:val="single" w:sz="4" w:space="0" w:color="FFFFFF"/>
              <w:right w:val="single" w:sz="4" w:space="0" w:color="FFFFFF"/>
            </w:tcBorders>
            <w:shd w:val="clear" w:color="auto" w:fill="D9E2F3"/>
            <w:noWrap/>
            <w:vAlign w:val="center"/>
          </w:tcPr>
          <w:p w14:paraId="32A294FF" w14:textId="5913A8AB" w:rsidR="00272B8F" w:rsidRPr="008C311C" w:rsidRDefault="00096F91" w:rsidP="00CA3A4C">
            <w:pPr>
              <w:ind w:left="363"/>
              <w:rPr>
                <w:rFonts w:asciiTheme="minorHAnsi" w:hAnsiTheme="minorHAnsi" w:cstheme="minorHAnsi"/>
                <w:sz w:val="14"/>
                <w:szCs w:val="14"/>
              </w:rPr>
            </w:pPr>
            <w:r>
              <w:rPr>
                <w:rFonts w:asciiTheme="minorHAnsi" w:hAnsiTheme="minorHAnsi" w:cstheme="minorHAnsi"/>
                <w:sz w:val="14"/>
                <w:szCs w:val="14"/>
              </w:rPr>
              <w:t>“</w:t>
            </w:r>
            <w:r w:rsidRPr="00096F91">
              <w:rPr>
                <w:rFonts w:asciiTheme="minorHAnsi" w:hAnsiTheme="minorHAnsi" w:cstheme="minorHAnsi"/>
                <w:sz w:val="14"/>
                <w:szCs w:val="14"/>
              </w:rPr>
              <w:t>resolução das reservas e ênfases constantes na certificação Legal de Contas</w:t>
            </w:r>
            <w:r>
              <w:rPr>
                <w:rFonts w:asciiTheme="minorHAnsi" w:hAnsiTheme="minorHAnsi" w:cstheme="minorHAnsi"/>
                <w:sz w:val="14"/>
                <w:szCs w:val="14"/>
              </w:rPr>
              <w:t>”</w:t>
            </w:r>
            <w:r w:rsidR="00CA3A4C">
              <w:rPr>
                <w:rFonts w:asciiTheme="minorHAnsi" w:hAnsiTheme="minorHAnsi" w:cstheme="minorHAnsi"/>
                <w:sz w:val="14"/>
                <w:szCs w:val="14"/>
              </w:rPr>
              <w:t xml:space="preserve"> - </w:t>
            </w:r>
            <w:r w:rsidR="00CA3A4C" w:rsidRPr="00CA3A4C">
              <w:rPr>
                <w:rFonts w:asciiTheme="minorHAnsi" w:hAnsiTheme="minorHAnsi" w:cstheme="minorHAnsi"/>
                <w:sz w:val="14"/>
                <w:szCs w:val="14"/>
              </w:rPr>
              <w:t xml:space="preserve">a PARVALOREM apresentou, ao Secretário de Estado do Tesouro e Finanças, uma exposição com enquadramento dos 3 Reservas constantes na última CLC e diligências tomadas / a tomar no sentido </w:t>
            </w:r>
            <w:proofErr w:type="gramStart"/>
            <w:r w:rsidR="00CA3A4C" w:rsidRPr="00CA3A4C">
              <w:rPr>
                <w:rFonts w:asciiTheme="minorHAnsi" w:hAnsiTheme="minorHAnsi" w:cstheme="minorHAnsi"/>
                <w:sz w:val="14"/>
                <w:szCs w:val="14"/>
              </w:rPr>
              <w:t>do</w:t>
            </w:r>
            <w:proofErr w:type="gramEnd"/>
            <w:r w:rsidR="00CA3A4C" w:rsidRPr="00CA3A4C">
              <w:rPr>
                <w:rFonts w:asciiTheme="minorHAnsi" w:hAnsiTheme="minorHAnsi" w:cstheme="minorHAnsi"/>
                <w:sz w:val="14"/>
                <w:szCs w:val="14"/>
              </w:rPr>
              <w:t xml:space="preserve"> auditor eliminar essas Reservas na CLC das contas de 2025.</w:t>
            </w:r>
          </w:p>
        </w:tc>
        <w:tc>
          <w:tcPr>
            <w:tcW w:w="992" w:type="dxa"/>
            <w:tcBorders>
              <w:top w:val="single" w:sz="4" w:space="0" w:color="FFFFFF"/>
              <w:left w:val="nil"/>
              <w:bottom w:val="single" w:sz="4" w:space="0" w:color="FFFFFF"/>
              <w:right w:val="single" w:sz="4" w:space="0" w:color="FFFFFF"/>
            </w:tcBorders>
            <w:shd w:val="clear" w:color="auto" w:fill="D9E2F3"/>
            <w:noWrap/>
            <w:vAlign w:val="center"/>
          </w:tcPr>
          <w:p w14:paraId="223ACEA2" w14:textId="61F0C61C" w:rsidR="00272B8F" w:rsidRPr="008C311C" w:rsidRDefault="00096F91">
            <w:pPr>
              <w:jc w:val="center"/>
              <w:rPr>
                <w:rFonts w:asciiTheme="minorHAnsi" w:hAnsiTheme="minorHAnsi" w:cstheme="minorHAnsi"/>
                <w:sz w:val="14"/>
                <w:szCs w:val="14"/>
              </w:rPr>
            </w:pPr>
            <w:r>
              <w:rPr>
                <w:rFonts w:asciiTheme="minorHAnsi" w:hAnsiTheme="minorHAnsi" w:cstheme="minorHAnsi"/>
                <w:sz w:val="14"/>
                <w:szCs w:val="14"/>
              </w:rPr>
              <w:t>S</w:t>
            </w:r>
          </w:p>
        </w:tc>
        <w:tc>
          <w:tcPr>
            <w:tcW w:w="851" w:type="dxa"/>
            <w:tcBorders>
              <w:top w:val="single" w:sz="4" w:space="0" w:color="FFFFFF"/>
              <w:left w:val="nil"/>
              <w:bottom w:val="single" w:sz="4" w:space="0" w:color="FFFFFF"/>
              <w:right w:val="single" w:sz="4" w:space="0" w:color="FFFFFF"/>
            </w:tcBorders>
            <w:shd w:val="clear" w:color="auto" w:fill="D9E2F3"/>
            <w:vAlign w:val="center"/>
          </w:tcPr>
          <w:p w14:paraId="4515E814" w14:textId="77777777" w:rsidR="00272B8F" w:rsidRPr="008C311C" w:rsidRDefault="00272B8F">
            <w:pPr>
              <w:rPr>
                <w:rFonts w:asciiTheme="minorHAnsi" w:hAnsiTheme="minorHAnsi" w:cstheme="minorHAnsi"/>
                <w:sz w:val="14"/>
                <w:szCs w:val="14"/>
              </w:rPr>
            </w:pPr>
          </w:p>
        </w:tc>
      </w:tr>
      <w:tr w:rsidR="008C311C" w14:paraId="14FCD841" w14:textId="77777777" w:rsidTr="00AB2F99">
        <w:trPr>
          <w:trHeight w:val="227"/>
        </w:trPr>
        <w:tc>
          <w:tcPr>
            <w:tcW w:w="562" w:type="dxa"/>
            <w:tcBorders>
              <w:top w:val="single" w:sz="4" w:space="0" w:color="FFFFFF"/>
              <w:left w:val="single" w:sz="4" w:space="0" w:color="FFFFFF"/>
              <w:bottom w:val="single" w:sz="4" w:space="0" w:color="FFFFFF"/>
              <w:right w:val="single" w:sz="4" w:space="0" w:color="FFFFFF"/>
            </w:tcBorders>
            <w:shd w:val="clear" w:color="auto" w:fill="D9E2F3"/>
            <w:noWrap/>
            <w:vAlign w:val="center"/>
            <w:hideMark/>
          </w:tcPr>
          <w:p w14:paraId="1E389C35"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5954" w:type="dxa"/>
            <w:tcBorders>
              <w:top w:val="single" w:sz="4" w:space="0" w:color="FFFFFF"/>
              <w:left w:val="nil"/>
              <w:bottom w:val="single" w:sz="4" w:space="0" w:color="FFFFFF"/>
              <w:right w:val="single" w:sz="4" w:space="0" w:color="FFFFFF"/>
            </w:tcBorders>
            <w:shd w:val="clear" w:color="auto" w:fill="D9E2F3"/>
            <w:noWrap/>
            <w:vAlign w:val="center"/>
            <w:hideMark/>
          </w:tcPr>
          <w:p w14:paraId="7CCD5CF1" w14:textId="53DFEEB9" w:rsidR="008C311C" w:rsidRPr="008C311C" w:rsidRDefault="00096F91" w:rsidP="00CA3A4C">
            <w:pPr>
              <w:ind w:left="363"/>
              <w:rPr>
                <w:rFonts w:asciiTheme="minorHAnsi" w:hAnsiTheme="minorHAnsi" w:cstheme="minorHAnsi"/>
                <w:sz w:val="14"/>
                <w:szCs w:val="14"/>
              </w:rPr>
            </w:pPr>
            <w:r>
              <w:rPr>
                <w:rFonts w:asciiTheme="minorHAnsi" w:hAnsiTheme="minorHAnsi" w:cstheme="minorHAnsi"/>
                <w:sz w:val="14"/>
                <w:szCs w:val="14"/>
              </w:rPr>
              <w:t>“</w:t>
            </w:r>
            <w:r w:rsidRPr="00096F91">
              <w:rPr>
                <w:rFonts w:asciiTheme="minorHAnsi" w:hAnsiTheme="minorHAnsi" w:cstheme="minorHAnsi"/>
                <w:sz w:val="14"/>
                <w:szCs w:val="14"/>
              </w:rPr>
              <w:t>que se reforce o esforço de regularização dos empréstimos contraídos junto da ETF</w:t>
            </w:r>
            <w:r>
              <w:rPr>
                <w:rFonts w:asciiTheme="minorHAnsi" w:hAnsiTheme="minorHAnsi" w:cstheme="minorHAnsi"/>
                <w:sz w:val="14"/>
                <w:szCs w:val="14"/>
              </w:rPr>
              <w:t>”</w:t>
            </w:r>
            <w:r w:rsidR="00CA3A4C">
              <w:rPr>
                <w:rFonts w:asciiTheme="minorHAnsi" w:hAnsiTheme="minorHAnsi" w:cstheme="minorHAnsi"/>
                <w:sz w:val="14"/>
                <w:szCs w:val="14"/>
              </w:rPr>
              <w:t xml:space="preserve"> - </w:t>
            </w:r>
            <w:r w:rsidR="00CA3A4C" w:rsidRPr="00CA3A4C">
              <w:rPr>
                <w:rFonts w:asciiTheme="minorHAnsi" w:hAnsiTheme="minorHAnsi" w:cstheme="minorHAnsi"/>
                <w:sz w:val="14"/>
                <w:szCs w:val="14"/>
              </w:rPr>
              <w:t>a PARVALOREM efetuou a amortização parcial de um mútuo junto da ETF no montante € 80 milhões.</w:t>
            </w:r>
          </w:p>
        </w:tc>
        <w:tc>
          <w:tcPr>
            <w:tcW w:w="992" w:type="dxa"/>
            <w:tcBorders>
              <w:top w:val="single" w:sz="4" w:space="0" w:color="FFFFFF"/>
              <w:left w:val="nil"/>
              <w:bottom w:val="single" w:sz="4" w:space="0" w:color="FFFFFF"/>
              <w:right w:val="single" w:sz="4" w:space="0" w:color="FFFFFF"/>
            </w:tcBorders>
            <w:shd w:val="clear" w:color="auto" w:fill="D9E2F3"/>
            <w:noWrap/>
            <w:vAlign w:val="center"/>
            <w:hideMark/>
          </w:tcPr>
          <w:p w14:paraId="6D737286" w14:textId="5E4AE834" w:rsidR="008C311C" w:rsidRPr="008C311C" w:rsidRDefault="00096F91">
            <w:pPr>
              <w:jc w:val="center"/>
              <w:rPr>
                <w:rFonts w:asciiTheme="minorHAnsi" w:hAnsiTheme="minorHAnsi" w:cstheme="minorHAnsi"/>
                <w:sz w:val="14"/>
                <w:szCs w:val="14"/>
              </w:rPr>
            </w:pPr>
            <w:r>
              <w:rPr>
                <w:rFonts w:asciiTheme="minorHAnsi" w:hAnsiTheme="minorHAnsi" w:cstheme="minorHAnsi"/>
                <w:sz w:val="14"/>
                <w:szCs w:val="14"/>
              </w:rPr>
              <w:t>S</w:t>
            </w:r>
          </w:p>
        </w:tc>
        <w:tc>
          <w:tcPr>
            <w:tcW w:w="851" w:type="dxa"/>
            <w:tcBorders>
              <w:top w:val="single" w:sz="4" w:space="0" w:color="FFFFFF"/>
              <w:left w:val="nil"/>
              <w:bottom w:val="single" w:sz="4" w:space="0" w:color="FFFFFF"/>
              <w:right w:val="single" w:sz="4" w:space="0" w:color="FFFFFF"/>
            </w:tcBorders>
            <w:shd w:val="clear" w:color="auto" w:fill="D9E2F3"/>
            <w:vAlign w:val="center"/>
            <w:hideMark/>
          </w:tcPr>
          <w:p w14:paraId="00FD6AF5"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1551F236" w14:textId="77777777" w:rsidTr="00AB2F99">
        <w:trPr>
          <w:trHeight w:val="227"/>
        </w:trPr>
        <w:tc>
          <w:tcPr>
            <w:tcW w:w="562" w:type="dxa"/>
            <w:tcBorders>
              <w:top w:val="single" w:sz="4" w:space="0" w:color="FFFFFF"/>
              <w:left w:val="single" w:sz="4" w:space="0" w:color="FFFFFF"/>
              <w:bottom w:val="single" w:sz="4" w:space="0" w:color="FFFFFF"/>
              <w:right w:val="single" w:sz="4" w:space="0" w:color="FFFFFF"/>
            </w:tcBorders>
            <w:shd w:val="clear" w:color="auto" w:fill="D9E2F3"/>
            <w:noWrap/>
            <w:vAlign w:val="center"/>
            <w:hideMark/>
          </w:tcPr>
          <w:p w14:paraId="4300DF46" w14:textId="77777777" w:rsidR="008C311C" w:rsidRPr="008C311C" w:rsidRDefault="008C311C">
            <w:pPr>
              <w:jc w:val="center"/>
              <w:rPr>
                <w:rFonts w:asciiTheme="minorHAnsi" w:hAnsiTheme="minorHAnsi" w:cstheme="minorHAnsi"/>
                <w:b/>
                <w:bCs/>
                <w:sz w:val="14"/>
                <w:szCs w:val="14"/>
              </w:rPr>
            </w:pPr>
            <w:r w:rsidRPr="008C311C">
              <w:rPr>
                <w:rFonts w:asciiTheme="minorHAnsi" w:hAnsiTheme="minorHAnsi" w:cstheme="minorHAnsi"/>
                <w:b/>
                <w:bCs/>
                <w:sz w:val="14"/>
                <w:szCs w:val="14"/>
              </w:rPr>
              <w:t> </w:t>
            </w:r>
          </w:p>
        </w:tc>
        <w:tc>
          <w:tcPr>
            <w:tcW w:w="5954" w:type="dxa"/>
            <w:tcBorders>
              <w:top w:val="single" w:sz="4" w:space="0" w:color="FFFFFF"/>
              <w:left w:val="nil"/>
              <w:bottom w:val="single" w:sz="4" w:space="0" w:color="FFFFFF"/>
              <w:right w:val="single" w:sz="4" w:space="0" w:color="FFFFFF"/>
            </w:tcBorders>
            <w:shd w:val="clear" w:color="auto" w:fill="D9E2F3"/>
            <w:noWrap/>
            <w:vAlign w:val="center"/>
            <w:hideMark/>
          </w:tcPr>
          <w:p w14:paraId="13826579" w14:textId="028AA448" w:rsidR="008C311C" w:rsidRPr="008C311C" w:rsidRDefault="008C311C">
            <w:pPr>
              <w:ind w:firstLineChars="100" w:firstLine="140"/>
              <w:rPr>
                <w:rFonts w:asciiTheme="minorHAnsi" w:hAnsiTheme="minorHAnsi" w:cstheme="minorHAnsi"/>
                <w:sz w:val="14"/>
                <w:szCs w:val="14"/>
              </w:rPr>
            </w:pPr>
            <w:r w:rsidRPr="008C311C">
              <w:rPr>
                <w:rFonts w:asciiTheme="minorHAnsi" w:hAnsiTheme="minorHAnsi" w:cstheme="minorHAnsi"/>
                <w:sz w:val="14"/>
                <w:szCs w:val="14"/>
              </w:rPr>
              <w:t>Diligências tomadas sobre as reservas emitidas na última CLC</w:t>
            </w:r>
            <w:r w:rsidR="006E7742">
              <w:rPr>
                <w:rFonts w:asciiTheme="minorHAnsi" w:hAnsiTheme="minorHAnsi" w:cstheme="minorHAnsi"/>
                <w:sz w:val="14"/>
                <w:szCs w:val="14"/>
              </w:rPr>
              <w:t>:</w:t>
            </w:r>
          </w:p>
        </w:tc>
        <w:tc>
          <w:tcPr>
            <w:tcW w:w="992" w:type="dxa"/>
            <w:tcBorders>
              <w:top w:val="single" w:sz="4" w:space="0" w:color="FFFFFF"/>
              <w:left w:val="nil"/>
              <w:bottom w:val="single" w:sz="4" w:space="0" w:color="FFFFFF"/>
              <w:right w:val="single" w:sz="4" w:space="0" w:color="FFFFFF"/>
            </w:tcBorders>
            <w:shd w:val="clear" w:color="auto" w:fill="D9E2F3"/>
            <w:noWrap/>
            <w:vAlign w:val="center"/>
            <w:hideMark/>
          </w:tcPr>
          <w:p w14:paraId="0C7B9772" w14:textId="747AC903"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r w:rsidR="00077840">
              <w:rPr>
                <w:rFonts w:asciiTheme="minorHAnsi" w:hAnsiTheme="minorHAnsi" w:cstheme="minorHAnsi"/>
                <w:sz w:val="14"/>
                <w:szCs w:val="14"/>
              </w:rPr>
              <w:t>S</w:t>
            </w:r>
          </w:p>
        </w:tc>
        <w:tc>
          <w:tcPr>
            <w:tcW w:w="851" w:type="dxa"/>
            <w:tcBorders>
              <w:top w:val="single" w:sz="4" w:space="0" w:color="FFFFFF"/>
              <w:left w:val="nil"/>
              <w:bottom w:val="single" w:sz="4" w:space="0" w:color="FFFFFF"/>
              <w:right w:val="single" w:sz="4" w:space="0" w:color="FFFFFF"/>
            </w:tcBorders>
            <w:shd w:val="clear" w:color="auto" w:fill="D9E2F3"/>
            <w:vAlign w:val="center"/>
            <w:hideMark/>
          </w:tcPr>
          <w:p w14:paraId="7C6DA4A3"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272B8F" w14:paraId="46D275F0" w14:textId="77777777" w:rsidTr="00AB2F99">
        <w:trPr>
          <w:trHeight w:val="227"/>
        </w:trPr>
        <w:tc>
          <w:tcPr>
            <w:tcW w:w="562" w:type="dxa"/>
            <w:tcBorders>
              <w:top w:val="single" w:sz="4" w:space="0" w:color="FFFFFF"/>
              <w:left w:val="single" w:sz="4" w:space="0" w:color="FFFFFF"/>
              <w:bottom w:val="single" w:sz="4" w:space="0" w:color="FFFFFF"/>
              <w:right w:val="single" w:sz="4" w:space="0" w:color="FFFFFF"/>
            </w:tcBorders>
            <w:shd w:val="clear" w:color="auto" w:fill="D9E2F3"/>
            <w:noWrap/>
            <w:vAlign w:val="center"/>
          </w:tcPr>
          <w:p w14:paraId="42E7DF1A" w14:textId="77777777" w:rsidR="00272B8F" w:rsidRPr="008C311C" w:rsidRDefault="00272B8F">
            <w:pPr>
              <w:jc w:val="center"/>
              <w:rPr>
                <w:rFonts w:asciiTheme="minorHAnsi" w:hAnsiTheme="minorHAnsi" w:cstheme="minorHAnsi"/>
                <w:sz w:val="14"/>
                <w:szCs w:val="14"/>
              </w:rPr>
            </w:pPr>
          </w:p>
        </w:tc>
        <w:tc>
          <w:tcPr>
            <w:tcW w:w="5954" w:type="dxa"/>
            <w:tcBorders>
              <w:top w:val="single" w:sz="4" w:space="0" w:color="FFFFFF"/>
              <w:left w:val="nil"/>
              <w:bottom w:val="single" w:sz="4" w:space="0" w:color="FFFFFF"/>
              <w:right w:val="single" w:sz="4" w:space="0" w:color="FFFFFF"/>
            </w:tcBorders>
            <w:shd w:val="clear" w:color="auto" w:fill="D9E2F3"/>
            <w:noWrap/>
            <w:vAlign w:val="center"/>
          </w:tcPr>
          <w:p w14:paraId="5466CAC0" w14:textId="31A04472" w:rsidR="00272B8F" w:rsidRPr="008C311C" w:rsidRDefault="00096F91" w:rsidP="00096F91">
            <w:pPr>
              <w:ind w:left="363"/>
              <w:rPr>
                <w:rFonts w:asciiTheme="minorHAnsi" w:hAnsiTheme="minorHAnsi" w:cstheme="minorHAnsi"/>
                <w:sz w:val="14"/>
                <w:szCs w:val="14"/>
              </w:rPr>
            </w:pPr>
            <w:r>
              <w:rPr>
                <w:rFonts w:asciiTheme="minorHAnsi" w:hAnsiTheme="minorHAnsi" w:cstheme="minorHAnsi"/>
                <w:sz w:val="14"/>
                <w:szCs w:val="14"/>
              </w:rPr>
              <w:t>Reserva (i) - n</w:t>
            </w:r>
            <w:r w:rsidRPr="00096F91">
              <w:rPr>
                <w:rFonts w:asciiTheme="minorHAnsi" w:hAnsiTheme="minorHAnsi" w:cstheme="minorHAnsi"/>
                <w:sz w:val="14"/>
                <w:szCs w:val="14"/>
              </w:rPr>
              <w:t>o dia 2 de janeiro de 2026 caducou o prazo de fiscalização pelas Autoridades fiscais do Brasil, pelo que a provisão foi revertida nas contas de 2025</w:t>
            </w:r>
          </w:p>
        </w:tc>
        <w:tc>
          <w:tcPr>
            <w:tcW w:w="992" w:type="dxa"/>
            <w:tcBorders>
              <w:top w:val="single" w:sz="4" w:space="0" w:color="FFFFFF"/>
              <w:left w:val="nil"/>
              <w:bottom w:val="single" w:sz="4" w:space="0" w:color="FFFFFF"/>
              <w:right w:val="single" w:sz="4" w:space="0" w:color="FFFFFF"/>
            </w:tcBorders>
            <w:shd w:val="clear" w:color="auto" w:fill="D9E2F3"/>
            <w:noWrap/>
            <w:vAlign w:val="center"/>
          </w:tcPr>
          <w:p w14:paraId="067D0D95" w14:textId="4527A5BE" w:rsidR="00272B8F" w:rsidRPr="008C311C" w:rsidRDefault="00096F91">
            <w:pPr>
              <w:jc w:val="center"/>
              <w:rPr>
                <w:rFonts w:asciiTheme="minorHAnsi" w:hAnsiTheme="minorHAnsi" w:cstheme="minorHAnsi"/>
                <w:sz w:val="14"/>
                <w:szCs w:val="14"/>
              </w:rPr>
            </w:pPr>
            <w:r>
              <w:rPr>
                <w:rFonts w:asciiTheme="minorHAnsi" w:hAnsiTheme="minorHAnsi" w:cstheme="minorHAnsi"/>
                <w:sz w:val="14"/>
                <w:szCs w:val="14"/>
              </w:rPr>
              <w:t>S</w:t>
            </w:r>
          </w:p>
        </w:tc>
        <w:tc>
          <w:tcPr>
            <w:tcW w:w="851" w:type="dxa"/>
            <w:tcBorders>
              <w:top w:val="single" w:sz="4" w:space="0" w:color="FFFFFF"/>
              <w:left w:val="nil"/>
              <w:bottom w:val="single" w:sz="4" w:space="0" w:color="FFFFFF"/>
              <w:right w:val="single" w:sz="4" w:space="0" w:color="FFFFFF"/>
            </w:tcBorders>
            <w:shd w:val="clear" w:color="auto" w:fill="D9E2F3"/>
            <w:vAlign w:val="center"/>
          </w:tcPr>
          <w:p w14:paraId="067EBAD7" w14:textId="77777777" w:rsidR="00272B8F" w:rsidRPr="008C311C" w:rsidRDefault="00272B8F">
            <w:pPr>
              <w:rPr>
                <w:rFonts w:asciiTheme="minorHAnsi" w:hAnsiTheme="minorHAnsi" w:cstheme="minorHAnsi"/>
                <w:sz w:val="14"/>
                <w:szCs w:val="14"/>
              </w:rPr>
            </w:pPr>
          </w:p>
        </w:tc>
      </w:tr>
      <w:tr w:rsidR="00272B8F" w14:paraId="56B68FE5" w14:textId="77777777" w:rsidTr="00AB2F99">
        <w:trPr>
          <w:trHeight w:val="227"/>
        </w:trPr>
        <w:tc>
          <w:tcPr>
            <w:tcW w:w="562" w:type="dxa"/>
            <w:tcBorders>
              <w:top w:val="single" w:sz="4" w:space="0" w:color="FFFFFF"/>
              <w:left w:val="single" w:sz="4" w:space="0" w:color="FFFFFF"/>
              <w:bottom w:val="single" w:sz="4" w:space="0" w:color="FFFFFF"/>
              <w:right w:val="single" w:sz="4" w:space="0" w:color="FFFFFF"/>
            </w:tcBorders>
            <w:shd w:val="clear" w:color="auto" w:fill="D9E2F3"/>
            <w:noWrap/>
            <w:vAlign w:val="center"/>
          </w:tcPr>
          <w:p w14:paraId="3F2CF18F" w14:textId="77777777" w:rsidR="00272B8F" w:rsidRPr="008C311C" w:rsidRDefault="00272B8F">
            <w:pPr>
              <w:jc w:val="center"/>
              <w:rPr>
                <w:rFonts w:asciiTheme="minorHAnsi" w:hAnsiTheme="minorHAnsi" w:cstheme="minorHAnsi"/>
                <w:sz w:val="14"/>
                <w:szCs w:val="14"/>
              </w:rPr>
            </w:pPr>
          </w:p>
        </w:tc>
        <w:tc>
          <w:tcPr>
            <w:tcW w:w="5954" w:type="dxa"/>
            <w:tcBorders>
              <w:top w:val="single" w:sz="4" w:space="0" w:color="FFFFFF"/>
              <w:left w:val="nil"/>
              <w:bottom w:val="single" w:sz="4" w:space="0" w:color="FFFFFF"/>
              <w:right w:val="single" w:sz="4" w:space="0" w:color="FFFFFF"/>
            </w:tcBorders>
            <w:shd w:val="clear" w:color="auto" w:fill="D9E2F3"/>
            <w:noWrap/>
            <w:vAlign w:val="center"/>
          </w:tcPr>
          <w:p w14:paraId="3A3BD371" w14:textId="48DFF7F0" w:rsidR="00272B8F" w:rsidRPr="008C311C" w:rsidRDefault="00096F91" w:rsidP="00CA3A4C">
            <w:pPr>
              <w:ind w:left="363"/>
              <w:rPr>
                <w:rFonts w:asciiTheme="minorHAnsi" w:hAnsiTheme="minorHAnsi" w:cstheme="minorHAnsi"/>
                <w:sz w:val="14"/>
                <w:szCs w:val="14"/>
              </w:rPr>
            </w:pPr>
            <w:r>
              <w:rPr>
                <w:rFonts w:asciiTheme="minorHAnsi" w:hAnsiTheme="minorHAnsi" w:cstheme="minorHAnsi"/>
                <w:sz w:val="14"/>
                <w:szCs w:val="14"/>
              </w:rPr>
              <w:t>Reserva (</w:t>
            </w:r>
            <w:proofErr w:type="spellStart"/>
            <w:r>
              <w:rPr>
                <w:rFonts w:asciiTheme="minorHAnsi" w:hAnsiTheme="minorHAnsi" w:cstheme="minorHAnsi"/>
                <w:sz w:val="14"/>
                <w:szCs w:val="14"/>
              </w:rPr>
              <w:t>ii</w:t>
            </w:r>
            <w:proofErr w:type="spellEnd"/>
            <w:r>
              <w:rPr>
                <w:rFonts w:asciiTheme="minorHAnsi" w:hAnsiTheme="minorHAnsi" w:cstheme="minorHAnsi"/>
                <w:sz w:val="14"/>
                <w:szCs w:val="14"/>
              </w:rPr>
              <w:t>) - o</w:t>
            </w:r>
            <w:r w:rsidRPr="00096F91">
              <w:rPr>
                <w:rFonts w:asciiTheme="minorHAnsi" w:hAnsiTheme="minorHAnsi" w:cstheme="minorHAnsi"/>
                <w:sz w:val="14"/>
                <w:szCs w:val="14"/>
              </w:rPr>
              <w:t>btenção de um parecer jurídico independente que indica que nunca a PARVALOREM poderá ser condenada a pagar tais créditos</w:t>
            </w:r>
          </w:p>
        </w:tc>
        <w:tc>
          <w:tcPr>
            <w:tcW w:w="992" w:type="dxa"/>
            <w:tcBorders>
              <w:top w:val="single" w:sz="4" w:space="0" w:color="FFFFFF"/>
              <w:left w:val="nil"/>
              <w:bottom w:val="single" w:sz="4" w:space="0" w:color="FFFFFF"/>
              <w:right w:val="single" w:sz="4" w:space="0" w:color="FFFFFF"/>
            </w:tcBorders>
            <w:shd w:val="clear" w:color="auto" w:fill="D9E2F3"/>
            <w:noWrap/>
            <w:vAlign w:val="center"/>
          </w:tcPr>
          <w:p w14:paraId="242B5D62" w14:textId="31B8509D" w:rsidR="00272B8F" w:rsidRPr="008C311C" w:rsidRDefault="00CA3A4C">
            <w:pPr>
              <w:jc w:val="center"/>
              <w:rPr>
                <w:rFonts w:asciiTheme="minorHAnsi" w:hAnsiTheme="minorHAnsi" w:cstheme="minorHAnsi"/>
                <w:sz w:val="14"/>
                <w:szCs w:val="14"/>
              </w:rPr>
            </w:pPr>
            <w:r>
              <w:rPr>
                <w:rFonts w:asciiTheme="minorHAnsi" w:hAnsiTheme="minorHAnsi" w:cstheme="minorHAnsi"/>
                <w:sz w:val="14"/>
                <w:szCs w:val="14"/>
              </w:rPr>
              <w:t>S</w:t>
            </w:r>
          </w:p>
        </w:tc>
        <w:tc>
          <w:tcPr>
            <w:tcW w:w="851" w:type="dxa"/>
            <w:tcBorders>
              <w:top w:val="single" w:sz="4" w:space="0" w:color="FFFFFF"/>
              <w:left w:val="nil"/>
              <w:bottom w:val="single" w:sz="4" w:space="0" w:color="FFFFFF"/>
              <w:right w:val="single" w:sz="4" w:space="0" w:color="FFFFFF"/>
            </w:tcBorders>
            <w:shd w:val="clear" w:color="auto" w:fill="D9E2F3"/>
            <w:vAlign w:val="center"/>
          </w:tcPr>
          <w:p w14:paraId="2EAA4F72" w14:textId="77777777" w:rsidR="00272B8F" w:rsidRPr="008C311C" w:rsidRDefault="00272B8F">
            <w:pPr>
              <w:rPr>
                <w:rFonts w:asciiTheme="minorHAnsi" w:hAnsiTheme="minorHAnsi" w:cstheme="minorHAnsi"/>
                <w:sz w:val="14"/>
                <w:szCs w:val="14"/>
              </w:rPr>
            </w:pPr>
          </w:p>
        </w:tc>
      </w:tr>
      <w:tr w:rsidR="008C311C" w14:paraId="0BF4CB0F" w14:textId="77777777" w:rsidTr="00AB2F99">
        <w:trPr>
          <w:trHeight w:val="227"/>
        </w:trPr>
        <w:tc>
          <w:tcPr>
            <w:tcW w:w="562" w:type="dxa"/>
            <w:tcBorders>
              <w:top w:val="single" w:sz="4" w:space="0" w:color="FFFFFF"/>
              <w:left w:val="single" w:sz="4" w:space="0" w:color="FFFFFF"/>
              <w:bottom w:val="single" w:sz="4" w:space="0" w:color="FFFFFF"/>
              <w:right w:val="single" w:sz="4" w:space="0" w:color="FFFFFF"/>
            </w:tcBorders>
            <w:shd w:val="clear" w:color="auto" w:fill="D9E2F3"/>
            <w:noWrap/>
            <w:vAlign w:val="center"/>
            <w:hideMark/>
          </w:tcPr>
          <w:p w14:paraId="03C5B1CD" w14:textId="77777777"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p>
        </w:tc>
        <w:tc>
          <w:tcPr>
            <w:tcW w:w="5954" w:type="dxa"/>
            <w:tcBorders>
              <w:top w:val="single" w:sz="4" w:space="0" w:color="FFFFFF"/>
              <w:left w:val="nil"/>
              <w:bottom w:val="single" w:sz="4" w:space="0" w:color="FFFFFF"/>
              <w:right w:val="single" w:sz="4" w:space="0" w:color="FFFFFF"/>
            </w:tcBorders>
            <w:shd w:val="clear" w:color="auto" w:fill="D9E2F3"/>
            <w:noWrap/>
            <w:vAlign w:val="center"/>
            <w:hideMark/>
          </w:tcPr>
          <w:p w14:paraId="5242B115" w14:textId="268404C9" w:rsidR="008C311C" w:rsidRPr="008C311C" w:rsidRDefault="00CA3A4C" w:rsidP="00CA3A4C">
            <w:pPr>
              <w:ind w:left="363" w:hanging="1"/>
              <w:rPr>
                <w:rFonts w:asciiTheme="minorHAnsi" w:hAnsiTheme="minorHAnsi" w:cstheme="minorHAnsi"/>
                <w:sz w:val="14"/>
                <w:szCs w:val="14"/>
              </w:rPr>
            </w:pPr>
            <w:r>
              <w:rPr>
                <w:rFonts w:asciiTheme="minorHAnsi" w:hAnsiTheme="minorHAnsi" w:cstheme="minorHAnsi"/>
                <w:sz w:val="14"/>
                <w:szCs w:val="14"/>
              </w:rPr>
              <w:t>Reserva (</w:t>
            </w:r>
            <w:proofErr w:type="spellStart"/>
            <w:r>
              <w:rPr>
                <w:rFonts w:asciiTheme="minorHAnsi" w:hAnsiTheme="minorHAnsi" w:cstheme="minorHAnsi"/>
                <w:sz w:val="14"/>
                <w:szCs w:val="14"/>
              </w:rPr>
              <w:t>iii</w:t>
            </w:r>
            <w:proofErr w:type="spellEnd"/>
            <w:r>
              <w:rPr>
                <w:rFonts w:asciiTheme="minorHAnsi" w:hAnsiTheme="minorHAnsi" w:cstheme="minorHAnsi"/>
                <w:sz w:val="14"/>
                <w:szCs w:val="14"/>
              </w:rPr>
              <w:t>) - m</w:t>
            </w:r>
            <w:r w:rsidRPr="00CA3A4C">
              <w:rPr>
                <w:rFonts w:asciiTheme="minorHAnsi" w:hAnsiTheme="minorHAnsi" w:cstheme="minorHAnsi"/>
                <w:sz w:val="14"/>
                <w:szCs w:val="14"/>
              </w:rPr>
              <w:t xml:space="preserve">uito embora já existisse uma conta </w:t>
            </w:r>
            <w:proofErr w:type="gramStart"/>
            <w:r w:rsidRPr="00CA3A4C">
              <w:rPr>
                <w:rFonts w:asciiTheme="minorHAnsi" w:hAnsiTheme="minorHAnsi" w:cstheme="minorHAnsi"/>
                <w:sz w:val="14"/>
                <w:szCs w:val="14"/>
              </w:rPr>
              <w:t>DO cativa</w:t>
            </w:r>
            <w:proofErr w:type="gramEnd"/>
            <w:r w:rsidRPr="00CA3A4C">
              <w:rPr>
                <w:rFonts w:asciiTheme="minorHAnsi" w:hAnsiTheme="minorHAnsi" w:cstheme="minorHAnsi"/>
                <w:sz w:val="14"/>
                <w:szCs w:val="14"/>
              </w:rPr>
              <w:t xml:space="preserve"> para este efeito, em 2025 reforçou-se a provisão para processos judiciais em curso por forma a cobrir a totalidade das eventuais perdas estimadas</w:t>
            </w:r>
          </w:p>
        </w:tc>
        <w:tc>
          <w:tcPr>
            <w:tcW w:w="992" w:type="dxa"/>
            <w:tcBorders>
              <w:top w:val="single" w:sz="4" w:space="0" w:color="FFFFFF"/>
              <w:left w:val="nil"/>
              <w:bottom w:val="single" w:sz="4" w:space="0" w:color="FFFFFF"/>
              <w:right w:val="single" w:sz="4" w:space="0" w:color="FFFFFF"/>
            </w:tcBorders>
            <w:shd w:val="clear" w:color="auto" w:fill="D9E2F3"/>
            <w:noWrap/>
            <w:vAlign w:val="center"/>
            <w:hideMark/>
          </w:tcPr>
          <w:p w14:paraId="63904187" w14:textId="06F9565A" w:rsidR="008C311C" w:rsidRPr="008C311C" w:rsidRDefault="00CA3A4C">
            <w:pPr>
              <w:jc w:val="center"/>
              <w:rPr>
                <w:rFonts w:asciiTheme="minorHAnsi" w:hAnsiTheme="minorHAnsi" w:cstheme="minorHAnsi"/>
                <w:sz w:val="14"/>
                <w:szCs w:val="14"/>
              </w:rPr>
            </w:pPr>
            <w:r>
              <w:rPr>
                <w:rFonts w:asciiTheme="minorHAnsi" w:hAnsiTheme="minorHAnsi" w:cstheme="minorHAnsi"/>
                <w:sz w:val="14"/>
                <w:szCs w:val="14"/>
              </w:rPr>
              <w:t>S</w:t>
            </w:r>
            <w:r w:rsidR="008C311C" w:rsidRPr="008C311C">
              <w:rPr>
                <w:rFonts w:asciiTheme="minorHAnsi" w:hAnsiTheme="minorHAnsi" w:cstheme="minorHAnsi"/>
                <w:sz w:val="14"/>
                <w:szCs w:val="14"/>
              </w:rPr>
              <w:t> </w:t>
            </w:r>
          </w:p>
        </w:tc>
        <w:tc>
          <w:tcPr>
            <w:tcW w:w="851" w:type="dxa"/>
            <w:tcBorders>
              <w:top w:val="single" w:sz="4" w:space="0" w:color="FFFFFF"/>
              <w:left w:val="nil"/>
              <w:bottom w:val="single" w:sz="4" w:space="0" w:color="FFFFFF"/>
              <w:right w:val="single" w:sz="4" w:space="0" w:color="FFFFFF"/>
            </w:tcBorders>
            <w:shd w:val="clear" w:color="auto" w:fill="D9E2F3"/>
            <w:vAlign w:val="center"/>
            <w:hideMark/>
          </w:tcPr>
          <w:p w14:paraId="302EBC26"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316EDC7A" w14:textId="77777777" w:rsidTr="00AB2F99">
        <w:trPr>
          <w:trHeight w:val="227"/>
        </w:trPr>
        <w:tc>
          <w:tcPr>
            <w:tcW w:w="562" w:type="dxa"/>
            <w:tcBorders>
              <w:top w:val="single" w:sz="4" w:space="0" w:color="FFFFFF"/>
              <w:left w:val="single" w:sz="4" w:space="0" w:color="FFFFFF"/>
              <w:bottom w:val="single" w:sz="4" w:space="0" w:color="FFFFFF"/>
              <w:right w:val="single" w:sz="4" w:space="0" w:color="FFFFFF"/>
            </w:tcBorders>
            <w:shd w:val="clear" w:color="auto" w:fill="D9E2F3"/>
            <w:noWrap/>
            <w:vAlign w:val="center"/>
            <w:hideMark/>
          </w:tcPr>
          <w:p w14:paraId="491EBC57" w14:textId="77777777" w:rsidR="008C311C" w:rsidRPr="008C311C" w:rsidRDefault="008C311C">
            <w:pPr>
              <w:jc w:val="center"/>
              <w:rPr>
                <w:rFonts w:asciiTheme="minorHAnsi" w:hAnsiTheme="minorHAnsi" w:cstheme="minorHAnsi"/>
                <w:b/>
                <w:bCs/>
                <w:sz w:val="14"/>
                <w:szCs w:val="14"/>
              </w:rPr>
            </w:pPr>
            <w:r w:rsidRPr="008C311C">
              <w:rPr>
                <w:rFonts w:asciiTheme="minorHAnsi" w:hAnsiTheme="minorHAnsi" w:cstheme="minorHAnsi"/>
                <w:b/>
                <w:bCs/>
                <w:sz w:val="14"/>
                <w:szCs w:val="14"/>
              </w:rPr>
              <w:t> </w:t>
            </w:r>
          </w:p>
        </w:tc>
        <w:tc>
          <w:tcPr>
            <w:tcW w:w="5954" w:type="dxa"/>
            <w:tcBorders>
              <w:top w:val="single" w:sz="4" w:space="0" w:color="FFFFFF"/>
              <w:left w:val="nil"/>
              <w:bottom w:val="single" w:sz="4" w:space="0" w:color="FFFFFF"/>
              <w:right w:val="single" w:sz="4" w:space="0" w:color="FFFFFF"/>
            </w:tcBorders>
            <w:shd w:val="clear" w:color="auto" w:fill="D9E2F3"/>
            <w:noWrap/>
            <w:vAlign w:val="center"/>
            <w:hideMark/>
          </w:tcPr>
          <w:p w14:paraId="3B2C30CB" w14:textId="77777777" w:rsidR="008C311C" w:rsidRPr="008C311C" w:rsidRDefault="008C311C">
            <w:pPr>
              <w:ind w:firstLineChars="100" w:firstLine="140"/>
              <w:rPr>
                <w:rFonts w:asciiTheme="minorHAnsi" w:hAnsiTheme="minorHAnsi" w:cstheme="minorHAnsi"/>
                <w:sz w:val="14"/>
                <w:szCs w:val="14"/>
              </w:rPr>
            </w:pPr>
            <w:r w:rsidRPr="008C311C">
              <w:rPr>
                <w:rFonts w:asciiTheme="minorHAnsi" w:hAnsiTheme="minorHAnsi" w:cstheme="minorHAnsi"/>
                <w:sz w:val="14"/>
                <w:szCs w:val="14"/>
              </w:rPr>
              <w:t xml:space="preserve">Auditorias do Tribunal de Contas / IGF – Autoridade de Auditoria </w:t>
            </w:r>
            <w:r w:rsidRPr="008C311C">
              <w:rPr>
                <w:rFonts w:asciiTheme="minorHAnsi" w:hAnsiTheme="minorHAnsi" w:cstheme="minorHAnsi"/>
                <w:sz w:val="14"/>
                <w:szCs w:val="14"/>
                <w:vertAlign w:val="superscript"/>
              </w:rPr>
              <w:t>(b)</w:t>
            </w:r>
          </w:p>
        </w:tc>
        <w:tc>
          <w:tcPr>
            <w:tcW w:w="992" w:type="dxa"/>
            <w:tcBorders>
              <w:top w:val="single" w:sz="4" w:space="0" w:color="FFFFFF"/>
              <w:left w:val="nil"/>
              <w:bottom w:val="single" w:sz="4" w:space="0" w:color="FFFFFF"/>
              <w:right w:val="single" w:sz="4" w:space="0" w:color="FFFFFF"/>
            </w:tcBorders>
            <w:shd w:val="clear" w:color="auto" w:fill="D9E2F3"/>
            <w:noWrap/>
            <w:vAlign w:val="center"/>
            <w:hideMark/>
          </w:tcPr>
          <w:p w14:paraId="2958B7C2" w14:textId="57CD22D4"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r w:rsidR="00077840" w:rsidRPr="008C311C">
              <w:rPr>
                <w:rFonts w:asciiTheme="minorHAnsi" w:hAnsiTheme="minorHAnsi" w:cstheme="minorHAnsi"/>
                <w:sz w:val="14"/>
                <w:szCs w:val="14"/>
              </w:rPr>
              <w:t> </w:t>
            </w:r>
            <w:r w:rsidR="00077840">
              <w:rPr>
                <w:rFonts w:asciiTheme="minorHAnsi" w:hAnsiTheme="minorHAnsi" w:cstheme="minorHAnsi"/>
                <w:sz w:val="14"/>
                <w:szCs w:val="14"/>
              </w:rPr>
              <w:t>N</w:t>
            </w:r>
          </w:p>
        </w:tc>
        <w:tc>
          <w:tcPr>
            <w:tcW w:w="851" w:type="dxa"/>
            <w:tcBorders>
              <w:top w:val="single" w:sz="4" w:space="0" w:color="FFFFFF"/>
              <w:left w:val="nil"/>
              <w:bottom w:val="single" w:sz="4" w:space="0" w:color="FFFFFF"/>
              <w:right w:val="single" w:sz="4" w:space="0" w:color="FFFFFF"/>
            </w:tcBorders>
            <w:shd w:val="clear" w:color="auto" w:fill="D9E2F3"/>
            <w:vAlign w:val="center"/>
            <w:hideMark/>
          </w:tcPr>
          <w:p w14:paraId="4B8E696A"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60F0C54B" w14:textId="77777777" w:rsidTr="00AB2F99">
        <w:trPr>
          <w:trHeight w:val="227"/>
        </w:trPr>
        <w:tc>
          <w:tcPr>
            <w:tcW w:w="562" w:type="dxa"/>
            <w:tcBorders>
              <w:top w:val="single" w:sz="4" w:space="0" w:color="FFFFFF"/>
              <w:left w:val="single" w:sz="4" w:space="0" w:color="FFFFFF"/>
              <w:bottom w:val="single" w:sz="4" w:space="0" w:color="FFFFFF"/>
              <w:right w:val="single" w:sz="4" w:space="0" w:color="FFFFFF"/>
            </w:tcBorders>
            <w:shd w:val="clear" w:color="auto" w:fill="D9E2F3"/>
            <w:noWrap/>
            <w:vAlign w:val="center"/>
            <w:hideMark/>
          </w:tcPr>
          <w:p w14:paraId="0630B9A4" w14:textId="77777777" w:rsidR="008C311C" w:rsidRPr="008C311C" w:rsidRDefault="008C311C">
            <w:pPr>
              <w:jc w:val="center"/>
              <w:rPr>
                <w:rFonts w:asciiTheme="minorHAnsi" w:hAnsiTheme="minorHAnsi" w:cstheme="minorHAnsi"/>
                <w:b/>
                <w:bCs/>
                <w:sz w:val="14"/>
                <w:szCs w:val="14"/>
              </w:rPr>
            </w:pPr>
            <w:r w:rsidRPr="008C311C">
              <w:rPr>
                <w:rFonts w:asciiTheme="minorHAnsi" w:hAnsiTheme="minorHAnsi" w:cstheme="minorHAnsi"/>
                <w:b/>
                <w:bCs/>
                <w:sz w:val="14"/>
                <w:szCs w:val="14"/>
              </w:rPr>
              <w:t> </w:t>
            </w:r>
          </w:p>
        </w:tc>
        <w:tc>
          <w:tcPr>
            <w:tcW w:w="5954" w:type="dxa"/>
            <w:tcBorders>
              <w:top w:val="single" w:sz="4" w:space="0" w:color="FFFFFF"/>
              <w:left w:val="nil"/>
              <w:bottom w:val="single" w:sz="4" w:space="0" w:color="FFFFFF"/>
              <w:right w:val="single" w:sz="4" w:space="0" w:color="FFFFFF"/>
            </w:tcBorders>
            <w:shd w:val="clear" w:color="auto" w:fill="D9E2F3"/>
            <w:noWrap/>
            <w:vAlign w:val="center"/>
            <w:hideMark/>
          </w:tcPr>
          <w:p w14:paraId="164E8CD7" w14:textId="6EBA09C0" w:rsidR="008C311C" w:rsidRPr="008C311C" w:rsidRDefault="008C311C">
            <w:pPr>
              <w:ind w:firstLineChars="100" w:firstLine="140"/>
              <w:rPr>
                <w:rFonts w:asciiTheme="minorHAnsi" w:hAnsiTheme="minorHAnsi" w:cstheme="minorHAnsi"/>
                <w:sz w:val="14"/>
                <w:szCs w:val="14"/>
              </w:rPr>
            </w:pPr>
            <w:r w:rsidRPr="008C311C">
              <w:rPr>
                <w:rFonts w:asciiTheme="minorHAnsi" w:hAnsiTheme="minorHAnsi" w:cstheme="minorHAnsi"/>
                <w:sz w:val="14"/>
                <w:szCs w:val="14"/>
              </w:rPr>
              <w:t xml:space="preserve">Medidas implementadas para o cumprimento do </w:t>
            </w:r>
            <w:r>
              <w:rPr>
                <w:rFonts w:asciiTheme="minorHAnsi" w:hAnsiTheme="minorHAnsi" w:cstheme="minorHAnsi"/>
                <w:sz w:val="14"/>
                <w:szCs w:val="14"/>
              </w:rPr>
              <w:t>r</w:t>
            </w:r>
            <w:r w:rsidRPr="008C311C">
              <w:rPr>
                <w:rFonts w:asciiTheme="minorHAnsi" w:hAnsiTheme="minorHAnsi" w:cstheme="minorHAnsi"/>
                <w:sz w:val="14"/>
                <w:szCs w:val="14"/>
              </w:rPr>
              <w:t>elato sobre sustentabilidade (CSRD)</w:t>
            </w:r>
          </w:p>
        </w:tc>
        <w:tc>
          <w:tcPr>
            <w:tcW w:w="992" w:type="dxa"/>
            <w:tcBorders>
              <w:top w:val="single" w:sz="4" w:space="0" w:color="FFFFFF"/>
              <w:left w:val="nil"/>
              <w:bottom w:val="single" w:sz="4" w:space="0" w:color="FFFFFF"/>
              <w:right w:val="single" w:sz="4" w:space="0" w:color="FFFFFF"/>
            </w:tcBorders>
            <w:shd w:val="clear" w:color="auto" w:fill="D9E2F3"/>
            <w:noWrap/>
            <w:vAlign w:val="center"/>
            <w:hideMark/>
          </w:tcPr>
          <w:p w14:paraId="5E7DD9CA" w14:textId="7B851475"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r w:rsidR="00077840" w:rsidRPr="008C311C">
              <w:rPr>
                <w:rFonts w:asciiTheme="minorHAnsi" w:hAnsiTheme="minorHAnsi" w:cstheme="minorHAnsi"/>
                <w:sz w:val="14"/>
                <w:szCs w:val="14"/>
              </w:rPr>
              <w:t> </w:t>
            </w:r>
            <w:r w:rsidR="008C2E4F">
              <w:rPr>
                <w:rFonts w:asciiTheme="minorHAnsi" w:hAnsiTheme="minorHAnsi" w:cstheme="minorHAnsi"/>
                <w:sz w:val="14"/>
                <w:szCs w:val="14"/>
              </w:rPr>
              <w:t>S</w:t>
            </w:r>
          </w:p>
        </w:tc>
        <w:tc>
          <w:tcPr>
            <w:tcW w:w="851" w:type="dxa"/>
            <w:tcBorders>
              <w:top w:val="single" w:sz="4" w:space="0" w:color="FFFFFF"/>
              <w:left w:val="nil"/>
              <w:bottom w:val="single" w:sz="4" w:space="0" w:color="FFFFFF"/>
              <w:right w:val="single" w:sz="4" w:space="0" w:color="FFFFFF"/>
            </w:tcBorders>
            <w:shd w:val="clear" w:color="auto" w:fill="D9E2F3"/>
            <w:vAlign w:val="center"/>
            <w:hideMark/>
          </w:tcPr>
          <w:p w14:paraId="1D18F161"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14:paraId="5239ABF1" w14:textId="77777777" w:rsidTr="00AB2F99">
        <w:trPr>
          <w:trHeight w:val="227"/>
        </w:trPr>
        <w:tc>
          <w:tcPr>
            <w:tcW w:w="562" w:type="dxa"/>
            <w:tcBorders>
              <w:top w:val="single" w:sz="4" w:space="0" w:color="FFFFFF"/>
              <w:left w:val="single" w:sz="4" w:space="0" w:color="FFFFFF"/>
              <w:bottom w:val="single" w:sz="4" w:space="0" w:color="A6A6A6"/>
              <w:right w:val="single" w:sz="4" w:space="0" w:color="FFFFFF"/>
            </w:tcBorders>
            <w:shd w:val="clear" w:color="auto" w:fill="D9E2F3"/>
            <w:noWrap/>
            <w:vAlign w:val="center"/>
            <w:hideMark/>
          </w:tcPr>
          <w:p w14:paraId="0FCDAAC9" w14:textId="77777777" w:rsidR="008C311C" w:rsidRPr="008C311C" w:rsidRDefault="008C311C">
            <w:pPr>
              <w:jc w:val="center"/>
              <w:rPr>
                <w:rFonts w:asciiTheme="minorHAnsi" w:hAnsiTheme="minorHAnsi" w:cstheme="minorHAnsi"/>
                <w:b/>
                <w:bCs/>
                <w:sz w:val="14"/>
                <w:szCs w:val="14"/>
              </w:rPr>
            </w:pPr>
            <w:r w:rsidRPr="008C311C">
              <w:rPr>
                <w:rFonts w:asciiTheme="minorHAnsi" w:hAnsiTheme="minorHAnsi" w:cstheme="minorHAnsi"/>
                <w:b/>
                <w:bCs/>
                <w:sz w:val="14"/>
                <w:szCs w:val="14"/>
              </w:rPr>
              <w:t>13</w:t>
            </w:r>
          </w:p>
        </w:tc>
        <w:tc>
          <w:tcPr>
            <w:tcW w:w="5954" w:type="dxa"/>
            <w:tcBorders>
              <w:top w:val="single" w:sz="4" w:space="0" w:color="FFFFFF"/>
              <w:left w:val="nil"/>
              <w:bottom w:val="single" w:sz="4" w:space="0" w:color="A6A6A6"/>
              <w:right w:val="single" w:sz="4" w:space="0" w:color="FFFFFF"/>
            </w:tcBorders>
            <w:shd w:val="clear" w:color="auto" w:fill="D9E2F3"/>
            <w:noWrap/>
            <w:vAlign w:val="center"/>
            <w:hideMark/>
          </w:tcPr>
          <w:p w14:paraId="601DA102" w14:textId="77777777" w:rsidR="008C311C" w:rsidRPr="008C311C" w:rsidRDefault="008C311C">
            <w:pPr>
              <w:rPr>
                <w:rFonts w:asciiTheme="minorHAnsi" w:hAnsiTheme="minorHAnsi" w:cstheme="minorHAnsi"/>
                <w:b/>
                <w:bCs/>
                <w:sz w:val="14"/>
                <w:szCs w:val="14"/>
              </w:rPr>
            </w:pPr>
            <w:r w:rsidRPr="008C311C">
              <w:rPr>
                <w:rFonts w:asciiTheme="minorHAnsi" w:hAnsiTheme="minorHAnsi" w:cstheme="minorHAnsi"/>
                <w:b/>
                <w:bCs/>
                <w:sz w:val="14"/>
                <w:szCs w:val="14"/>
              </w:rPr>
              <w:t>Sistematização Informação</w:t>
            </w:r>
          </w:p>
        </w:tc>
        <w:tc>
          <w:tcPr>
            <w:tcW w:w="992" w:type="dxa"/>
            <w:tcBorders>
              <w:top w:val="single" w:sz="4" w:space="0" w:color="FFFFFF"/>
              <w:left w:val="nil"/>
              <w:bottom w:val="single" w:sz="4" w:space="0" w:color="A6A6A6"/>
              <w:right w:val="single" w:sz="4" w:space="0" w:color="FFFFFF"/>
            </w:tcBorders>
            <w:shd w:val="clear" w:color="auto" w:fill="D9E2F3"/>
            <w:noWrap/>
            <w:vAlign w:val="center"/>
            <w:hideMark/>
          </w:tcPr>
          <w:p w14:paraId="6BB6A835" w14:textId="157E5AA0" w:rsidR="008C311C" w:rsidRPr="008C311C" w:rsidRDefault="008C311C">
            <w:pPr>
              <w:jc w:val="center"/>
              <w:rPr>
                <w:rFonts w:asciiTheme="minorHAnsi" w:hAnsiTheme="minorHAnsi" w:cstheme="minorHAnsi"/>
                <w:sz w:val="14"/>
                <w:szCs w:val="14"/>
              </w:rPr>
            </w:pPr>
            <w:r w:rsidRPr="008C311C">
              <w:rPr>
                <w:rFonts w:asciiTheme="minorHAnsi" w:hAnsiTheme="minorHAnsi" w:cstheme="minorHAnsi"/>
                <w:sz w:val="14"/>
                <w:szCs w:val="14"/>
              </w:rPr>
              <w:t> </w:t>
            </w:r>
            <w:r w:rsidR="00077840">
              <w:rPr>
                <w:rFonts w:asciiTheme="minorHAnsi" w:hAnsiTheme="minorHAnsi" w:cstheme="minorHAnsi"/>
                <w:sz w:val="14"/>
                <w:szCs w:val="14"/>
              </w:rPr>
              <w:t>S</w:t>
            </w:r>
          </w:p>
        </w:tc>
        <w:tc>
          <w:tcPr>
            <w:tcW w:w="851" w:type="dxa"/>
            <w:tcBorders>
              <w:top w:val="single" w:sz="4" w:space="0" w:color="FFFFFF"/>
              <w:left w:val="nil"/>
              <w:bottom w:val="single" w:sz="4" w:space="0" w:color="A6A6A6"/>
              <w:right w:val="single" w:sz="4" w:space="0" w:color="FFFFFF"/>
            </w:tcBorders>
            <w:shd w:val="clear" w:color="auto" w:fill="D9E2F3"/>
            <w:vAlign w:val="center"/>
            <w:hideMark/>
          </w:tcPr>
          <w:p w14:paraId="595FFB54" w14:textId="77777777" w:rsidR="008C311C" w:rsidRPr="008C311C" w:rsidRDefault="008C311C">
            <w:pPr>
              <w:rPr>
                <w:rFonts w:asciiTheme="minorHAnsi" w:hAnsiTheme="minorHAnsi" w:cstheme="minorHAnsi"/>
                <w:sz w:val="14"/>
                <w:szCs w:val="14"/>
              </w:rPr>
            </w:pPr>
            <w:r w:rsidRPr="008C311C">
              <w:rPr>
                <w:rFonts w:asciiTheme="minorHAnsi" w:hAnsiTheme="minorHAnsi" w:cstheme="minorHAnsi"/>
                <w:sz w:val="14"/>
                <w:szCs w:val="14"/>
              </w:rPr>
              <w:t> </w:t>
            </w:r>
          </w:p>
        </w:tc>
      </w:tr>
      <w:tr w:rsidR="008C311C" w:rsidRPr="008C311C" w14:paraId="6AEA5AFB" w14:textId="77777777" w:rsidTr="008C311C">
        <w:trPr>
          <w:trHeight w:val="300"/>
        </w:trPr>
        <w:tc>
          <w:tcPr>
            <w:tcW w:w="6516" w:type="dxa"/>
            <w:gridSpan w:val="2"/>
            <w:tcBorders>
              <w:top w:val="nil"/>
              <w:left w:val="nil"/>
              <w:bottom w:val="nil"/>
              <w:right w:val="nil"/>
            </w:tcBorders>
            <w:noWrap/>
            <w:vAlign w:val="bottom"/>
            <w:hideMark/>
          </w:tcPr>
          <w:p w14:paraId="09862202" w14:textId="77777777" w:rsidR="008C311C" w:rsidRPr="008C311C" w:rsidRDefault="008C311C">
            <w:pPr>
              <w:rPr>
                <w:rFonts w:ascii="Calibri" w:hAnsi="Calibri" w:cs="Calibri"/>
                <w:color w:val="000000"/>
                <w:sz w:val="14"/>
                <w:szCs w:val="14"/>
              </w:rPr>
            </w:pPr>
            <w:r w:rsidRPr="008C311C">
              <w:rPr>
                <w:rFonts w:ascii="Calibri" w:hAnsi="Calibri" w:cs="Calibri"/>
                <w:color w:val="000000"/>
                <w:sz w:val="14"/>
                <w:szCs w:val="14"/>
              </w:rPr>
              <w:t>(a) Indicar cada objetivo de gestão da empresa.</w:t>
            </w:r>
          </w:p>
        </w:tc>
        <w:tc>
          <w:tcPr>
            <w:tcW w:w="992" w:type="dxa"/>
            <w:tcBorders>
              <w:top w:val="nil"/>
              <w:left w:val="nil"/>
              <w:bottom w:val="nil"/>
              <w:right w:val="nil"/>
            </w:tcBorders>
            <w:noWrap/>
            <w:vAlign w:val="bottom"/>
            <w:hideMark/>
          </w:tcPr>
          <w:p w14:paraId="79D357F4" w14:textId="77777777" w:rsidR="008C311C" w:rsidRPr="008C311C" w:rsidRDefault="008C311C">
            <w:pPr>
              <w:rPr>
                <w:rFonts w:ascii="Calibri" w:hAnsi="Calibri" w:cs="Calibri"/>
                <w:color w:val="000000"/>
                <w:sz w:val="14"/>
                <w:szCs w:val="14"/>
              </w:rPr>
            </w:pPr>
          </w:p>
        </w:tc>
        <w:tc>
          <w:tcPr>
            <w:tcW w:w="851" w:type="dxa"/>
            <w:tcBorders>
              <w:top w:val="nil"/>
              <w:left w:val="nil"/>
              <w:bottom w:val="nil"/>
              <w:right w:val="nil"/>
            </w:tcBorders>
            <w:noWrap/>
            <w:vAlign w:val="bottom"/>
            <w:hideMark/>
          </w:tcPr>
          <w:p w14:paraId="3BE21271" w14:textId="77777777" w:rsidR="008C311C" w:rsidRPr="008C311C" w:rsidRDefault="008C311C">
            <w:pPr>
              <w:rPr>
                <w:sz w:val="14"/>
                <w:szCs w:val="14"/>
              </w:rPr>
            </w:pPr>
          </w:p>
        </w:tc>
      </w:tr>
      <w:tr w:rsidR="008C311C" w:rsidRPr="008C311C" w14:paraId="07E3667A" w14:textId="77777777" w:rsidTr="008C311C">
        <w:trPr>
          <w:trHeight w:val="300"/>
        </w:trPr>
        <w:tc>
          <w:tcPr>
            <w:tcW w:w="6516" w:type="dxa"/>
            <w:gridSpan w:val="2"/>
            <w:tcBorders>
              <w:top w:val="nil"/>
              <w:left w:val="nil"/>
              <w:bottom w:val="nil"/>
              <w:right w:val="nil"/>
            </w:tcBorders>
            <w:noWrap/>
            <w:vAlign w:val="bottom"/>
            <w:hideMark/>
          </w:tcPr>
          <w:p w14:paraId="3BB13889" w14:textId="77777777" w:rsidR="008C311C" w:rsidRPr="008C311C" w:rsidRDefault="008C311C">
            <w:pPr>
              <w:rPr>
                <w:rFonts w:ascii="Calibri" w:hAnsi="Calibri" w:cs="Calibri"/>
                <w:color w:val="000000"/>
                <w:sz w:val="14"/>
                <w:szCs w:val="14"/>
              </w:rPr>
            </w:pPr>
            <w:r w:rsidRPr="008C311C">
              <w:rPr>
                <w:rFonts w:ascii="Calibri" w:hAnsi="Calibri" w:cs="Calibri"/>
                <w:color w:val="000000"/>
                <w:sz w:val="14"/>
                <w:szCs w:val="14"/>
              </w:rPr>
              <w:t>(b) Deverão ser indicadas também recomendações resultantes de auditorias transversais ao sector de atividade e/ou SEE.</w:t>
            </w:r>
          </w:p>
        </w:tc>
        <w:tc>
          <w:tcPr>
            <w:tcW w:w="992" w:type="dxa"/>
            <w:tcBorders>
              <w:top w:val="nil"/>
              <w:left w:val="nil"/>
              <w:bottom w:val="nil"/>
              <w:right w:val="nil"/>
            </w:tcBorders>
            <w:noWrap/>
            <w:vAlign w:val="bottom"/>
            <w:hideMark/>
          </w:tcPr>
          <w:p w14:paraId="18D2A23C" w14:textId="77777777" w:rsidR="008C311C" w:rsidRPr="008C311C" w:rsidRDefault="008C311C">
            <w:pPr>
              <w:rPr>
                <w:rFonts w:ascii="Calibri" w:hAnsi="Calibri" w:cs="Calibri"/>
                <w:color w:val="000000"/>
                <w:sz w:val="14"/>
                <w:szCs w:val="14"/>
              </w:rPr>
            </w:pPr>
          </w:p>
        </w:tc>
        <w:tc>
          <w:tcPr>
            <w:tcW w:w="851" w:type="dxa"/>
            <w:tcBorders>
              <w:top w:val="nil"/>
              <w:left w:val="nil"/>
              <w:bottom w:val="nil"/>
              <w:right w:val="nil"/>
            </w:tcBorders>
            <w:noWrap/>
            <w:vAlign w:val="bottom"/>
            <w:hideMark/>
          </w:tcPr>
          <w:p w14:paraId="63A68FB1" w14:textId="77777777" w:rsidR="008C311C" w:rsidRPr="008C311C" w:rsidRDefault="008C311C">
            <w:pPr>
              <w:rPr>
                <w:sz w:val="14"/>
                <w:szCs w:val="14"/>
              </w:rPr>
            </w:pPr>
          </w:p>
        </w:tc>
      </w:tr>
    </w:tbl>
    <w:p w14:paraId="60B1650E" w14:textId="77777777" w:rsidR="008C311C" w:rsidRDefault="008C311C">
      <w:pPr>
        <w:rPr>
          <w:rFonts w:asciiTheme="minorHAnsi" w:hAnsiTheme="minorHAnsi" w:cstheme="minorHAnsi"/>
          <w:b/>
          <w:sz w:val="22"/>
          <w:szCs w:val="22"/>
          <w:lang w:eastAsia="en-US"/>
        </w:rPr>
      </w:pPr>
    </w:p>
    <w:p w14:paraId="65B40925" w14:textId="77777777" w:rsidR="008C311C" w:rsidRDefault="008C311C">
      <w:pPr>
        <w:rPr>
          <w:rFonts w:asciiTheme="minorHAnsi" w:hAnsiTheme="minorHAnsi" w:cstheme="minorHAnsi"/>
          <w:b/>
          <w:sz w:val="22"/>
          <w:szCs w:val="22"/>
          <w:lang w:eastAsia="en-US"/>
        </w:rPr>
      </w:pPr>
    </w:p>
    <w:p w14:paraId="2D675CE8" w14:textId="77777777" w:rsidR="008C311C" w:rsidRDefault="008C311C">
      <w:pPr>
        <w:rPr>
          <w:rFonts w:asciiTheme="minorHAnsi" w:hAnsiTheme="minorHAnsi" w:cstheme="minorHAnsi"/>
          <w:b/>
          <w:sz w:val="22"/>
          <w:szCs w:val="22"/>
          <w:lang w:eastAsia="en-US"/>
        </w:rPr>
      </w:pPr>
    </w:p>
    <w:p w14:paraId="27E72CC3" w14:textId="77777777" w:rsidR="001C272C" w:rsidRDefault="001C272C">
      <w:pPr>
        <w:rPr>
          <w:rFonts w:asciiTheme="minorHAnsi" w:hAnsiTheme="minorHAnsi" w:cstheme="minorHAnsi"/>
          <w:b/>
          <w:sz w:val="22"/>
          <w:szCs w:val="22"/>
          <w:lang w:eastAsia="en-US"/>
        </w:rPr>
      </w:pPr>
    </w:p>
    <w:tbl>
      <w:tblPr>
        <w:tblW w:w="1003" w:type="dxa"/>
        <w:tblInd w:w="5" w:type="dxa"/>
        <w:tblCellMar>
          <w:left w:w="70" w:type="dxa"/>
          <w:right w:w="70" w:type="dxa"/>
        </w:tblCellMar>
        <w:tblLook w:val="04A0" w:firstRow="1" w:lastRow="0" w:firstColumn="1" w:lastColumn="0" w:noHBand="0" w:noVBand="1"/>
      </w:tblPr>
      <w:tblGrid>
        <w:gridCol w:w="1003"/>
      </w:tblGrid>
      <w:tr w:rsidR="008C311C" w:rsidRPr="001C272C" w14:paraId="45C821FA" w14:textId="77777777" w:rsidTr="008C311C">
        <w:trPr>
          <w:trHeight w:val="288"/>
        </w:trPr>
        <w:tc>
          <w:tcPr>
            <w:tcW w:w="1003" w:type="dxa"/>
            <w:vAlign w:val="center"/>
          </w:tcPr>
          <w:p w14:paraId="31E8A9D5" w14:textId="77777777" w:rsidR="008C311C" w:rsidRPr="001C272C" w:rsidRDefault="008C311C" w:rsidP="007732BE">
            <w:pPr>
              <w:rPr>
                <w:rFonts w:ascii="Calibri" w:hAnsi="Calibri" w:cs="Calibri"/>
                <w:sz w:val="14"/>
                <w:szCs w:val="14"/>
              </w:rPr>
            </w:pPr>
            <w:r w:rsidRPr="001C272C">
              <w:rPr>
                <w:rFonts w:ascii="Calibri" w:hAnsi="Calibri" w:cs="Calibri"/>
                <w:sz w:val="14"/>
                <w:szCs w:val="14"/>
              </w:rPr>
              <w:t> </w:t>
            </w:r>
          </w:p>
        </w:tc>
      </w:tr>
    </w:tbl>
    <w:p w14:paraId="4D9B6FD3" w14:textId="77777777" w:rsidR="006D7C47" w:rsidRDefault="006D7C47" w:rsidP="006D7C47">
      <w:pPr>
        <w:rPr>
          <w:rFonts w:asciiTheme="minorHAnsi" w:hAnsiTheme="minorHAnsi" w:cstheme="minorHAnsi"/>
          <w:color w:val="1F4E79"/>
          <w:lang w:eastAsia="en-US"/>
        </w:rPr>
      </w:pPr>
    </w:p>
    <w:p w14:paraId="41318BF6" w14:textId="77777777" w:rsidR="006D7C47" w:rsidRDefault="006D7C47" w:rsidP="006D7C47">
      <w:pPr>
        <w:rPr>
          <w:rFonts w:asciiTheme="minorHAnsi" w:hAnsiTheme="minorHAnsi" w:cstheme="minorHAnsi"/>
          <w:color w:val="1F4E79"/>
          <w:lang w:eastAsia="en-US"/>
        </w:rPr>
      </w:pPr>
    </w:p>
    <w:p w14:paraId="24D33263" w14:textId="77777777" w:rsidR="006D7C47" w:rsidRDefault="006D7C47" w:rsidP="006D7C47">
      <w:pPr>
        <w:rPr>
          <w:rFonts w:asciiTheme="minorHAnsi" w:hAnsiTheme="minorHAnsi" w:cstheme="minorHAnsi"/>
          <w:color w:val="1F4E79"/>
          <w:lang w:eastAsia="en-US"/>
        </w:rPr>
      </w:pPr>
    </w:p>
    <w:p w14:paraId="5FC723F6" w14:textId="77777777" w:rsidR="003F5D2D" w:rsidRDefault="003F5D2D" w:rsidP="00A04D10">
      <w:pPr>
        <w:pStyle w:val="Ttulo"/>
        <w:jc w:val="center"/>
        <w:outlineLvl w:val="9"/>
        <w:rPr>
          <w:rFonts w:asciiTheme="minorHAnsi" w:hAnsiTheme="minorHAnsi" w:cstheme="minorHAnsi"/>
          <w:color w:val="365F91"/>
          <w:sz w:val="28"/>
          <w:szCs w:val="28"/>
          <w:lang w:val="pt-PT"/>
        </w:rPr>
      </w:pPr>
      <w:bookmarkStart w:id="63" w:name="_Toc482900448"/>
    </w:p>
    <w:p w14:paraId="05AC55FF" w14:textId="77777777" w:rsidR="003F5D2D" w:rsidRDefault="003F5D2D" w:rsidP="00A04D10">
      <w:pPr>
        <w:pStyle w:val="Ttulo"/>
        <w:jc w:val="center"/>
        <w:outlineLvl w:val="9"/>
        <w:rPr>
          <w:rFonts w:asciiTheme="minorHAnsi" w:hAnsiTheme="minorHAnsi" w:cstheme="minorHAnsi"/>
          <w:color w:val="365F91"/>
          <w:sz w:val="28"/>
          <w:szCs w:val="28"/>
          <w:lang w:val="pt-PT"/>
        </w:rPr>
      </w:pPr>
    </w:p>
    <w:p w14:paraId="3F508C13" w14:textId="76883DC9" w:rsidR="003F5D2D" w:rsidRDefault="003F5D2D" w:rsidP="00A04D10">
      <w:pPr>
        <w:pStyle w:val="Ttulo"/>
        <w:jc w:val="center"/>
        <w:outlineLvl w:val="9"/>
        <w:rPr>
          <w:rFonts w:asciiTheme="minorHAnsi" w:hAnsiTheme="minorHAnsi" w:cstheme="minorHAnsi"/>
          <w:color w:val="365F91"/>
          <w:sz w:val="28"/>
          <w:szCs w:val="28"/>
          <w:lang w:val="pt-PT"/>
        </w:rPr>
      </w:pPr>
    </w:p>
    <w:p w14:paraId="63B74B4B" w14:textId="77777777" w:rsidR="004C5392" w:rsidRDefault="004C5392" w:rsidP="00A04D10">
      <w:pPr>
        <w:pStyle w:val="Ttulo"/>
        <w:jc w:val="center"/>
        <w:outlineLvl w:val="9"/>
        <w:rPr>
          <w:rFonts w:asciiTheme="minorHAnsi" w:hAnsiTheme="minorHAnsi" w:cstheme="minorHAnsi"/>
          <w:color w:val="365F91"/>
          <w:sz w:val="28"/>
          <w:szCs w:val="28"/>
          <w:lang w:val="pt-PT"/>
        </w:rPr>
      </w:pPr>
    </w:p>
    <w:p w14:paraId="07D7DBD8" w14:textId="77777777" w:rsidR="003F5D2D" w:rsidRDefault="003F5D2D" w:rsidP="00A04D10">
      <w:pPr>
        <w:pStyle w:val="Ttulo"/>
        <w:jc w:val="center"/>
        <w:outlineLvl w:val="9"/>
        <w:rPr>
          <w:rFonts w:asciiTheme="minorHAnsi" w:hAnsiTheme="minorHAnsi" w:cstheme="minorHAnsi"/>
          <w:color w:val="365F91"/>
          <w:sz w:val="28"/>
          <w:szCs w:val="28"/>
          <w:lang w:val="pt-PT"/>
        </w:rPr>
      </w:pPr>
    </w:p>
    <w:bookmarkEnd w:id="63"/>
    <w:p w14:paraId="34378142" w14:textId="659CE861" w:rsidR="0099671D" w:rsidRPr="00E20B6B" w:rsidRDefault="0099671D" w:rsidP="004B7583">
      <w:pPr>
        <w:jc w:val="both"/>
        <w:rPr>
          <w:rFonts w:asciiTheme="minorHAnsi" w:hAnsiTheme="minorHAnsi" w:cstheme="minorHAnsi"/>
          <w:lang w:eastAsia="en-US"/>
        </w:rPr>
      </w:pPr>
    </w:p>
    <w:p w14:paraId="4F8BC813" w14:textId="77777777" w:rsidR="00F37923" w:rsidRPr="00E20B6B" w:rsidRDefault="00F37923" w:rsidP="004B7583">
      <w:pPr>
        <w:jc w:val="both"/>
        <w:rPr>
          <w:rFonts w:asciiTheme="minorHAnsi" w:hAnsiTheme="minorHAnsi" w:cstheme="minorHAnsi"/>
          <w:lang w:eastAsia="en-US"/>
        </w:rPr>
      </w:pPr>
    </w:p>
    <w:p w14:paraId="50669F89" w14:textId="77777777" w:rsidR="0099671D" w:rsidRPr="00E20B6B" w:rsidRDefault="0099671D" w:rsidP="004B7583">
      <w:pPr>
        <w:jc w:val="both"/>
        <w:rPr>
          <w:rFonts w:asciiTheme="minorHAnsi" w:hAnsiTheme="minorHAnsi" w:cstheme="minorHAnsi"/>
          <w:lang w:eastAsia="en-US"/>
        </w:rPr>
      </w:pPr>
    </w:p>
    <w:p w14:paraId="0C032D74" w14:textId="77777777" w:rsidR="0099671D" w:rsidRPr="00E20B6B" w:rsidRDefault="0099671D" w:rsidP="004B7583">
      <w:pPr>
        <w:jc w:val="both"/>
        <w:rPr>
          <w:rFonts w:asciiTheme="minorHAnsi" w:hAnsiTheme="minorHAnsi" w:cstheme="minorHAnsi"/>
          <w:lang w:eastAsia="en-US"/>
        </w:rPr>
      </w:pPr>
    </w:p>
    <w:p w14:paraId="70F37715" w14:textId="77777777" w:rsidR="0099671D" w:rsidRPr="00E20B6B" w:rsidRDefault="0099671D" w:rsidP="004B7583">
      <w:pPr>
        <w:jc w:val="both"/>
        <w:rPr>
          <w:rFonts w:asciiTheme="minorHAnsi" w:hAnsiTheme="minorHAnsi" w:cstheme="minorHAnsi"/>
          <w:lang w:eastAsia="en-US"/>
        </w:rPr>
      </w:pPr>
    </w:p>
    <w:p w14:paraId="472C4675" w14:textId="77777777" w:rsidR="0099671D" w:rsidRPr="00E20B6B" w:rsidRDefault="0099671D" w:rsidP="004B7583">
      <w:pPr>
        <w:jc w:val="both"/>
        <w:rPr>
          <w:rFonts w:asciiTheme="minorHAnsi" w:hAnsiTheme="minorHAnsi" w:cstheme="minorHAnsi"/>
          <w:lang w:eastAsia="en-US"/>
        </w:rPr>
      </w:pPr>
    </w:p>
    <w:p w14:paraId="317EF2A6" w14:textId="77777777" w:rsidR="003D6450" w:rsidRDefault="003D6450" w:rsidP="009E3F24">
      <w:pPr>
        <w:pStyle w:val="Ttulo"/>
        <w:jc w:val="center"/>
        <w:rPr>
          <w:rFonts w:asciiTheme="minorHAnsi" w:hAnsiTheme="minorHAnsi" w:cstheme="minorHAnsi"/>
          <w:color w:val="365F91"/>
          <w:sz w:val="28"/>
          <w:szCs w:val="22"/>
          <w:lang w:val="pt-PT"/>
        </w:rPr>
      </w:pPr>
      <w:bookmarkStart w:id="64" w:name="_Toc482900449"/>
      <w:bookmarkStart w:id="65" w:name="_Toc221618471"/>
    </w:p>
    <w:p w14:paraId="351D8C96" w14:textId="77777777" w:rsidR="003D6450" w:rsidRDefault="003D6450" w:rsidP="009E3F24">
      <w:pPr>
        <w:pStyle w:val="Ttulo"/>
        <w:jc w:val="center"/>
        <w:rPr>
          <w:rFonts w:asciiTheme="minorHAnsi" w:hAnsiTheme="minorHAnsi" w:cstheme="minorHAnsi"/>
          <w:color w:val="365F91"/>
          <w:sz w:val="28"/>
          <w:szCs w:val="22"/>
          <w:lang w:val="pt-PT"/>
        </w:rPr>
      </w:pPr>
    </w:p>
    <w:p w14:paraId="2F492F4B" w14:textId="77777777" w:rsidR="003D6450" w:rsidRDefault="003D6450" w:rsidP="009E3F24">
      <w:pPr>
        <w:pStyle w:val="Ttulo"/>
        <w:jc w:val="center"/>
        <w:rPr>
          <w:rFonts w:asciiTheme="minorHAnsi" w:hAnsiTheme="minorHAnsi" w:cstheme="minorHAnsi"/>
          <w:color w:val="365F91"/>
          <w:sz w:val="28"/>
          <w:szCs w:val="22"/>
          <w:lang w:val="pt-PT"/>
        </w:rPr>
      </w:pPr>
    </w:p>
    <w:p w14:paraId="3B6F8D30" w14:textId="77777777" w:rsidR="003D6450" w:rsidRDefault="003D6450" w:rsidP="009E3F24">
      <w:pPr>
        <w:pStyle w:val="Ttulo"/>
        <w:jc w:val="center"/>
        <w:rPr>
          <w:rFonts w:asciiTheme="minorHAnsi" w:hAnsiTheme="minorHAnsi" w:cstheme="minorHAnsi"/>
          <w:color w:val="365F91"/>
          <w:sz w:val="28"/>
          <w:szCs w:val="22"/>
          <w:lang w:val="pt-PT"/>
        </w:rPr>
      </w:pPr>
    </w:p>
    <w:p w14:paraId="228AF6A8" w14:textId="77777777" w:rsidR="003D6450" w:rsidRDefault="003D6450" w:rsidP="009E3F24">
      <w:pPr>
        <w:pStyle w:val="Ttulo"/>
        <w:jc w:val="center"/>
        <w:rPr>
          <w:rFonts w:asciiTheme="minorHAnsi" w:hAnsiTheme="minorHAnsi" w:cstheme="minorHAnsi"/>
          <w:color w:val="365F91"/>
          <w:sz w:val="28"/>
          <w:szCs w:val="22"/>
          <w:lang w:val="pt-PT"/>
        </w:rPr>
      </w:pPr>
    </w:p>
    <w:p w14:paraId="5D4B144E" w14:textId="77777777" w:rsidR="003D6450" w:rsidRDefault="003D6450" w:rsidP="009E3F24">
      <w:pPr>
        <w:pStyle w:val="Ttulo"/>
        <w:jc w:val="center"/>
        <w:rPr>
          <w:rFonts w:asciiTheme="minorHAnsi" w:hAnsiTheme="minorHAnsi" w:cstheme="minorHAnsi"/>
          <w:color w:val="365F91"/>
          <w:sz w:val="28"/>
          <w:szCs w:val="22"/>
          <w:lang w:val="pt-PT"/>
        </w:rPr>
      </w:pPr>
    </w:p>
    <w:p w14:paraId="0981BDB7" w14:textId="77777777" w:rsidR="00472E47" w:rsidRDefault="00472E47" w:rsidP="009E3F24">
      <w:pPr>
        <w:pStyle w:val="Ttulo"/>
        <w:jc w:val="center"/>
        <w:rPr>
          <w:rFonts w:asciiTheme="minorHAnsi" w:hAnsiTheme="minorHAnsi" w:cstheme="minorHAnsi"/>
          <w:color w:val="365F91"/>
          <w:sz w:val="28"/>
          <w:szCs w:val="22"/>
          <w:lang w:val="pt-PT"/>
        </w:rPr>
      </w:pPr>
    </w:p>
    <w:p w14:paraId="2D5B2C7B" w14:textId="77777777" w:rsidR="00472E47" w:rsidRDefault="00472E47" w:rsidP="009E3F24">
      <w:pPr>
        <w:pStyle w:val="Ttulo"/>
        <w:jc w:val="center"/>
        <w:rPr>
          <w:rFonts w:asciiTheme="minorHAnsi" w:hAnsiTheme="minorHAnsi" w:cstheme="minorHAnsi"/>
          <w:color w:val="365F91"/>
          <w:sz w:val="28"/>
          <w:szCs w:val="22"/>
          <w:lang w:val="pt-PT"/>
        </w:rPr>
      </w:pPr>
    </w:p>
    <w:p w14:paraId="312AA648" w14:textId="77777777" w:rsidR="003D6450" w:rsidRDefault="003D6450" w:rsidP="009E3F24">
      <w:pPr>
        <w:pStyle w:val="Ttulo"/>
        <w:jc w:val="center"/>
        <w:rPr>
          <w:rFonts w:asciiTheme="minorHAnsi" w:hAnsiTheme="minorHAnsi" w:cstheme="minorHAnsi"/>
          <w:color w:val="365F91"/>
          <w:sz w:val="28"/>
          <w:szCs w:val="22"/>
          <w:lang w:val="pt-PT"/>
        </w:rPr>
      </w:pPr>
    </w:p>
    <w:p w14:paraId="6170CA12" w14:textId="77777777" w:rsidR="003D6450" w:rsidRDefault="003D6450" w:rsidP="009E3F24">
      <w:pPr>
        <w:pStyle w:val="Ttulo"/>
        <w:jc w:val="center"/>
        <w:rPr>
          <w:rFonts w:asciiTheme="minorHAnsi" w:hAnsiTheme="minorHAnsi" w:cstheme="minorHAnsi"/>
          <w:color w:val="365F91"/>
          <w:sz w:val="28"/>
          <w:szCs w:val="22"/>
          <w:lang w:val="pt-PT"/>
        </w:rPr>
      </w:pPr>
    </w:p>
    <w:p w14:paraId="0897CAA7" w14:textId="4C39D36D" w:rsidR="0099671D" w:rsidRPr="00E20B6B" w:rsidRDefault="00D13215" w:rsidP="009E3F24">
      <w:pPr>
        <w:pStyle w:val="Ttulo"/>
        <w:jc w:val="center"/>
        <w:rPr>
          <w:rFonts w:asciiTheme="minorHAnsi" w:hAnsiTheme="minorHAnsi" w:cstheme="minorHAnsi"/>
          <w:color w:val="0070C0"/>
          <w:sz w:val="36"/>
          <w:szCs w:val="28"/>
          <w:lang w:val="pt-PT"/>
        </w:rPr>
      </w:pPr>
      <w:r>
        <w:rPr>
          <w:rFonts w:asciiTheme="minorHAnsi" w:hAnsiTheme="minorHAnsi" w:cstheme="minorHAnsi"/>
          <w:color w:val="365F91"/>
          <w:sz w:val="28"/>
          <w:szCs w:val="22"/>
          <w:lang w:val="pt-PT"/>
        </w:rPr>
        <w:t>5</w:t>
      </w:r>
      <w:r w:rsidR="009E3F24" w:rsidRPr="00E20B6B">
        <w:rPr>
          <w:rFonts w:asciiTheme="minorHAnsi" w:hAnsiTheme="minorHAnsi" w:cstheme="minorHAnsi"/>
          <w:color w:val="365F91"/>
          <w:sz w:val="28"/>
          <w:szCs w:val="22"/>
          <w:lang w:val="pt-PT"/>
        </w:rPr>
        <w:t>. DECLARAÇÕES DE INDEPENDÊNCIA</w:t>
      </w:r>
      <w:bookmarkEnd w:id="64"/>
      <w:bookmarkEnd w:id="65"/>
      <w:r w:rsidR="009E3F24" w:rsidRPr="00E20B6B" w:rsidDel="009E3F24">
        <w:rPr>
          <w:rFonts w:asciiTheme="minorHAnsi" w:hAnsiTheme="minorHAnsi" w:cstheme="minorHAnsi"/>
          <w:color w:val="0070C0"/>
          <w:sz w:val="36"/>
          <w:szCs w:val="28"/>
          <w:lang w:val="pt-PT"/>
        </w:rPr>
        <w:t xml:space="preserve"> </w:t>
      </w:r>
    </w:p>
    <w:p w14:paraId="42461B78" w14:textId="77777777" w:rsidR="0099671D" w:rsidRPr="00E20B6B" w:rsidRDefault="0099671D" w:rsidP="00070C61">
      <w:pPr>
        <w:jc w:val="both"/>
        <w:rPr>
          <w:rFonts w:asciiTheme="minorHAnsi" w:hAnsiTheme="minorHAnsi" w:cstheme="minorHAnsi"/>
          <w:lang w:eastAsia="en-US"/>
        </w:rPr>
      </w:pPr>
    </w:p>
    <w:p w14:paraId="1698AA48" w14:textId="77777777" w:rsidR="0099671D" w:rsidRPr="00E20B6B" w:rsidRDefault="0099671D" w:rsidP="00070C61">
      <w:pPr>
        <w:jc w:val="both"/>
        <w:rPr>
          <w:rFonts w:asciiTheme="minorHAnsi" w:hAnsiTheme="minorHAnsi" w:cstheme="minorHAnsi"/>
          <w:lang w:eastAsia="en-US"/>
        </w:rPr>
      </w:pPr>
    </w:p>
    <w:p w14:paraId="79C93DE8" w14:textId="77777777" w:rsidR="0099671D" w:rsidRPr="00E20B6B" w:rsidRDefault="0099671D" w:rsidP="00070C61">
      <w:pPr>
        <w:jc w:val="both"/>
        <w:rPr>
          <w:rFonts w:asciiTheme="minorHAnsi" w:hAnsiTheme="minorHAnsi" w:cstheme="minorHAnsi"/>
          <w:lang w:eastAsia="en-US"/>
        </w:rPr>
      </w:pPr>
    </w:p>
    <w:p w14:paraId="3858DE80" w14:textId="77777777" w:rsidR="0099671D" w:rsidRPr="00E20B6B" w:rsidRDefault="0099671D" w:rsidP="00070C61">
      <w:pPr>
        <w:jc w:val="both"/>
        <w:rPr>
          <w:rFonts w:asciiTheme="minorHAnsi" w:hAnsiTheme="minorHAnsi" w:cstheme="minorHAnsi"/>
          <w:lang w:eastAsia="en-US"/>
        </w:rPr>
      </w:pPr>
    </w:p>
    <w:p w14:paraId="445C99A9" w14:textId="77777777" w:rsidR="0099671D" w:rsidRPr="00E20B6B" w:rsidRDefault="0099671D" w:rsidP="00070C61">
      <w:pPr>
        <w:jc w:val="both"/>
        <w:rPr>
          <w:rFonts w:asciiTheme="minorHAnsi" w:hAnsiTheme="minorHAnsi" w:cstheme="minorHAnsi"/>
          <w:lang w:eastAsia="en-US"/>
        </w:rPr>
      </w:pPr>
    </w:p>
    <w:p w14:paraId="2F7FB4F9" w14:textId="77777777" w:rsidR="009E3F24" w:rsidRPr="00E20B6B" w:rsidRDefault="009E3F24">
      <w:pPr>
        <w:rPr>
          <w:rFonts w:asciiTheme="minorHAnsi" w:hAnsiTheme="minorHAnsi" w:cstheme="minorHAnsi"/>
          <w:lang w:eastAsia="en-US"/>
        </w:rPr>
      </w:pPr>
      <w:r w:rsidRPr="00E20B6B">
        <w:rPr>
          <w:rFonts w:asciiTheme="minorHAnsi" w:hAnsiTheme="minorHAnsi" w:cstheme="minorHAnsi"/>
          <w:lang w:eastAsia="en-US"/>
        </w:rPr>
        <w:br w:type="page"/>
      </w:r>
    </w:p>
    <w:p w14:paraId="514E805C" w14:textId="185ABD6E" w:rsidR="009E3F24" w:rsidRPr="00E20B6B" w:rsidRDefault="009E3F24" w:rsidP="009E3F24">
      <w:pPr>
        <w:rPr>
          <w:rFonts w:asciiTheme="minorHAnsi" w:hAnsiTheme="minorHAnsi" w:cstheme="minorHAnsi"/>
          <w:sz w:val="22"/>
          <w:lang w:eastAsia="en-US"/>
        </w:rPr>
      </w:pPr>
      <w:r w:rsidRPr="00E20B6B">
        <w:rPr>
          <w:rFonts w:asciiTheme="minorHAnsi" w:hAnsiTheme="minorHAnsi" w:cstheme="minorHAnsi"/>
          <w:sz w:val="22"/>
          <w:lang w:eastAsia="en-US"/>
        </w:rPr>
        <w:lastRenderedPageBreak/>
        <w:t xml:space="preserve">Anexo A – Declaração de Independência </w:t>
      </w:r>
      <w:r w:rsidR="00104623" w:rsidRPr="00E20B6B">
        <w:rPr>
          <w:rFonts w:asciiTheme="minorHAnsi" w:hAnsiTheme="minorHAnsi" w:cstheme="minorHAnsi"/>
          <w:sz w:val="22"/>
          <w:lang w:eastAsia="en-US"/>
        </w:rPr>
        <w:t xml:space="preserve">- </w:t>
      </w:r>
      <w:r w:rsidRPr="00E20B6B">
        <w:rPr>
          <w:rFonts w:asciiTheme="minorHAnsi" w:hAnsiTheme="minorHAnsi" w:cstheme="minorHAnsi"/>
          <w:sz w:val="22"/>
          <w:lang w:eastAsia="en-US"/>
        </w:rPr>
        <w:t xml:space="preserve">Presidente </w:t>
      </w:r>
      <w:r w:rsidR="00DE592E">
        <w:rPr>
          <w:rFonts w:asciiTheme="minorHAnsi" w:hAnsiTheme="minorHAnsi" w:cstheme="minorHAnsi"/>
          <w:sz w:val="22"/>
          <w:lang w:eastAsia="en-US"/>
        </w:rPr>
        <w:t xml:space="preserve">do </w:t>
      </w:r>
      <w:r w:rsidRPr="00E20B6B">
        <w:rPr>
          <w:rFonts w:asciiTheme="minorHAnsi" w:hAnsiTheme="minorHAnsi" w:cstheme="minorHAnsi"/>
          <w:sz w:val="22"/>
          <w:lang w:eastAsia="en-US"/>
        </w:rPr>
        <w:t>C</w:t>
      </w:r>
      <w:r w:rsidR="00DE592E">
        <w:rPr>
          <w:rFonts w:asciiTheme="minorHAnsi" w:hAnsiTheme="minorHAnsi" w:cstheme="minorHAnsi"/>
          <w:sz w:val="22"/>
          <w:lang w:eastAsia="en-US"/>
        </w:rPr>
        <w:t>onselho de Administração</w:t>
      </w:r>
    </w:p>
    <w:p w14:paraId="4B9F2356" w14:textId="77777777" w:rsidR="00572342" w:rsidRPr="00E20B6B" w:rsidRDefault="00572342" w:rsidP="00572342">
      <w:pPr>
        <w:jc w:val="both"/>
        <w:rPr>
          <w:rFonts w:asciiTheme="minorHAnsi" w:hAnsiTheme="minorHAnsi" w:cstheme="minorHAnsi"/>
          <w:sz w:val="22"/>
          <w:szCs w:val="22"/>
          <w:lang w:eastAsia="en-US"/>
        </w:rPr>
      </w:pPr>
    </w:p>
    <w:p w14:paraId="331B72E2" w14:textId="77777777" w:rsidR="00572342" w:rsidRPr="00E20B6B" w:rsidRDefault="00572342" w:rsidP="00572342">
      <w:pPr>
        <w:jc w:val="both"/>
        <w:rPr>
          <w:rFonts w:asciiTheme="minorHAnsi" w:hAnsiTheme="minorHAnsi" w:cstheme="minorHAnsi"/>
          <w:sz w:val="22"/>
          <w:szCs w:val="22"/>
          <w:lang w:eastAsia="en-US"/>
        </w:rPr>
      </w:pPr>
    </w:p>
    <w:p w14:paraId="3F131D5F" w14:textId="77777777" w:rsidR="006A0F97" w:rsidRPr="00E20B6B" w:rsidRDefault="006A0F97" w:rsidP="00465129">
      <w:pPr>
        <w:ind w:left="1416"/>
        <w:rPr>
          <w:rFonts w:asciiTheme="minorHAnsi" w:hAnsiTheme="minorHAnsi" w:cstheme="minorHAnsi"/>
          <w:sz w:val="22"/>
          <w:szCs w:val="22"/>
          <w:lang w:eastAsia="en-US"/>
        </w:rPr>
      </w:pPr>
      <w:r w:rsidRPr="00E20B6B">
        <w:rPr>
          <w:rFonts w:asciiTheme="minorHAnsi" w:hAnsiTheme="minorHAnsi" w:cstheme="minorHAnsi"/>
          <w:sz w:val="22"/>
          <w:szCs w:val="22"/>
          <w:lang w:eastAsia="en-US"/>
        </w:rPr>
        <w:t>(</w:t>
      </w:r>
      <w:r w:rsidR="009579BC" w:rsidRPr="00E20B6B">
        <w:rPr>
          <w:rFonts w:asciiTheme="minorHAnsi" w:hAnsiTheme="minorHAnsi" w:cstheme="minorHAnsi"/>
          <w:sz w:val="22"/>
          <w:szCs w:val="22"/>
          <w:lang w:eastAsia="en-US"/>
        </w:rPr>
        <w:t>art.º</w:t>
      </w:r>
      <w:r w:rsidRPr="00E20B6B">
        <w:rPr>
          <w:rFonts w:asciiTheme="minorHAnsi" w:hAnsiTheme="minorHAnsi" w:cstheme="minorHAnsi"/>
          <w:sz w:val="22"/>
          <w:szCs w:val="22"/>
          <w:lang w:eastAsia="en-US"/>
        </w:rPr>
        <w:t xml:space="preserve"> 51º do </w:t>
      </w:r>
      <w:proofErr w:type="spellStart"/>
      <w:r w:rsidR="009579BC" w:rsidRPr="00E20B6B">
        <w:rPr>
          <w:rFonts w:asciiTheme="minorHAnsi" w:hAnsiTheme="minorHAnsi" w:cstheme="minorHAnsi"/>
          <w:sz w:val="22"/>
          <w:szCs w:val="22"/>
          <w:lang w:eastAsia="en-US"/>
        </w:rPr>
        <w:t>D</w:t>
      </w:r>
      <w:r w:rsidRPr="00E20B6B">
        <w:rPr>
          <w:rFonts w:asciiTheme="minorHAnsi" w:hAnsiTheme="minorHAnsi" w:cstheme="minorHAnsi"/>
          <w:sz w:val="22"/>
          <w:szCs w:val="22"/>
          <w:lang w:eastAsia="en-US"/>
        </w:rPr>
        <w:t>ec</w:t>
      </w:r>
      <w:proofErr w:type="spellEnd"/>
      <w:r w:rsidRPr="00E20B6B">
        <w:rPr>
          <w:rFonts w:asciiTheme="minorHAnsi" w:hAnsiTheme="minorHAnsi" w:cstheme="minorHAnsi"/>
          <w:sz w:val="22"/>
          <w:szCs w:val="22"/>
          <w:lang w:eastAsia="en-US"/>
        </w:rPr>
        <w:t>-</w:t>
      </w:r>
      <w:r w:rsidR="009579BC" w:rsidRPr="00E20B6B">
        <w:rPr>
          <w:rFonts w:asciiTheme="minorHAnsi" w:hAnsiTheme="minorHAnsi" w:cstheme="minorHAnsi"/>
          <w:sz w:val="22"/>
          <w:szCs w:val="22"/>
          <w:lang w:eastAsia="en-US"/>
        </w:rPr>
        <w:t>L</w:t>
      </w:r>
      <w:r w:rsidRPr="00E20B6B">
        <w:rPr>
          <w:rFonts w:asciiTheme="minorHAnsi" w:hAnsiTheme="minorHAnsi" w:cstheme="minorHAnsi"/>
          <w:sz w:val="22"/>
          <w:szCs w:val="22"/>
          <w:lang w:eastAsia="en-US"/>
        </w:rPr>
        <w:t xml:space="preserve">ei </w:t>
      </w:r>
      <w:r w:rsidR="009579BC" w:rsidRPr="00E20B6B">
        <w:rPr>
          <w:rFonts w:asciiTheme="minorHAnsi" w:hAnsiTheme="minorHAnsi" w:cstheme="minorHAnsi"/>
          <w:sz w:val="22"/>
          <w:szCs w:val="22"/>
          <w:lang w:eastAsia="en-US"/>
        </w:rPr>
        <w:t>n.º</w:t>
      </w:r>
      <w:r w:rsidRPr="00E20B6B">
        <w:rPr>
          <w:rFonts w:asciiTheme="minorHAnsi" w:hAnsiTheme="minorHAnsi" w:cstheme="minorHAnsi"/>
          <w:sz w:val="22"/>
          <w:szCs w:val="22"/>
          <w:lang w:eastAsia="en-US"/>
        </w:rPr>
        <w:t xml:space="preserve"> 133/2013, de 3 outubro)</w:t>
      </w:r>
    </w:p>
    <w:p w14:paraId="5B5A941C" w14:textId="77777777" w:rsidR="006A0F97" w:rsidRPr="00E20B6B" w:rsidRDefault="006A0F97" w:rsidP="006A0F97">
      <w:pPr>
        <w:rPr>
          <w:rFonts w:asciiTheme="minorHAnsi" w:hAnsiTheme="minorHAnsi" w:cstheme="minorHAnsi"/>
          <w:sz w:val="22"/>
          <w:szCs w:val="22"/>
          <w:lang w:eastAsia="en-US"/>
        </w:rPr>
      </w:pPr>
    </w:p>
    <w:p w14:paraId="3CF0E4C4" w14:textId="77777777" w:rsidR="006A0F97" w:rsidRPr="00E20B6B" w:rsidRDefault="006A0F97" w:rsidP="006A0F97">
      <w:pPr>
        <w:rPr>
          <w:rFonts w:asciiTheme="minorHAnsi" w:hAnsiTheme="minorHAnsi" w:cstheme="minorHAnsi"/>
          <w:sz w:val="22"/>
          <w:szCs w:val="22"/>
          <w:lang w:eastAsia="en-US"/>
        </w:rPr>
      </w:pPr>
    </w:p>
    <w:p w14:paraId="008510F1" w14:textId="77777777" w:rsidR="006A0F97" w:rsidRPr="00E20B6B" w:rsidRDefault="006A0F97" w:rsidP="006A0F97">
      <w:pPr>
        <w:rPr>
          <w:rFonts w:asciiTheme="minorHAnsi" w:hAnsiTheme="minorHAnsi" w:cstheme="minorHAnsi"/>
          <w:sz w:val="22"/>
          <w:szCs w:val="22"/>
          <w:lang w:eastAsia="en-US"/>
        </w:rPr>
      </w:pPr>
    </w:p>
    <w:p w14:paraId="0BE7A9F2" w14:textId="77777777" w:rsidR="005E03A5" w:rsidRPr="00E20B6B" w:rsidRDefault="005E03A5" w:rsidP="006A0F97">
      <w:pPr>
        <w:rPr>
          <w:rFonts w:asciiTheme="minorHAnsi" w:hAnsiTheme="minorHAnsi" w:cstheme="minorHAnsi"/>
          <w:sz w:val="22"/>
          <w:szCs w:val="22"/>
          <w:lang w:eastAsia="en-US"/>
        </w:rPr>
      </w:pPr>
    </w:p>
    <w:p w14:paraId="516F6BD3" w14:textId="77777777" w:rsidR="005E03A5" w:rsidRPr="00E20B6B" w:rsidRDefault="005E03A5" w:rsidP="006A0F97">
      <w:pPr>
        <w:rPr>
          <w:rFonts w:asciiTheme="minorHAnsi" w:hAnsiTheme="minorHAnsi" w:cstheme="minorHAnsi"/>
          <w:sz w:val="22"/>
          <w:szCs w:val="22"/>
          <w:lang w:eastAsia="en-US"/>
        </w:rPr>
      </w:pPr>
    </w:p>
    <w:p w14:paraId="3A886ADC" w14:textId="77777777" w:rsidR="006A0F97" w:rsidRPr="00E20B6B" w:rsidRDefault="006A0F97" w:rsidP="006A0F97">
      <w:pPr>
        <w:rPr>
          <w:rFonts w:asciiTheme="minorHAnsi" w:hAnsiTheme="minorHAnsi" w:cstheme="minorHAnsi"/>
          <w:sz w:val="22"/>
          <w:szCs w:val="22"/>
          <w:lang w:eastAsia="en-US"/>
        </w:rPr>
      </w:pPr>
    </w:p>
    <w:p w14:paraId="1E785CFB" w14:textId="77777777" w:rsidR="006A0F97" w:rsidRPr="00E20B6B" w:rsidRDefault="006A0F97" w:rsidP="006A0F97">
      <w:pPr>
        <w:rPr>
          <w:rFonts w:asciiTheme="minorHAnsi" w:hAnsiTheme="minorHAnsi" w:cstheme="minorHAnsi"/>
          <w:sz w:val="22"/>
          <w:szCs w:val="22"/>
          <w:lang w:eastAsia="en-US"/>
        </w:rPr>
      </w:pPr>
    </w:p>
    <w:p w14:paraId="0A93C19C" w14:textId="77777777" w:rsidR="006A0F97" w:rsidRPr="00CC2EB0" w:rsidRDefault="006A0F97" w:rsidP="006A0F97">
      <w:pPr>
        <w:rPr>
          <w:rFonts w:asciiTheme="minorHAnsi" w:hAnsiTheme="minorHAnsi" w:cstheme="minorHAnsi"/>
          <w:sz w:val="22"/>
          <w:szCs w:val="22"/>
          <w:lang w:eastAsia="en-US"/>
        </w:rPr>
      </w:pPr>
    </w:p>
    <w:p w14:paraId="662958E0" w14:textId="5689817E" w:rsidR="00A55740" w:rsidRPr="00CC2EB0" w:rsidRDefault="006A0F97" w:rsidP="00A55740">
      <w:pPr>
        <w:jc w:val="both"/>
        <w:rPr>
          <w:rFonts w:asciiTheme="minorHAnsi" w:hAnsiTheme="minorHAnsi" w:cstheme="minorHAnsi"/>
          <w:sz w:val="22"/>
          <w:szCs w:val="22"/>
          <w:lang w:eastAsia="en-US"/>
        </w:rPr>
      </w:pPr>
      <w:r w:rsidRPr="00CC2EB0">
        <w:rPr>
          <w:rFonts w:asciiTheme="minorHAnsi" w:hAnsiTheme="minorHAnsi" w:cstheme="minorHAnsi"/>
          <w:sz w:val="22"/>
          <w:szCs w:val="22"/>
          <w:lang w:eastAsia="en-US"/>
        </w:rPr>
        <w:t xml:space="preserve">Eu, </w:t>
      </w:r>
      <w:r w:rsidR="00F96E0D" w:rsidRPr="00CC2EB0">
        <w:rPr>
          <w:rFonts w:asciiTheme="minorHAnsi" w:hAnsiTheme="minorHAnsi" w:cstheme="minorHAnsi"/>
          <w:sz w:val="22"/>
          <w:szCs w:val="22"/>
          <w:lang w:eastAsia="en-US"/>
        </w:rPr>
        <w:t>SOFIA BRÍGIDA CORREIA DOS SANTOS DE MARÇAL TEIXEIRA FURTADO TORRES</w:t>
      </w:r>
      <w:r w:rsidR="0061155A">
        <w:rPr>
          <w:rFonts w:asciiTheme="minorHAnsi" w:hAnsiTheme="minorHAnsi" w:cstheme="minorHAnsi"/>
          <w:sz w:val="22"/>
          <w:szCs w:val="22"/>
          <w:lang w:eastAsia="en-US"/>
        </w:rPr>
        <w:t>,</w:t>
      </w:r>
      <w:r w:rsidR="00F96E0D" w:rsidRPr="00CC2EB0">
        <w:rPr>
          <w:rFonts w:asciiTheme="minorHAnsi" w:hAnsiTheme="minorHAnsi" w:cstheme="minorHAnsi"/>
          <w:sz w:val="22"/>
          <w:szCs w:val="22"/>
          <w:lang w:eastAsia="en-US"/>
        </w:rPr>
        <w:t xml:space="preserve"> </w:t>
      </w:r>
      <w:r w:rsidR="00A55740" w:rsidRPr="00CC2EB0">
        <w:rPr>
          <w:rFonts w:asciiTheme="minorHAnsi" w:hAnsiTheme="minorHAnsi" w:cstheme="minorHAnsi"/>
          <w:sz w:val="22"/>
          <w:szCs w:val="22"/>
          <w:lang w:eastAsia="en-US"/>
        </w:rPr>
        <w:t>declaro que, nos exercícios sociais em que estive em funções, não intervim nas decisões que envolveram os meus próprios interesses, designadamente na aprovação de despesas por mim realizadas, conforme determina, designadamente, o artigo 51.º do Decreto-Lei n.º 133/2013, de 3 de outubro.</w:t>
      </w:r>
    </w:p>
    <w:p w14:paraId="5B43806F" w14:textId="77777777" w:rsidR="00A55740" w:rsidRPr="00CC2EB0" w:rsidRDefault="00A55740" w:rsidP="00A55740">
      <w:pPr>
        <w:jc w:val="both"/>
        <w:rPr>
          <w:rFonts w:asciiTheme="minorHAnsi" w:hAnsiTheme="minorHAnsi" w:cstheme="minorHAnsi"/>
          <w:sz w:val="22"/>
          <w:szCs w:val="22"/>
          <w:lang w:eastAsia="en-US"/>
        </w:rPr>
      </w:pPr>
    </w:p>
    <w:p w14:paraId="47A31437" w14:textId="77777777" w:rsidR="00A55740" w:rsidRPr="00CC2EB0" w:rsidRDefault="00A55740" w:rsidP="00A55740">
      <w:pPr>
        <w:jc w:val="both"/>
        <w:rPr>
          <w:rFonts w:asciiTheme="minorHAnsi" w:hAnsiTheme="minorHAnsi" w:cstheme="minorHAnsi"/>
          <w:sz w:val="22"/>
          <w:szCs w:val="22"/>
          <w:lang w:eastAsia="en-US"/>
        </w:rPr>
      </w:pPr>
    </w:p>
    <w:p w14:paraId="58EDFB0D" w14:textId="52CF57E7" w:rsidR="00B15B38" w:rsidRPr="006837AF" w:rsidRDefault="00B15B38" w:rsidP="00B15B38">
      <w:pPr>
        <w:jc w:val="both"/>
        <w:rPr>
          <w:rFonts w:asciiTheme="minorHAnsi" w:hAnsiTheme="minorHAnsi" w:cstheme="minorHAnsi"/>
          <w:sz w:val="22"/>
          <w:szCs w:val="22"/>
          <w:lang w:eastAsia="en-US"/>
        </w:rPr>
      </w:pPr>
      <w:r w:rsidRPr="00BE359D">
        <w:rPr>
          <w:rFonts w:ascii="Calibri" w:hAnsi="Calibri" w:cs="Calibri"/>
          <w:sz w:val="22"/>
          <w:szCs w:val="22"/>
          <w:shd w:val="clear" w:color="auto" w:fill="FFFFFF"/>
        </w:rPr>
        <w:t xml:space="preserve">Miraflores (Algés-Oeiras), </w:t>
      </w:r>
      <w:r w:rsidR="00BE359D" w:rsidRPr="00BE359D">
        <w:rPr>
          <w:rFonts w:ascii="Calibri" w:hAnsi="Calibri" w:cs="Calibri"/>
          <w:sz w:val="22"/>
          <w:szCs w:val="22"/>
          <w:shd w:val="clear" w:color="auto" w:fill="FFFFFF"/>
        </w:rPr>
        <w:t>5</w:t>
      </w:r>
      <w:r w:rsidRPr="00BE359D">
        <w:rPr>
          <w:rFonts w:ascii="Calibri" w:hAnsi="Calibri" w:cs="Calibri"/>
          <w:sz w:val="22"/>
          <w:szCs w:val="22"/>
          <w:shd w:val="clear" w:color="auto" w:fill="FFFFFF"/>
        </w:rPr>
        <w:t xml:space="preserve"> de </w:t>
      </w:r>
      <w:r w:rsidR="00BE359D" w:rsidRPr="00BE359D">
        <w:rPr>
          <w:rFonts w:ascii="Calibri" w:hAnsi="Calibri" w:cs="Calibri"/>
          <w:sz w:val="22"/>
          <w:szCs w:val="22"/>
          <w:shd w:val="clear" w:color="auto" w:fill="FFFFFF"/>
        </w:rPr>
        <w:t>março</w:t>
      </w:r>
      <w:r w:rsidRPr="00BE359D">
        <w:rPr>
          <w:rFonts w:ascii="Calibri" w:hAnsi="Calibri" w:cs="Calibri"/>
          <w:sz w:val="22"/>
          <w:szCs w:val="22"/>
          <w:shd w:val="clear" w:color="auto" w:fill="FFFFFF"/>
        </w:rPr>
        <w:t xml:space="preserve"> de 202</w:t>
      </w:r>
      <w:r w:rsidR="00A838FD" w:rsidRPr="00BE359D">
        <w:rPr>
          <w:rFonts w:ascii="Calibri" w:hAnsi="Calibri" w:cs="Calibri"/>
          <w:sz w:val="22"/>
          <w:szCs w:val="22"/>
          <w:shd w:val="clear" w:color="auto" w:fill="FFFFFF"/>
        </w:rPr>
        <w:t>6</w:t>
      </w:r>
    </w:p>
    <w:p w14:paraId="28013375" w14:textId="77777777" w:rsidR="00104623" w:rsidRPr="00CC2EB0" w:rsidRDefault="00104623" w:rsidP="00104623">
      <w:pPr>
        <w:rPr>
          <w:rFonts w:ascii="Calibri" w:hAnsi="Calibri" w:cs="Calibri"/>
          <w:sz w:val="22"/>
          <w:szCs w:val="22"/>
          <w:shd w:val="clear" w:color="auto" w:fill="FFFFFF"/>
        </w:rPr>
      </w:pPr>
    </w:p>
    <w:p w14:paraId="68087090" w14:textId="77777777" w:rsidR="00A55740" w:rsidRPr="00CC2EB0" w:rsidRDefault="00A55740" w:rsidP="00A55740">
      <w:pPr>
        <w:jc w:val="both"/>
        <w:rPr>
          <w:rFonts w:asciiTheme="minorHAnsi" w:hAnsiTheme="minorHAnsi" w:cstheme="minorHAnsi"/>
          <w:sz w:val="22"/>
          <w:szCs w:val="22"/>
          <w:lang w:eastAsia="en-US"/>
        </w:rPr>
      </w:pPr>
    </w:p>
    <w:p w14:paraId="11DA213D" w14:textId="77777777" w:rsidR="006A0F97" w:rsidRPr="001A10D5" w:rsidRDefault="006A0F97" w:rsidP="00A55740">
      <w:pPr>
        <w:jc w:val="both"/>
        <w:rPr>
          <w:rFonts w:asciiTheme="minorHAnsi" w:hAnsiTheme="minorHAnsi" w:cstheme="minorHAnsi"/>
          <w:sz w:val="22"/>
          <w:szCs w:val="22"/>
          <w:lang w:eastAsia="en-US"/>
        </w:rPr>
      </w:pPr>
    </w:p>
    <w:p w14:paraId="7839EC76" w14:textId="77777777" w:rsidR="006A0F97" w:rsidRPr="001A10D5" w:rsidRDefault="006A0F97" w:rsidP="006A0F97">
      <w:pPr>
        <w:jc w:val="both"/>
        <w:rPr>
          <w:rFonts w:asciiTheme="minorHAnsi" w:hAnsiTheme="minorHAnsi" w:cstheme="minorHAnsi"/>
          <w:sz w:val="22"/>
          <w:szCs w:val="22"/>
          <w:lang w:eastAsia="en-US"/>
        </w:rPr>
      </w:pPr>
    </w:p>
    <w:p w14:paraId="613159C2" w14:textId="77777777" w:rsidR="006A0F97" w:rsidRPr="00E20B6B" w:rsidRDefault="006A0F97" w:rsidP="006A0F97">
      <w:pPr>
        <w:jc w:val="both"/>
        <w:rPr>
          <w:rFonts w:asciiTheme="minorHAnsi" w:hAnsiTheme="minorHAnsi" w:cstheme="minorHAnsi"/>
          <w:sz w:val="22"/>
          <w:szCs w:val="22"/>
          <w:lang w:eastAsia="en-US"/>
        </w:rPr>
      </w:pPr>
    </w:p>
    <w:p w14:paraId="3D4D6116" w14:textId="77777777" w:rsidR="00332CD0" w:rsidRPr="00E20B6B" w:rsidRDefault="006A0F97" w:rsidP="00332CD0">
      <w:pPr>
        <w:jc w:val="center"/>
        <w:rPr>
          <w:rFonts w:asciiTheme="minorHAnsi" w:hAnsiTheme="minorHAnsi" w:cstheme="minorHAnsi"/>
          <w:sz w:val="22"/>
          <w:szCs w:val="22"/>
          <w:lang w:eastAsia="en-US"/>
        </w:rPr>
      </w:pPr>
      <w:r w:rsidRPr="001A10D5">
        <w:rPr>
          <w:rFonts w:asciiTheme="minorHAnsi" w:hAnsiTheme="minorHAnsi" w:cstheme="minorHAnsi"/>
          <w:sz w:val="22"/>
          <w:szCs w:val="22"/>
          <w:lang w:eastAsia="en-US"/>
        </w:rPr>
        <w:t>Presidente do Conselho de Administração</w:t>
      </w:r>
      <w:r w:rsidR="00572342" w:rsidRPr="00E20B6B">
        <w:rPr>
          <w:rFonts w:asciiTheme="minorHAnsi" w:hAnsiTheme="minorHAnsi" w:cstheme="minorHAnsi"/>
          <w:sz w:val="22"/>
          <w:szCs w:val="22"/>
          <w:lang w:eastAsia="en-US"/>
        </w:rPr>
        <w:br w:type="page"/>
      </w:r>
    </w:p>
    <w:p w14:paraId="5C925B43" w14:textId="12C2239C" w:rsidR="0099192D" w:rsidRPr="001A10D5" w:rsidRDefault="0099192D" w:rsidP="00F57DE7">
      <w:pPr>
        <w:rPr>
          <w:rFonts w:asciiTheme="minorHAnsi" w:hAnsiTheme="minorHAnsi" w:cstheme="minorHAnsi"/>
          <w:sz w:val="22"/>
          <w:lang w:eastAsia="en-US"/>
        </w:rPr>
      </w:pPr>
      <w:r w:rsidRPr="001A10D5">
        <w:rPr>
          <w:rFonts w:asciiTheme="minorHAnsi" w:hAnsiTheme="minorHAnsi" w:cstheme="minorHAnsi"/>
          <w:sz w:val="22"/>
          <w:lang w:eastAsia="en-US"/>
        </w:rPr>
        <w:lastRenderedPageBreak/>
        <w:t xml:space="preserve">Anexo A – Declaração de Independência </w:t>
      </w:r>
      <w:r w:rsidR="00C077F6">
        <w:rPr>
          <w:rFonts w:asciiTheme="minorHAnsi" w:hAnsiTheme="minorHAnsi" w:cstheme="minorHAnsi"/>
          <w:sz w:val="22"/>
          <w:lang w:eastAsia="en-US"/>
        </w:rPr>
        <w:t>–</w:t>
      </w:r>
      <w:r w:rsidR="00104623" w:rsidRPr="001A10D5">
        <w:rPr>
          <w:rFonts w:asciiTheme="minorHAnsi" w:hAnsiTheme="minorHAnsi" w:cstheme="minorHAnsi"/>
          <w:sz w:val="22"/>
          <w:lang w:eastAsia="en-US"/>
        </w:rPr>
        <w:t xml:space="preserve"> Administrador</w:t>
      </w:r>
      <w:r w:rsidR="00C077F6">
        <w:rPr>
          <w:rFonts w:asciiTheme="minorHAnsi" w:hAnsiTheme="minorHAnsi" w:cstheme="minorHAnsi"/>
          <w:sz w:val="22"/>
          <w:lang w:eastAsia="en-US"/>
        </w:rPr>
        <w:t xml:space="preserve"> </w:t>
      </w:r>
      <w:r w:rsidR="00104623" w:rsidRPr="001A10D5">
        <w:rPr>
          <w:rFonts w:asciiTheme="minorHAnsi" w:hAnsiTheme="minorHAnsi" w:cstheme="minorHAnsi"/>
          <w:sz w:val="22"/>
          <w:lang w:eastAsia="en-US"/>
        </w:rPr>
        <w:t>Executiv</w:t>
      </w:r>
      <w:r w:rsidR="005F3B02">
        <w:rPr>
          <w:rFonts w:asciiTheme="minorHAnsi" w:hAnsiTheme="minorHAnsi" w:cstheme="minorHAnsi"/>
          <w:sz w:val="22"/>
          <w:lang w:eastAsia="en-US"/>
        </w:rPr>
        <w:t>o</w:t>
      </w:r>
    </w:p>
    <w:p w14:paraId="75C4041C" w14:textId="77777777" w:rsidR="00572342" w:rsidRPr="001A10D5" w:rsidRDefault="00572342" w:rsidP="00572342">
      <w:pPr>
        <w:jc w:val="both"/>
        <w:rPr>
          <w:rFonts w:asciiTheme="minorHAnsi" w:hAnsiTheme="minorHAnsi" w:cstheme="minorHAnsi"/>
          <w:sz w:val="22"/>
          <w:szCs w:val="22"/>
          <w:lang w:eastAsia="en-US"/>
        </w:rPr>
      </w:pPr>
    </w:p>
    <w:p w14:paraId="7BDEA027" w14:textId="77777777" w:rsidR="00572342" w:rsidRPr="001A10D5" w:rsidRDefault="00572342" w:rsidP="00572342">
      <w:pPr>
        <w:jc w:val="both"/>
        <w:rPr>
          <w:rFonts w:asciiTheme="minorHAnsi" w:hAnsiTheme="minorHAnsi" w:cstheme="minorHAnsi"/>
          <w:sz w:val="22"/>
          <w:szCs w:val="22"/>
          <w:lang w:eastAsia="en-US"/>
        </w:rPr>
      </w:pPr>
    </w:p>
    <w:p w14:paraId="26B2ED48" w14:textId="77777777" w:rsidR="006A0F97" w:rsidRPr="001A10D5" w:rsidRDefault="006A0F97" w:rsidP="00572342">
      <w:pPr>
        <w:ind w:left="1416"/>
        <w:rPr>
          <w:rFonts w:asciiTheme="minorHAnsi" w:hAnsiTheme="minorHAnsi" w:cstheme="minorHAnsi"/>
          <w:sz w:val="22"/>
          <w:szCs w:val="22"/>
          <w:lang w:eastAsia="en-US"/>
        </w:rPr>
      </w:pPr>
      <w:r w:rsidRPr="001A10D5">
        <w:rPr>
          <w:rFonts w:asciiTheme="minorHAnsi" w:hAnsiTheme="minorHAnsi" w:cstheme="minorHAnsi"/>
          <w:sz w:val="22"/>
          <w:szCs w:val="22"/>
          <w:lang w:eastAsia="en-US"/>
        </w:rPr>
        <w:t>(</w:t>
      </w:r>
      <w:r w:rsidR="009579BC" w:rsidRPr="001A10D5">
        <w:rPr>
          <w:rFonts w:asciiTheme="minorHAnsi" w:hAnsiTheme="minorHAnsi" w:cstheme="minorHAnsi"/>
          <w:sz w:val="22"/>
          <w:szCs w:val="22"/>
          <w:lang w:eastAsia="en-US"/>
        </w:rPr>
        <w:t>art.º</w:t>
      </w:r>
      <w:r w:rsidRPr="001A10D5">
        <w:rPr>
          <w:rFonts w:asciiTheme="minorHAnsi" w:hAnsiTheme="minorHAnsi" w:cstheme="minorHAnsi"/>
          <w:sz w:val="22"/>
          <w:szCs w:val="22"/>
          <w:lang w:eastAsia="en-US"/>
        </w:rPr>
        <w:t xml:space="preserve"> 51º do </w:t>
      </w:r>
      <w:proofErr w:type="spellStart"/>
      <w:r w:rsidR="009579BC" w:rsidRPr="001A10D5">
        <w:rPr>
          <w:rFonts w:asciiTheme="minorHAnsi" w:hAnsiTheme="minorHAnsi" w:cstheme="minorHAnsi"/>
          <w:sz w:val="22"/>
          <w:szCs w:val="22"/>
          <w:lang w:eastAsia="en-US"/>
        </w:rPr>
        <w:t>D</w:t>
      </w:r>
      <w:r w:rsidRPr="001A10D5">
        <w:rPr>
          <w:rFonts w:asciiTheme="minorHAnsi" w:hAnsiTheme="minorHAnsi" w:cstheme="minorHAnsi"/>
          <w:sz w:val="22"/>
          <w:szCs w:val="22"/>
          <w:lang w:eastAsia="en-US"/>
        </w:rPr>
        <w:t>ec</w:t>
      </w:r>
      <w:proofErr w:type="spellEnd"/>
      <w:r w:rsidRPr="001A10D5">
        <w:rPr>
          <w:rFonts w:asciiTheme="minorHAnsi" w:hAnsiTheme="minorHAnsi" w:cstheme="minorHAnsi"/>
          <w:sz w:val="22"/>
          <w:szCs w:val="22"/>
          <w:lang w:eastAsia="en-US"/>
        </w:rPr>
        <w:t>-</w:t>
      </w:r>
      <w:r w:rsidR="009579BC" w:rsidRPr="001A10D5">
        <w:rPr>
          <w:rFonts w:asciiTheme="minorHAnsi" w:hAnsiTheme="minorHAnsi" w:cstheme="minorHAnsi"/>
          <w:sz w:val="22"/>
          <w:szCs w:val="22"/>
          <w:lang w:eastAsia="en-US"/>
        </w:rPr>
        <w:t>L</w:t>
      </w:r>
      <w:r w:rsidRPr="001A10D5">
        <w:rPr>
          <w:rFonts w:asciiTheme="minorHAnsi" w:hAnsiTheme="minorHAnsi" w:cstheme="minorHAnsi"/>
          <w:sz w:val="22"/>
          <w:szCs w:val="22"/>
          <w:lang w:eastAsia="en-US"/>
        </w:rPr>
        <w:t xml:space="preserve">ei </w:t>
      </w:r>
      <w:r w:rsidR="009579BC" w:rsidRPr="001A10D5">
        <w:rPr>
          <w:rFonts w:asciiTheme="minorHAnsi" w:hAnsiTheme="minorHAnsi" w:cstheme="minorHAnsi"/>
          <w:sz w:val="22"/>
          <w:szCs w:val="22"/>
          <w:lang w:eastAsia="en-US"/>
        </w:rPr>
        <w:t>n.º</w:t>
      </w:r>
      <w:r w:rsidRPr="001A10D5">
        <w:rPr>
          <w:rFonts w:asciiTheme="minorHAnsi" w:hAnsiTheme="minorHAnsi" w:cstheme="minorHAnsi"/>
          <w:sz w:val="22"/>
          <w:szCs w:val="22"/>
          <w:lang w:eastAsia="en-US"/>
        </w:rPr>
        <w:t xml:space="preserve"> 133/2013, de 3 outubro)</w:t>
      </w:r>
    </w:p>
    <w:p w14:paraId="3945B966" w14:textId="77777777" w:rsidR="006A0F97" w:rsidRPr="001A10D5" w:rsidRDefault="006A0F97" w:rsidP="006A0F97">
      <w:pPr>
        <w:rPr>
          <w:rFonts w:asciiTheme="minorHAnsi" w:hAnsiTheme="minorHAnsi" w:cstheme="minorHAnsi"/>
          <w:sz w:val="22"/>
          <w:szCs w:val="22"/>
          <w:lang w:eastAsia="en-US"/>
        </w:rPr>
      </w:pPr>
    </w:p>
    <w:p w14:paraId="42E65A84" w14:textId="77777777" w:rsidR="006A0F97" w:rsidRDefault="006A0F97" w:rsidP="006A0F97">
      <w:pPr>
        <w:rPr>
          <w:rFonts w:asciiTheme="minorHAnsi" w:hAnsiTheme="minorHAnsi" w:cstheme="minorHAnsi"/>
          <w:sz w:val="22"/>
          <w:szCs w:val="22"/>
          <w:lang w:eastAsia="en-US"/>
        </w:rPr>
      </w:pPr>
    </w:p>
    <w:p w14:paraId="37F8A70B" w14:textId="77777777" w:rsidR="00C077F6" w:rsidRPr="001A10D5" w:rsidRDefault="00C077F6" w:rsidP="006A0F97">
      <w:pPr>
        <w:rPr>
          <w:rFonts w:asciiTheme="minorHAnsi" w:hAnsiTheme="minorHAnsi" w:cstheme="minorHAnsi"/>
          <w:sz w:val="22"/>
          <w:szCs w:val="22"/>
          <w:lang w:eastAsia="en-US"/>
        </w:rPr>
      </w:pPr>
    </w:p>
    <w:p w14:paraId="1A2B5957" w14:textId="77777777" w:rsidR="006A0F97" w:rsidRPr="001A10D5" w:rsidRDefault="006A0F97" w:rsidP="006A0F97">
      <w:pPr>
        <w:rPr>
          <w:rFonts w:asciiTheme="minorHAnsi" w:hAnsiTheme="minorHAnsi" w:cstheme="minorHAnsi"/>
          <w:sz w:val="22"/>
          <w:szCs w:val="22"/>
          <w:lang w:eastAsia="en-US"/>
        </w:rPr>
      </w:pPr>
    </w:p>
    <w:p w14:paraId="0C0F1ADA" w14:textId="77777777" w:rsidR="006A0F97" w:rsidRPr="001A10D5" w:rsidRDefault="006A0F97" w:rsidP="006A0F97">
      <w:pPr>
        <w:rPr>
          <w:rFonts w:asciiTheme="minorHAnsi" w:hAnsiTheme="minorHAnsi" w:cstheme="minorHAnsi"/>
          <w:sz w:val="22"/>
          <w:szCs w:val="22"/>
          <w:lang w:eastAsia="en-US"/>
        </w:rPr>
      </w:pPr>
    </w:p>
    <w:p w14:paraId="5D755ECD" w14:textId="72212FB2" w:rsidR="00C077F6" w:rsidRPr="001A10D5" w:rsidRDefault="00C077F6" w:rsidP="00C077F6">
      <w:pPr>
        <w:jc w:val="both"/>
        <w:rPr>
          <w:rFonts w:asciiTheme="minorHAnsi" w:hAnsiTheme="minorHAnsi" w:cstheme="minorHAnsi"/>
          <w:sz w:val="22"/>
          <w:szCs w:val="22"/>
          <w:lang w:eastAsia="en-US"/>
        </w:rPr>
      </w:pPr>
      <w:r w:rsidRPr="001A10D5">
        <w:rPr>
          <w:rFonts w:asciiTheme="minorHAnsi" w:hAnsiTheme="minorHAnsi" w:cstheme="minorHAnsi"/>
          <w:sz w:val="22"/>
          <w:szCs w:val="22"/>
          <w:lang w:eastAsia="en-US"/>
        </w:rPr>
        <w:t xml:space="preserve">Eu, </w:t>
      </w:r>
      <w:r w:rsidR="005F3B02" w:rsidRPr="005F3B02">
        <w:rPr>
          <w:rFonts w:asciiTheme="minorHAnsi" w:hAnsiTheme="minorHAnsi" w:cstheme="minorHAnsi"/>
          <w:sz w:val="22"/>
          <w:szCs w:val="22"/>
          <w:lang w:eastAsia="en-US"/>
        </w:rPr>
        <w:t>JOAQUIM MANUEL DA CRUZ VALENTE</w:t>
      </w:r>
      <w:r w:rsidR="005F3B02">
        <w:rPr>
          <w:rFonts w:asciiTheme="minorHAnsi" w:hAnsiTheme="minorHAnsi" w:cstheme="minorHAnsi"/>
          <w:sz w:val="22"/>
          <w:szCs w:val="22"/>
          <w:lang w:eastAsia="en-US"/>
        </w:rPr>
        <w:t>,</w:t>
      </w:r>
      <w:r w:rsidR="005F3B02" w:rsidRPr="005F3B02">
        <w:rPr>
          <w:rFonts w:asciiTheme="minorHAnsi" w:hAnsiTheme="minorHAnsi" w:cstheme="minorHAnsi"/>
          <w:sz w:val="22"/>
          <w:szCs w:val="22"/>
          <w:lang w:eastAsia="en-US"/>
        </w:rPr>
        <w:t xml:space="preserve"> </w:t>
      </w:r>
      <w:r w:rsidRPr="001A10D5">
        <w:rPr>
          <w:rFonts w:asciiTheme="minorHAnsi" w:hAnsiTheme="minorHAnsi" w:cstheme="minorHAnsi"/>
          <w:sz w:val="22"/>
          <w:szCs w:val="22"/>
          <w:lang w:eastAsia="en-US"/>
        </w:rPr>
        <w:t>declaro que, nos exercícios sociais em que estive em funções, não intervim nas decisões que envolveram os meus próprios interesses, designadamente na aprovação de despesas por mim realizadas, conforme determina, designadamente, o artigo 51.º do Decreto-Lei n.º 133/2013, de 3 de outubro.</w:t>
      </w:r>
    </w:p>
    <w:p w14:paraId="7AC2C7AB" w14:textId="77777777" w:rsidR="00C077F6" w:rsidRPr="001A10D5" w:rsidRDefault="00C077F6" w:rsidP="00C077F6">
      <w:pPr>
        <w:jc w:val="both"/>
        <w:rPr>
          <w:rFonts w:asciiTheme="minorHAnsi" w:hAnsiTheme="minorHAnsi" w:cstheme="minorHAnsi"/>
          <w:sz w:val="22"/>
          <w:szCs w:val="22"/>
          <w:lang w:eastAsia="en-US"/>
        </w:rPr>
      </w:pPr>
    </w:p>
    <w:p w14:paraId="1D72EC3A" w14:textId="77777777" w:rsidR="00C077F6" w:rsidRPr="001A10D5" w:rsidRDefault="00C077F6" w:rsidP="00C077F6">
      <w:pPr>
        <w:jc w:val="both"/>
        <w:rPr>
          <w:rFonts w:asciiTheme="minorHAnsi" w:hAnsiTheme="minorHAnsi" w:cstheme="minorHAnsi"/>
          <w:sz w:val="22"/>
          <w:szCs w:val="22"/>
          <w:lang w:eastAsia="en-US"/>
        </w:rPr>
      </w:pPr>
    </w:p>
    <w:p w14:paraId="5CDD1F59" w14:textId="77777777" w:rsidR="00C077F6" w:rsidRPr="001A10D5" w:rsidRDefault="00C077F6" w:rsidP="00C077F6">
      <w:pPr>
        <w:jc w:val="both"/>
        <w:rPr>
          <w:rFonts w:asciiTheme="minorHAnsi" w:hAnsiTheme="minorHAnsi" w:cstheme="minorHAnsi"/>
          <w:sz w:val="22"/>
          <w:szCs w:val="22"/>
          <w:lang w:eastAsia="en-US"/>
        </w:rPr>
      </w:pPr>
    </w:p>
    <w:p w14:paraId="2A086E9A" w14:textId="77777777" w:rsidR="00C077F6" w:rsidRPr="001A10D5" w:rsidRDefault="00C077F6" w:rsidP="00C077F6">
      <w:pPr>
        <w:spacing w:line="360" w:lineRule="auto"/>
        <w:jc w:val="both"/>
        <w:rPr>
          <w:rFonts w:ascii="Calibri" w:hAnsi="Calibri" w:cs="Calibri"/>
          <w:b/>
          <w:bCs/>
          <w:sz w:val="22"/>
          <w:szCs w:val="20"/>
        </w:rPr>
      </w:pPr>
    </w:p>
    <w:p w14:paraId="09A51C4E" w14:textId="77777777" w:rsidR="00BE359D" w:rsidRPr="006837AF" w:rsidRDefault="00BE359D" w:rsidP="00BE359D">
      <w:pPr>
        <w:jc w:val="both"/>
        <w:rPr>
          <w:rFonts w:asciiTheme="minorHAnsi" w:hAnsiTheme="minorHAnsi" w:cstheme="minorHAnsi"/>
          <w:sz w:val="22"/>
          <w:szCs w:val="22"/>
          <w:lang w:eastAsia="en-US"/>
        </w:rPr>
      </w:pPr>
      <w:r w:rsidRPr="00BE359D">
        <w:rPr>
          <w:rFonts w:ascii="Calibri" w:hAnsi="Calibri" w:cs="Calibri"/>
          <w:sz w:val="22"/>
          <w:szCs w:val="22"/>
          <w:shd w:val="clear" w:color="auto" w:fill="FFFFFF"/>
        </w:rPr>
        <w:t>Miraflores (Algés-Oeiras), 5 de março de 2026</w:t>
      </w:r>
    </w:p>
    <w:p w14:paraId="168B3B18" w14:textId="77777777" w:rsidR="00C077F6" w:rsidRPr="001A10D5" w:rsidRDefault="00C077F6" w:rsidP="00C077F6">
      <w:pPr>
        <w:jc w:val="both"/>
        <w:rPr>
          <w:rFonts w:asciiTheme="minorHAnsi" w:hAnsiTheme="minorHAnsi" w:cstheme="minorHAnsi"/>
          <w:sz w:val="22"/>
          <w:szCs w:val="22"/>
          <w:lang w:eastAsia="en-US"/>
        </w:rPr>
      </w:pPr>
    </w:p>
    <w:p w14:paraId="7666BF16" w14:textId="77777777" w:rsidR="00C077F6" w:rsidRPr="001A10D5" w:rsidRDefault="00C077F6" w:rsidP="00C077F6">
      <w:pPr>
        <w:jc w:val="both"/>
        <w:rPr>
          <w:rFonts w:asciiTheme="minorHAnsi" w:hAnsiTheme="minorHAnsi" w:cstheme="minorHAnsi"/>
          <w:sz w:val="22"/>
          <w:szCs w:val="22"/>
          <w:lang w:eastAsia="en-US"/>
        </w:rPr>
      </w:pPr>
    </w:p>
    <w:p w14:paraId="5EBDB81C" w14:textId="77777777" w:rsidR="00C077F6" w:rsidRPr="001A10D5" w:rsidRDefault="00C077F6" w:rsidP="00C077F6">
      <w:pPr>
        <w:jc w:val="both"/>
        <w:rPr>
          <w:rFonts w:asciiTheme="minorHAnsi" w:hAnsiTheme="minorHAnsi" w:cstheme="minorHAnsi"/>
          <w:sz w:val="22"/>
          <w:szCs w:val="22"/>
          <w:lang w:eastAsia="en-US"/>
        </w:rPr>
      </w:pPr>
    </w:p>
    <w:p w14:paraId="2F4CF399" w14:textId="77777777" w:rsidR="00C077F6" w:rsidRPr="001A10D5" w:rsidRDefault="00C077F6" w:rsidP="00C077F6">
      <w:pPr>
        <w:jc w:val="both"/>
        <w:rPr>
          <w:rFonts w:asciiTheme="minorHAnsi" w:hAnsiTheme="minorHAnsi" w:cstheme="minorHAnsi"/>
          <w:sz w:val="22"/>
          <w:szCs w:val="22"/>
          <w:lang w:eastAsia="en-US"/>
        </w:rPr>
      </w:pPr>
    </w:p>
    <w:p w14:paraId="3629FDDD" w14:textId="77777777" w:rsidR="00C077F6" w:rsidRPr="001A10D5" w:rsidRDefault="00C077F6" w:rsidP="00C077F6">
      <w:pPr>
        <w:jc w:val="both"/>
        <w:rPr>
          <w:rFonts w:asciiTheme="minorHAnsi" w:hAnsiTheme="minorHAnsi" w:cstheme="minorHAnsi"/>
          <w:sz w:val="22"/>
          <w:szCs w:val="22"/>
          <w:lang w:eastAsia="en-US"/>
        </w:rPr>
      </w:pPr>
    </w:p>
    <w:p w14:paraId="03FCD37E" w14:textId="1134BDF3" w:rsidR="00C077F6" w:rsidRPr="001A10D5" w:rsidRDefault="00C077F6" w:rsidP="00C077F6">
      <w:pPr>
        <w:jc w:val="center"/>
        <w:rPr>
          <w:rFonts w:asciiTheme="minorHAnsi" w:hAnsiTheme="minorHAnsi" w:cstheme="minorHAnsi"/>
          <w:sz w:val="22"/>
          <w:szCs w:val="22"/>
          <w:lang w:eastAsia="en-US"/>
        </w:rPr>
      </w:pPr>
      <w:r w:rsidRPr="001A10D5">
        <w:rPr>
          <w:rFonts w:asciiTheme="minorHAnsi" w:hAnsiTheme="minorHAnsi" w:cstheme="minorHAnsi"/>
          <w:sz w:val="22"/>
          <w:szCs w:val="22"/>
          <w:lang w:eastAsia="en-US"/>
        </w:rPr>
        <w:t>Administrador Executiv</w:t>
      </w:r>
      <w:r w:rsidR="0071478E">
        <w:rPr>
          <w:rFonts w:asciiTheme="minorHAnsi" w:hAnsiTheme="minorHAnsi" w:cstheme="minorHAnsi"/>
          <w:sz w:val="22"/>
          <w:szCs w:val="22"/>
          <w:lang w:eastAsia="en-US"/>
        </w:rPr>
        <w:t>o</w:t>
      </w:r>
    </w:p>
    <w:p w14:paraId="154A31D6" w14:textId="77777777" w:rsidR="00C077F6" w:rsidRPr="001A10D5" w:rsidRDefault="00C077F6" w:rsidP="00C077F6">
      <w:pPr>
        <w:jc w:val="both"/>
        <w:rPr>
          <w:rFonts w:asciiTheme="minorHAnsi" w:hAnsiTheme="minorHAnsi" w:cstheme="minorHAnsi"/>
          <w:sz w:val="22"/>
          <w:szCs w:val="22"/>
          <w:lang w:eastAsia="en-US"/>
        </w:rPr>
      </w:pPr>
    </w:p>
    <w:p w14:paraId="3A85D22C" w14:textId="77777777" w:rsidR="006A0F97" w:rsidRPr="001A10D5" w:rsidRDefault="006A0F97" w:rsidP="006A0F97">
      <w:pPr>
        <w:rPr>
          <w:rFonts w:asciiTheme="minorHAnsi" w:hAnsiTheme="minorHAnsi" w:cstheme="minorHAnsi"/>
          <w:sz w:val="22"/>
          <w:szCs w:val="22"/>
          <w:lang w:eastAsia="en-US"/>
        </w:rPr>
      </w:pPr>
    </w:p>
    <w:p w14:paraId="3ADCA592" w14:textId="77777777" w:rsidR="00572342" w:rsidRPr="001A10D5" w:rsidRDefault="00572342" w:rsidP="006A0F97">
      <w:pPr>
        <w:rPr>
          <w:rFonts w:asciiTheme="minorHAnsi" w:hAnsiTheme="minorHAnsi" w:cstheme="minorHAnsi"/>
          <w:sz w:val="22"/>
          <w:szCs w:val="22"/>
          <w:lang w:eastAsia="en-US"/>
        </w:rPr>
      </w:pPr>
    </w:p>
    <w:p w14:paraId="3DC8A5BC" w14:textId="77777777" w:rsidR="006A0F97" w:rsidRPr="001A10D5" w:rsidRDefault="006A0F97" w:rsidP="006A0F97">
      <w:pPr>
        <w:rPr>
          <w:rFonts w:asciiTheme="minorHAnsi" w:hAnsiTheme="minorHAnsi" w:cstheme="minorHAnsi"/>
          <w:sz w:val="22"/>
          <w:szCs w:val="22"/>
          <w:lang w:eastAsia="en-US"/>
        </w:rPr>
      </w:pPr>
    </w:p>
    <w:p w14:paraId="558AF304" w14:textId="77777777" w:rsidR="006A0F97" w:rsidRPr="001A10D5" w:rsidRDefault="006A0F97" w:rsidP="006A0F97">
      <w:pPr>
        <w:rPr>
          <w:rFonts w:asciiTheme="minorHAnsi" w:hAnsiTheme="minorHAnsi" w:cstheme="minorHAnsi"/>
          <w:sz w:val="22"/>
          <w:szCs w:val="22"/>
          <w:lang w:eastAsia="en-US"/>
        </w:rPr>
      </w:pPr>
    </w:p>
    <w:p w14:paraId="4E99B280" w14:textId="77777777" w:rsidR="006A0F97" w:rsidRPr="00CC2EB0" w:rsidRDefault="006A0F97" w:rsidP="006A0F97">
      <w:pPr>
        <w:rPr>
          <w:rFonts w:asciiTheme="minorHAnsi" w:hAnsiTheme="minorHAnsi" w:cstheme="minorHAnsi"/>
          <w:sz w:val="22"/>
          <w:szCs w:val="22"/>
          <w:lang w:eastAsia="en-US"/>
        </w:rPr>
      </w:pPr>
    </w:p>
    <w:p w14:paraId="18904A4A" w14:textId="77777777" w:rsidR="00C077F6" w:rsidRDefault="00C077F6">
      <w:pPr>
        <w:rPr>
          <w:rFonts w:asciiTheme="minorHAnsi" w:hAnsiTheme="minorHAnsi" w:cstheme="minorHAnsi"/>
          <w:sz w:val="22"/>
          <w:lang w:eastAsia="en-US"/>
        </w:rPr>
      </w:pPr>
      <w:r>
        <w:rPr>
          <w:rFonts w:asciiTheme="minorHAnsi" w:hAnsiTheme="minorHAnsi" w:cstheme="minorHAnsi"/>
          <w:sz w:val="22"/>
          <w:lang w:eastAsia="en-US"/>
        </w:rPr>
        <w:br w:type="page"/>
      </w:r>
    </w:p>
    <w:p w14:paraId="1F2FB13C" w14:textId="39FF4CF9" w:rsidR="0099192D" w:rsidRPr="001A10D5" w:rsidRDefault="0099192D" w:rsidP="00F57DE7">
      <w:pPr>
        <w:rPr>
          <w:rFonts w:asciiTheme="minorHAnsi" w:hAnsiTheme="minorHAnsi" w:cstheme="minorHAnsi"/>
          <w:sz w:val="22"/>
          <w:lang w:eastAsia="en-US"/>
        </w:rPr>
      </w:pPr>
      <w:r w:rsidRPr="001A10D5">
        <w:rPr>
          <w:rFonts w:asciiTheme="minorHAnsi" w:hAnsiTheme="minorHAnsi" w:cstheme="minorHAnsi"/>
          <w:sz w:val="22"/>
          <w:lang w:eastAsia="en-US"/>
        </w:rPr>
        <w:lastRenderedPageBreak/>
        <w:t xml:space="preserve">Anexo A – Declaração de Independência </w:t>
      </w:r>
      <w:r w:rsidR="00104623" w:rsidRPr="001A10D5">
        <w:rPr>
          <w:rFonts w:asciiTheme="minorHAnsi" w:hAnsiTheme="minorHAnsi" w:cstheme="minorHAnsi"/>
          <w:sz w:val="22"/>
          <w:lang w:eastAsia="en-US"/>
        </w:rPr>
        <w:t xml:space="preserve">- </w:t>
      </w:r>
      <w:r w:rsidRPr="001A10D5">
        <w:rPr>
          <w:rFonts w:asciiTheme="minorHAnsi" w:hAnsiTheme="minorHAnsi" w:cstheme="minorHAnsi"/>
          <w:sz w:val="22"/>
          <w:lang w:eastAsia="en-US"/>
        </w:rPr>
        <w:t>Administrado</w:t>
      </w:r>
      <w:r w:rsidR="00C077F6">
        <w:rPr>
          <w:rFonts w:asciiTheme="minorHAnsi" w:hAnsiTheme="minorHAnsi" w:cstheme="minorHAnsi"/>
          <w:sz w:val="22"/>
          <w:lang w:eastAsia="en-US"/>
        </w:rPr>
        <w:t>r</w:t>
      </w:r>
      <w:r w:rsidR="00104623" w:rsidRPr="001A10D5">
        <w:rPr>
          <w:rFonts w:asciiTheme="minorHAnsi" w:hAnsiTheme="minorHAnsi" w:cstheme="minorHAnsi"/>
          <w:sz w:val="22"/>
          <w:lang w:eastAsia="en-US"/>
        </w:rPr>
        <w:t xml:space="preserve"> Executiv</w:t>
      </w:r>
      <w:r w:rsidR="00C077F6">
        <w:rPr>
          <w:rFonts w:asciiTheme="minorHAnsi" w:hAnsiTheme="minorHAnsi" w:cstheme="minorHAnsi"/>
          <w:sz w:val="22"/>
          <w:lang w:eastAsia="en-US"/>
        </w:rPr>
        <w:t>o</w:t>
      </w:r>
    </w:p>
    <w:p w14:paraId="03AF06BE" w14:textId="77777777" w:rsidR="006A0F97" w:rsidRPr="001A10D5" w:rsidRDefault="006A0F97" w:rsidP="003772B3">
      <w:pPr>
        <w:jc w:val="center"/>
        <w:rPr>
          <w:rFonts w:asciiTheme="minorHAnsi" w:hAnsiTheme="minorHAnsi" w:cstheme="minorHAnsi"/>
          <w:sz w:val="22"/>
          <w:szCs w:val="22"/>
          <w:lang w:eastAsia="en-US"/>
        </w:rPr>
      </w:pPr>
    </w:p>
    <w:p w14:paraId="6CA2667C" w14:textId="77777777" w:rsidR="00572342" w:rsidRPr="001A10D5" w:rsidRDefault="00572342" w:rsidP="00572342">
      <w:pPr>
        <w:jc w:val="both"/>
        <w:rPr>
          <w:rFonts w:asciiTheme="minorHAnsi" w:hAnsiTheme="minorHAnsi" w:cstheme="minorHAnsi"/>
          <w:sz w:val="22"/>
          <w:szCs w:val="22"/>
          <w:lang w:eastAsia="en-US"/>
        </w:rPr>
      </w:pPr>
    </w:p>
    <w:p w14:paraId="2D429D7B" w14:textId="77777777" w:rsidR="00572342" w:rsidRPr="001A10D5" w:rsidRDefault="00572342" w:rsidP="00572342">
      <w:pPr>
        <w:jc w:val="both"/>
        <w:rPr>
          <w:rFonts w:asciiTheme="minorHAnsi" w:hAnsiTheme="minorHAnsi" w:cstheme="minorHAnsi"/>
          <w:sz w:val="22"/>
          <w:szCs w:val="22"/>
          <w:lang w:eastAsia="en-US"/>
        </w:rPr>
      </w:pPr>
    </w:p>
    <w:p w14:paraId="6FA04A07" w14:textId="77777777" w:rsidR="006A0F97" w:rsidRPr="001A10D5" w:rsidRDefault="006A0F97" w:rsidP="00572342">
      <w:pPr>
        <w:jc w:val="center"/>
        <w:rPr>
          <w:rFonts w:asciiTheme="minorHAnsi" w:hAnsiTheme="minorHAnsi" w:cstheme="minorHAnsi"/>
          <w:sz w:val="22"/>
          <w:szCs w:val="22"/>
          <w:lang w:eastAsia="en-US"/>
        </w:rPr>
      </w:pPr>
      <w:r w:rsidRPr="001A10D5">
        <w:rPr>
          <w:rFonts w:asciiTheme="minorHAnsi" w:hAnsiTheme="minorHAnsi" w:cstheme="minorHAnsi"/>
          <w:sz w:val="22"/>
          <w:szCs w:val="22"/>
          <w:lang w:eastAsia="en-US"/>
        </w:rPr>
        <w:t>(</w:t>
      </w:r>
      <w:r w:rsidR="009579BC" w:rsidRPr="001A10D5">
        <w:rPr>
          <w:rFonts w:asciiTheme="minorHAnsi" w:hAnsiTheme="minorHAnsi" w:cstheme="minorHAnsi"/>
          <w:sz w:val="22"/>
          <w:szCs w:val="22"/>
          <w:lang w:eastAsia="en-US"/>
        </w:rPr>
        <w:t>art.º</w:t>
      </w:r>
      <w:r w:rsidRPr="001A10D5">
        <w:rPr>
          <w:rFonts w:asciiTheme="minorHAnsi" w:hAnsiTheme="minorHAnsi" w:cstheme="minorHAnsi"/>
          <w:sz w:val="22"/>
          <w:szCs w:val="22"/>
          <w:lang w:eastAsia="en-US"/>
        </w:rPr>
        <w:t xml:space="preserve"> 51º do </w:t>
      </w:r>
      <w:proofErr w:type="spellStart"/>
      <w:r w:rsidR="009579BC" w:rsidRPr="001A10D5">
        <w:rPr>
          <w:rFonts w:asciiTheme="minorHAnsi" w:hAnsiTheme="minorHAnsi" w:cstheme="minorHAnsi"/>
          <w:sz w:val="22"/>
          <w:szCs w:val="22"/>
          <w:lang w:eastAsia="en-US"/>
        </w:rPr>
        <w:t>D</w:t>
      </w:r>
      <w:r w:rsidRPr="001A10D5">
        <w:rPr>
          <w:rFonts w:asciiTheme="minorHAnsi" w:hAnsiTheme="minorHAnsi" w:cstheme="minorHAnsi"/>
          <w:sz w:val="22"/>
          <w:szCs w:val="22"/>
          <w:lang w:eastAsia="en-US"/>
        </w:rPr>
        <w:t>ec</w:t>
      </w:r>
      <w:proofErr w:type="spellEnd"/>
      <w:r w:rsidRPr="001A10D5">
        <w:rPr>
          <w:rFonts w:asciiTheme="minorHAnsi" w:hAnsiTheme="minorHAnsi" w:cstheme="minorHAnsi"/>
          <w:sz w:val="22"/>
          <w:szCs w:val="22"/>
          <w:lang w:eastAsia="en-US"/>
        </w:rPr>
        <w:t>-</w:t>
      </w:r>
      <w:r w:rsidR="009579BC" w:rsidRPr="001A10D5">
        <w:rPr>
          <w:rFonts w:asciiTheme="minorHAnsi" w:hAnsiTheme="minorHAnsi" w:cstheme="minorHAnsi"/>
          <w:sz w:val="22"/>
          <w:szCs w:val="22"/>
          <w:lang w:eastAsia="en-US"/>
        </w:rPr>
        <w:t>L</w:t>
      </w:r>
      <w:r w:rsidRPr="001A10D5">
        <w:rPr>
          <w:rFonts w:asciiTheme="minorHAnsi" w:hAnsiTheme="minorHAnsi" w:cstheme="minorHAnsi"/>
          <w:sz w:val="22"/>
          <w:szCs w:val="22"/>
          <w:lang w:eastAsia="en-US"/>
        </w:rPr>
        <w:t xml:space="preserve">ei </w:t>
      </w:r>
      <w:r w:rsidR="009579BC" w:rsidRPr="001A10D5">
        <w:rPr>
          <w:rFonts w:asciiTheme="minorHAnsi" w:hAnsiTheme="minorHAnsi" w:cstheme="minorHAnsi"/>
          <w:sz w:val="22"/>
          <w:szCs w:val="22"/>
          <w:lang w:eastAsia="en-US"/>
        </w:rPr>
        <w:t>n.º</w:t>
      </w:r>
      <w:r w:rsidRPr="001A10D5">
        <w:rPr>
          <w:rFonts w:asciiTheme="minorHAnsi" w:hAnsiTheme="minorHAnsi" w:cstheme="minorHAnsi"/>
          <w:sz w:val="22"/>
          <w:szCs w:val="22"/>
          <w:lang w:eastAsia="en-US"/>
        </w:rPr>
        <w:t xml:space="preserve"> 133/2013, de 3 outubro)</w:t>
      </w:r>
    </w:p>
    <w:p w14:paraId="7344E048" w14:textId="77777777" w:rsidR="006A0F97" w:rsidRPr="001A10D5" w:rsidRDefault="006A0F97" w:rsidP="00572342">
      <w:pPr>
        <w:jc w:val="both"/>
        <w:rPr>
          <w:rFonts w:asciiTheme="minorHAnsi" w:hAnsiTheme="minorHAnsi" w:cstheme="minorHAnsi"/>
          <w:sz w:val="22"/>
          <w:szCs w:val="22"/>
          <w:lang w:eastAsia="en-US"/>
        </w:rPr>
      </w:pPr>
    </w:p>
    <w:p w14:paraId="345D202B" w14:textId="77777777" w:rsidR="006A0F97" w:rsidRPr="001A10D5" w:rsidRDefault="006A0F97" w:rsidP="006A0F97">
      <w:pPr>
        <w:rPr>
          <w:rFonts w:asciiTheme="minorHAnsi" w:hAnsiTheme="minorHAnsi" w:cstheme="minorHAnsi"/>
          <w:sz w:val="22"/>
          <w:szCs w:val="22"/>
          <w:lang w:eastAsia="en-US"/>
        </w:rPr>
      </w:pPr>
    </w:p>
    <w:p w14:paraId="73A7EEC1" w14:textId="77777777" w:rsidR="006A0F97" w:rsidRPr="001A10D5" w:rsidRDefault="006A0F97" w:rsidP="006A0F97">
      <w:pPr>
        <w:rPr>
          <w:rFonts w:asciiTheme="minorHAnsi" w:hAnsiTheme="minorHAnsi" w:cstheme="minorHAnsi"/>
          <w:sz w:val="22"/>
          <w:szCs w:val="22"/>
          <w:lang w:eastAsia="en-US"/>
        </w:rPr>
      </w:pPr>
    </w:p>
    <w:p w14:paraId="0CA6BDDD" w14:textId="77777777" w:rsidR="006A0F97" w:rsidRPr="001A10D5" w:rsidRDefault="006A0F97" w:rsidP="006A0F97">
      <w:pPr>
        <w:rPr>
          <w:rFonts w:asciiTheme="minorHAnsi" w:hAnsiTheme="minorHAnsi" w:cstheme="minorHAnsi"/>
          <w:sz w:val="22"/>
          <w:szCs w:val="22"/>
          <w:lang w:eastAsia="en-US"/>
        </w:rPr>
      </w:pPr>
    </w:p>
    <w:p w14:paraId="73CE8D91" w14:textId="77777777" w:rsidR="006A0F97" w:rsidRPr="001A10D5" w:rsidRDefault="006A0F97" w:rsidP="006A0F97">
      <w:pPr>
        <w:rPr>
          <w:rFonts w:asciiTheme="minorHAnsi" w:hAnsiTheme="minorHAnsi" w:cstheme="minorHAnsi"/>
          <w:sz w:val="22"/>
          <w:szCs w:val="22"/>
          <w:lang w:eastAsia="en-US"/>
        </w:rPr>
      </w:pPr>
    </w:p>
    <w:p w14:paraId="6B5ED033" w14:textId="77777777" w:rsidR="006C1576" w:rsidRPr="00B162F1" w:rsidRDefault="006C1576">
      <w:pPr>
        <w:rPr>
          <w:rFonts w:asciiTheme="minorHAnsi" w:hAnsiTheme="minorHAnsi" w:cstheme="minorHAnsi"/>
          <w:sz w:val="32"/>
          <w:szCs w:val="32"/>
          <w:lang w:eastAsia="en-US"/>
        </w:rPr>
      </w:pPr>
    </w:p>
    <w:p w14:paraId="727EC349" w14:textId="29BA0CD2" w:rsidR="00C077F6" w:rsidRPr="00CC2EB0" w:rsidRDefault="00C077F6" w:rsidP="00C077F6">
      <w:pPr>
        <w:jc w:val="both"/>
        <w:rPr>
          <w:rFonts w:asciiTheme="minorHAnsi" w:hAnsiTheme="minorHAnsi" w:cstheme="minorHAnsi"/>
          <w:sz w:val="22"/>
          <w:szCs w:val="22"/>
          <w:lang w:eastAsia="en-US"/>
        </w:rPr>
      </w:pPr>
      <w:r w:rsidRPr="00CC2EB0">
        <w:rPr>
          <w:rFonts w:asciiTheme="minorHAnsi" w:hAnsiTheme="minorHAnsi" w:cstheme="minorHAnsi"/>
          <w:sz w:val="22"/>
          <w:szCs w:val="22"/>
          <w:lang w:eastAsia="en-US"/>
        </w:rPr>
        <w:t xml:space="preserve">Eu, </w:t>
      </w:r>
      <w:r w:rsidR="0071478E" w:rsidRPr="0071478E">
        <w:rPr>
          <w:rFonts w:asciiTheme="minorHAnsi" w:hAnsiTheme="minorHAnsi" w:cstheme="minorHAnsi"/>
          <w:sz w:val="22"/>
          <w:szCs w:val="22"/>
          <w:lang w:eastAsia="en-US"/>
        </w:rPr>
        <w:t>ANTÓNIO JOSÉ FONSECA DUARTE</w:t>
      </w:r>
      <w:r w:rsidR="0071478E">
        <w:rPr>
          <w:rFonts w:asciiTheme="minorHAnsi" w:hAnsiTheme="minorHAnsi" w:cstheme="minorHAnsi"/>
          <w:sz w:val="22"/>
          <w:szCs w:val="22"/>
          <w:lang w:eastAsia="en-US"/>
        </w:rPr>
        <w:t>,</w:t>
      </w:r>
      <w:r w:rsidR="0071478E" w:rsidRPr="0071478E">
        <w:rPr>
          <w:rFonts w:asciiTheme="minorHAnsi" w:hAnsiTheme="minorHAnsi" w:cstheme="minorHAnsi"/>
          <w:sz w:val="22"/>
          <w:szCs w:val="22"/>
          <w:lang w:eastAsia="en-US"/>
        </w:rPr>
        <w:t xml:space="preserve"> </w:t>
      </w:r>
      <w:r w:rsidRPr="00CC2EB0">
        <w:rPr>
          <w:rFonts w:asciiTheme="minorHAnsi" w:hAnsiTheme="minorHAnsi" w:cstheme="minorHAnsi"/>
          <w:sz w:val="22"/>
          <w:szCs w:val="22"/>
          <w:lang w:eastAsia="en-US"/>
        </w:rPr>
        <w:t>declaro que, nos exercícios sociais em que estive em funções, não intervim nas decisões que envolveram os meus próprios interesses, designadamente na aprovação de despesas por mim realizadas, conforme determina, designadamente, o artigo 51.º do Decreto-Lei n.º 133/2013, de 3 de outubro.</w:t>
      </w:r>
    </w:p>
    <w:p w14:paraId="0416AF86" w14:textId="77777777" w:rsidR="00C077F6" w:rsidRPr="00CC2EB0" w:rsidRDefault="00C077F6" w:rsidP="00C077F6">
      <w:pPr>
        <w:jc w:val="both"/>
        <w:rPr>
          <w:rFonts w:asciiTheme="minorHAnsi" w:hAnsiTheme="minorHAnsi" w:cstheme="minorHAnsi"/>
          <w:sz w:val="22"/>
          <w:szCs w:val="22"/>
          <w:lang w:eastAsia="en-US"/>
        </w:rPr>
      </w:pPr>
    </w:p>
    <w:p w14:paraId="75585FA6" w14:textId="77777777" w:rsidR="00C077F6" w:rsidRPr="00CC2EB0" w:rsidRDefault="00C077F6" w:rsidP="00C077F6">
      <w:pPr>
        <w:jc w:val="both"/>
        <w:rPr>
          <w:rFonts w:asciiTheme="minorHAnsi" w:hAnsiTheme="minorHAnsi" w:cstheme="minorHAnsi"/>
          <w:sz w:val="22"/>
          <w:szCs w:val="22"/>
          <w:lang w:eastAsia="en-US"/>
        </w:rPr>
      </w:pPr>
    </w:p>
    <w:p w14:paraId="5A5A5771" w14:textId="77777777" w:rsidR="00C077F6" w:rsidRPr="00CC2EB0" w:rsidRDefault="00C077F6" w:rsidP="00C077F6">
      <w:pPr>
        <w:jc w:val="both"/>
        <w:rPr>
          <w:rFonts w:asciiTheme="minorHAnsi" w:hAnsiTheme="minorHAnsi" w:cstheme="minorHAnsi"/>
          <w:sz w:val="22"/>
          <w:szCs w:val="22"/>
          <w:lang w:eastAsia="en-US"/>
        </w:rPr>
      </w:pPr>
    </w:p>
    <w:p w14:paraId="56D978DE" w14:textId="77777777" w:rsidR="00C077F6" w:rsidRPr="001A10D5" w:rsidRDefault="00C077F6" w:rsidP="00C077F6">
      <w:pPr>
        <w:spacing w:line="360" w:lineRule="auto"/>
        <w:jc w:val="both"/>
        <w:rPr>
          <w:rFonts w:ascii="Calibri" w:hAnsi="Calibri" w:cs="Calibri"/>
          <w:b/>
          <w:bCs/>
          <w:sz w:val="22"/>
          <w:szCs w:val="20"/>
        </w:rPr>
      </w:pPr>
    </w:p>
    <w:p w14:paraId="1E3B961C" w14:textId="77777777" w:rsidR="00BE359D" w:rsidRPr="006837AF" w:rsidRDefault="00BE359D" w:rsidP="00BE359D">
      <w:pPr>
        <w:jc w:val="both"/>
        <w:rPr>
          <w:rFonts w:asciiTheme="minorHAnsi" w:hAnsiTheme="minorHAnsi" w:cstheme="minorHAnsi"/>
          <w:sz w:val="22"/>
          <w:szCs w:val="22"/>
          <w:lang w:eastAsia="en-US"/>
        </w:rPr>
      </w:pPr>
      <w:r w:rsidRPr="00BE359D">
        <w:rPr>
          <w:rFonts w:ascii="Calibri" w:hAnsi="Calibri" w:cs="Calibri"/>
          <w:sz w:val="22"/>
          <w:szCs w:val="22"/>
          <w:shd w:val="clear" w:color="auto" w:fill="FFFFFF"/>
        </w:rPr>
        <w:t>Miraflores (Algés-Oeiras), 5 de março de 2026</w:t>
      </w:r>
    </w:p>
    <w:p w14:paraId="0D6E0708" w14:textId="77777777" w:rsidR="00C077F6" w:rsidRPr="001A10D5" w:rsidRDefault="00C077F6" w:rsidP="00C077F6">
      <w:pPr>
        <w:jc w:val="both"/>
        <w:rPr>
          <w:rFonts w:asciiTheme="minorHAnsi" w:hAnsiTheme="minorHAnsi" w:cstheme="minorHAnsi"/>
          <w:sz w:val="22"/>
          <w:szCs w:val="22"/>
          <w:lang w:eastAsia="en-US"/>
        </w:rPr>
      </w:pPr>
    </w:p>
    <w:p w14:paraId="511076C7" w14:textId="77777777" w:rsidR="00C077F6" w:rsidRPr="00CC2EB0" w:rsidRDefault="00C077F6" w:rsidP="00C077F6">
      <w:pPr>
        <w:jc w:val="both"/>
        <w:rPr>
          <w:rFonts w:asciiTheme="minorHAnsi" w:hAnsiTheme="minorHAnsi" w:cstheme="minorHAnsi"/>
          <w:sz w:val="22"/>
          <w:szCs w:val="22"/>
          <w:lang w:eastAsia="en-US"/>
        </w:rPr>
      </w:pPr>
    </w:p>
    <w:p w14:paraId="7FA984F5" w14:textId="77777777" w:rsidR="00C077F6" w:rsidRPr="00CC2EB0" w:rsidRDefault="00C077F6" w:rsidP="00C077F6">
      <w:pPr>
        <w:jc w:val="both"/>
        <w:rPr>
          <w:rFonts w:asciiTheme="minorHAnsi" w:hAnsiTheme="minorHAnsi" w:cstheme="minorHAnsi"/>
          <w:sz w:val="22"/>
          <w:szCs w:val="22"/>
          <w:lang w:eastAsia="en-US"/>
        </w:rPr>
      </w:pPr>
    </w:p>
    <w:p w14:paraId="255EB4F3" w14:textId="77777777" w:rsidR="00C077F6" w:rsidRPr="00CC2EB0" w:rsidRDefault="00C077F6" w:rsidP="00C077F6">
      <w:pPr>
        <w:jc w:val="both"/>
        <w:rPr>
          <w:rFonts w:asciiTheme="minorHAnsi" w:hAnsiTheme="minorHAnsi" w:cstheme="minorHAnsi"/>
          <w:sz w:val="22"/>
          <w:szCs w:val="22"/>
          <w:lang w:eastAsia="en-US"/>
        </w:rPr>
      </w:pPr>
    </w:p>
    <w:p w14:paraId="3D509130" w14:textId="77777777" w:rsidR="00C077F6" w:rsidRPr="00CC2EB0" w:rsidRDefault="00C077F6" w:rsidP="00C077F6">
      <w:pPr>
        <w:jc w:val="both"/>
        <w:rPr>
          <w:rFonts w:asciiTheme="minorHAnsi" w:hAnsiTheme="minorHAnsi" w:cstheme="minorHAnsi"/>
          <w:sz w:val="22"/>
          <w:szCs w:val="22"/>
          <w:lang w:eastAsia="en-US"/>
        </w:rPr>
      </w:pPr>
    </w:p>
    <w:p w14:paraId="56DEC025" w14:textId="18BEF291" w:rsidR="00C077F6" w:rsidRPr="00CC2EB0" w:rsidRDefault="00C077F6" w:rsidP="00C077F6">
      <w:pPr>
        <w:jc w:val="center"/>
        <w:rPr>
          <w:rFonts w:asciiTheme="minorHAnsi" w:hAnsiTheme="minorHAnsi" w:cstheme="minorHAnsi"/>
          <w:sz w:val="22"/>
          <w:szCs w:val="22"/>
          <w:lang w:eastAsia="en-US"/>
        </w:rPr>
      </w:pPr>
      <w:r w:rsidRPr="00CC2EB0">
        <w:rPr>
          <w:rFonts w:asciiTheme="minorHAnsi" w:hAnsiTheme="minorHAnsi" w:cstheme="minorHAnsi"/>
          <w:sz w:val="22"/>
          <w:szCs w:val="22"/>
          <w:lang w:eastAsia="en-US"/>
        </w:rPr>
        <w:t>Administrador Executivo</w:t>
      </w:r>
      <w:r w:rsidRPr="00CC2EB0">
        <w:rPr>
          <w:rFonts w:asciiTheme="minorHAnsi" w:hAnsiTheme="minorHAnsi" w:cstheme="minorHAnsi"/>
          <w:sz w:val="22"/>
          <w:szCs w:val="22"/>
          <w:lang w:eastAsia="en-US"/>
        </w:rPr>
        <w:br w:type="page"/>
      </w:r>
    </w:p>
    <w:p w14:paraId="2F66376E" w14:textId="77777777" w:rsidR="006C1576" w:rsidRPr="00B162F1" w:rsidRDefault="006C1576">
      <w:pPr>
        <w:rPr>
          <w:rFonts w:asciiTheme="minorHAnsi" w:hAnsiTheme="minorHAnsi" w:cstheme="minorHAnsi"/>
          <w:sz w:val="32"/>
          <w:szCs w:val="32"/>
          <w:lang w:eastAsia="en-US"/>
        </w:rPr>
      </w:pPr>
    </w:p>
    <w:p w14:paraId="7F693705" w14:textId="77777777" w:rsidR="006C1576" w:rsidRPr="00B162F1" w:rsidRDefault="006C1576">
      <w:pPr>
        <w:rPr>
          <w:rFonts w:asciiTheme="minorHAnsi" w:hAnsiTheme="minorHAnsi" w:cstheme="minorHAnsi"/>
          <w:sz w:val="32"/>
          <w:szCs w:val="32"/>
          <w:lang w:eastAsia="en-US"/>
        </w:rPr>
      </w:pPr>
    </w:p>
    <w:p w14:paraId="0270C6A3" w14:textId="77777777" w:rsidR="006C1576" w:rsidRPr="00B162F1" w:rsidRDefault="006C1576">
      <w:pPr>
        <w:rPr>
          <w:rFonts w:asciiTheme="minorHAnsi" w:hAnsiTheme="minorHAnsi" w:cstheme="minorHAnsi"/>
          <w:sz w:val="32"/>
          <w:szCs w:val="32"/>
          <w:lang w:eastAsia="en-US"/>
        </w:rPr>
      </w:pPr>
    </w:p>
    <w:p w14:paraId="3B810C98" w14:textId="77777777" w:rsidR="006C1576" w:rsidRPr="00B162F1" w:rsidRDefault="006C1576">
      <w:pPr>
        <w:rPr>
          <w:rFonts w:asciiTheme="minorHAnsi" w:hAnsiTheme="minorHAnsi" w:cstheme="minorHAnsi"/>
          <w:sz w:val="32"/>
          <w:szCs w:val="32"/>
          <w:lang w:eastAsia="en-US"/>
        </w:rPr>
      </w:pPr>
    </w:p>
    <w:p w14:paraId="60CCF198" w14:textId="77777777" w:rsidR="006C1576" w:rsidRPr="00B162F1" w:rsidRDefault="006C1576">
      <w:pPr>
        <w:rPr>
          <w:rFonts w:asciiTheme="minorHAnsi" w:hAnsiTheme="minorHAnsi" w:cstheme="minorHAnsi"/>
          <w:sz w:val="32"/>
          <w:szCs w:val="32"/>
          <w:lang w:eastAsia="en-US"/>
        </w:rPr>
      </w:pPr>
    </w:p>
    <w:p w14:paraId="315D44EA" w14:textId="77777777" w:rsidR="006C1576" w:rsidRPr="00B162F1" w:rsidRDefault="006C1576">
      <w:pPr>
        <w:rPr>
          <w:rFonts w:asciiTheme="minorHAnsi" w:hAnsiTheme="minorHAnsi" w:cstheme="minorHAnsi"/>
          <w:sz w:val="32"/>
          <w:szCs w:val="32"/>
          <w:lang w:eastAsia="en-US"/>
        </w:rPr>
      </w:pPr>
    </w:p>
    <w:p w14:paraId="62297FAD" w14:textId="77777777" w:rsidR="006C1576" w:rsidRPr="00B162F1" w:rsidRDefault="006C1576">
      <w:pPr>
        <w:rPr>
          <w:rFonts w:asciiTheme="minorHAnsi" w:hAnsiTheme="minorHAnsi" w:cstheme="minorHAnsi"/>
          <w:sz w:val="32"/>
          <w:szCs w:val="32"/>
          <w:lang w:eastAsia="en-US"/>
        </w:rPr>
      </w:pPr>
    </w:p>
    <w:p w14:paraId="01EF8991" w14:textId="77777777" w:rsidR="006C1576" w:rsidRPr="00B162F1" w:rsidRDefault="006C1576">
      <w:pPr>
        <w:rPr>
          <w:rFonts w:asciiTheme="minorHAnsi" w:hAnsiTheme="minorHAnsi" w:cstheme="minorHAnsi"/>
          <w:sz w:val="32"/>
          <w:szCs w:val="32"/>
          <w:lang w:eastAsia="en-US"/>
        </w:rPr>
      </w:pPr>
    </w:p>
    <w:p w14:paraId="5D7D333A" w14:textId="77777777" w:rsidR="006C1576" w:rsidRPr="00B162F1" w:rsidRDefault="006C1576">
      <w:pPr>
        <w:rPr>
          <w:rFonts w:asciiTheme="minorHAnsi" w:hAnsiTheme="minorHAnsi" w:cstheme="minorHAnsi"/>
          <w:sz w:val="32"/>
          <w:szCs w:val="32"/>
          <w:lang w:eastAsia="en-US"/>
        </w:rPr>
      </w:pPr>
    </w:p>
    <w:p w14:paraId="272310B7" w14:textId="77777777" w:rsidR="006C1576" w:rsidRPr="00B162F1" w:rsidRDefault="006C1576">
      <w:pPr>
        <w:rPr>
          <w:rFonts w:asciiTheme="minorHAnsi" w:hAnsiTheme="minorHAnsi" w:cstheme="minorHAnsi"/>
          <w:sz w:val="32"/>
          <w:szCs w:val="32"/>
          <w:lang w:eastAsia="en-US"/>
        </w:rPr>
      </w:pPr>
    </w:p>
    <w:p w14:paraId="07450264" w14:textId="77777777" w:rsidR="006C1576" w:rsidRPr="00B162F1" w:rsidRDefault="006C1576">
      <w:pPr>
        <w:rPr>
          <w:rFonts w:asciiTheme="minorHAnsi" w:hAnsiTheme="minorHAnsi" w:cstheme="minorHAnsi"/>
          <w:sz w:val="32"/>
          <w:szCs w:val="32"/>
          <w:lang w:eastAsia="en-US"/>
        </w:rPr>
      </w:pPr>
    </w:p>
    <w:p w14:paraId="7D797BDC" w14:textId="77777777" w:rsidR="006C1576" w:rsidRPr="00B162F1" w:rsidRDefault="006C1576">
      <w:pPr>
        <w:rPr>
          <w:rFonts w:asciiTheme="minorHAnsi" w:hAnsiTheme="minorHAnsi" w:cstheme="minorHAnsi"/>
          <w:sz w:val="32"/>
          <w:szCs w:val="32"/>
          <w:lang w:eastAsia="en-US"/>
        </w:rPr>
      </w:pPr>
    </w:p>
    <w:p w14:paraId="38919657" w14:textId="77777777" w:rsidR="006C1576" w:rsidRPr="00B162F1" w:rsidRDefault="006C1576">
      <w:pPr>
        <w:rPr>
          <w:rFonts w:asciiTheme="minorHAnsi" w:hAnsiTheme="minorHAnsi" w:cstheme="minorHAnsi"/>
          <w:sz w:val="32"/>
          <w:szCs w:val="32"/>
          <w:lang w:eastAsia="en-US"/>
        </w:rPr>
      </w:pPr>
    </w:p>
    <w:p w14:paraId="44416557" w14:textId="77777777" w:rsidR="006C1576" w:rsidRPr="00B162F1" w:rsidRDefault="006C1576">
      <w:pPr>
        <w:rPr>
          <w:rFonts w:asciiTheme="minorHAnsi" w:hAnsiTheme="minorHAnsi" w:cstheme="minorHAnsi"/>
          <w:sz w:val="32"/>
          <w:szCs w:val="32"/>
          <w:lang w:eastAsia="en-US"/>
        </w:rPr>
      </w:pPr>
    </w:p>
    <w:p w14:paraId="1BD99D5D" w14:textId="4D8B4616" w:rsidR="006C1576" w:rsidRPr="00B9117C" w:rsidRDefault="00D13215" w:rsidP="009E3F24">
      <w:pPr>
        <w:pStyle w:val="Ttulo"/>
        <w:jc w:val="center"/>
        <w:rPr>
          <w:rFonts w:asciiTheme="minorHAnsi" w:hAnsiTheme="minorHAnsi" w:cstheme="minorHAnsi"/>
          <w:color w:val="1F4E79"/>
          <w:sz w:val="28"/>
          <w:szCs w:val="22"/>
          <w:lang w:val="pt-PT"/>
        </w:rPr>
      </w:pPr>
      <w:bookmarkStart w:id="66" w:name="_Toc452627562"/>
      <w:bookmarkStart w:id="67" w:name="_Toc482900450"/>
      <w:bookmarkStart w:id="68" w:name="_Toc221618472"/>
      <w:r>
        <w:rPr>
          <w:rFonts w:asciiTheme="minorHAnsi" w:hAnsiTheme="minorHAnsi" w:cstheme="minorHAnsi"/>
          <w:color w:val="1F4E79"/>
          <w:sz w:val="28"/>
          <w:szCs w:val="22"/>
          <w:lang w:val="pt-PT"/>
        </w:rPr>
        <w:t>6</w:t>
      </w:r>
      <w:r w:rsidR="009E3F24" w:rsidRPr="00C55377">
        <w:rPr>
          <w:rFonts w:asciiTheme="minorHAnsi" w:hAnsiTheme="minorHAnsi" w:cstheme="minorHAnsi"/>
          <w:color w:val="1F4E79"/>
          <w:sz w:val="28"/>
          <w:szCs w:val="22"/>
          <w:lang w:val="pt-PT"/>
        </w:rPr>
        <w:t>. DECLARAÇÕES PREVISTAS NO ART</w:t>
      </w:r>
      <w:r w:rsidR="007868D8">
        <w:rPr>
          <w:rFonts w:asciiTheme="minorHAnsi" w:hAnsiTheme="minorHAnsi" w:cstheme="minorHAnsi"/>
          <w:color w:val="1F4E79"/>
          <w:sz w:val="28"/>
          <w:szCs w:val="22"/>
          <w:lang w:val="pt-PT"/>
        </w:rPr>
        <w:t>.</w:t>
      </w:r>
      <w:r w:rsidR="009E3F24" w:rsidRPr="00C55377">
        <w:rPr>
          <w:rFonts w:asciiTheme="minorHAnsi" w:hAnsiTheme="minorHAnsi" w:cstheme="minorHAnsi"/>
          <w:color w:val="1F4E79"/>
          <w:sz w:val="28"/>
          <w:szCs w:val="22"/>
          <w:lang w:val="pt-PT"/>
        </w:rPr>
        <w:t xml:space="preserve"> 15º DA LEI Nº 8/2012 DE 21 DE FEV</w:t>
      </w:r>
      <w:bookmarkEnd w:id="66"/>
      <w:bookmarkEnd w:id="67"/>
      <w:r w:rsidR="007A44EC">
        <w:rPr>
          <w:rFonts w:asciiTheme="minorHAnsi" w:hAnsiTheme="minorHAnsi" w:cstheme="minorHAnsi"/>
          <w:color w:val="1F4E79"/>
          <w:sz w:val="28"/>
          <w:szCs w:val="22"/>
          <w:lang w:val="pt-PT"/>
        </w:rPr>
        <w:t>.</w:t>
      </w:r>
      <w:r w:rsidR="009E3F24" w:rsidRPr="00C55377" w:rsidDel="009E3F24">
        <w:rPr>
          <w:rFonts w:asciiTheme="minorHAnsi" w:hAnsiTheme="minorHAnsi" w:cstheme="minorHAnsi"/>
          <w:color w:val="1F4E79"/>
          <w:sz w:val="36"/>
          <w:szCs w:val="28"/>
          <w:lang w:val="pt-PT"/>
        </w:rPr>
        <w:t xml:space="preserve"> </w:t>
      </w:r>
      <w:r w:rsidR="00B9117C" w:rsidRPr="00C55377">
        <w:rPr>
          <w:rFonts w:asciiTheme="minorHAnsi" w:hAnsiTheme="minorHAnsi" w:cstheme="minorHAnsi"/>
          <w:color w:val="1F4E79"/>
          <w:sz w:val="28"/>
          <w:szCs w:val="22"/>
          <w:lang w:val="pt-PT"/>
        </w:rPr>
        <w:t>(ALT PELA LEI 22/2015)</w:t>
      </w:r>
      <w:bookmarkEnd w:id="68"/>
    </w:p>
    <w:p w14:paraId="140B7D60" w14:textId="132FF108" w:rsidR="00A10C9D" w:rsidRPr="008E5F47" w:rsidRDefault="003E4E1F">
      <w:pPr>
        <w:rPr>
          <w:rFonts w:asciiTheme="minorHAnsi" w:hAnsiTheme="minorHAnsi" w:cstheme="minorHAnsi"/>
          <w:sz w:val="32"/>
          <w:szCs w:val="32"/>
          <w:lang w:eastAsia="en-US"/>
        </w:rPr>
      </w:pPr>
      <w:r w:rsidRPr="00B162F1">
        <w:rPr>
          <w:rFonts w:asciiTheme="minorHAnsi" w:hAnsiTheme="minorHAnsi" w:cstheme="minorHAnsi"/>
          <w:sz w:val="32"/>
          <w:szCs w:val="32"/>
          <w:lang w:eastAsia="en-US"/>
        </w:rPr>
        <w:br w:type="page"/>
      </w:r>
    </w:p>
    <w:p w14:paraId="17D579F5" w14:textId="765A5356" w:rsidR="003E4E1F" w:rsidRDefault="003E4E1F">
      <w:pPr>
        <w:rPr>
          <w:rFonts w:asciiTheme="minorHAnsi" w:hAnsiTheme="minorHAnsi" w:cstheme="minorHAnsi"/>
          <w:sz w:val="32"/>
          <w:szCs w:val="32"/>
          <w:lang w:eastAsia="en-US"/>
        </w:rPr>
      </w:pPr>
    </w:p>
    <w:p w14:paraId="73B47AAD" w14:textId="77777777" w:rsidR="00A10C9D" w:rsidRDefault="004623C5">
      <w:pPr>
        <w:rPr>
          <w:rFonts w:asciiTheme="minorHAnsi" w:hAnsiTheme="minorHAnsi" w:cstheme="minorHAnsi"/>
          <w:sz w:val="32"/>
          <w:szCs w:val="32"/>
          <w:lang w:eastAsia="en-US"/>
        </w:rPr>
      </w:pPr>
      <w:r w:rsidRPr="004623C5">
        <w:rPr>
          <w:noProof/>
        </w:rPr>
        <w:t xml:space="preserve"> </w:t>
      </w:r>
      <w:r>
        <w:rPr>
          <w:noProof/>
        </w:rPr>
        <w:t xml:space="preserve"> </w:t>
      </w:r>
      <w:r w:rsidRPr="00B162F1">
        <w:rPr>
          <w:rFonts w:asciiTheme="minorHAnsi" w:hAnsiTheme="minorHAnsi" w:cstheme="minorHAnsi"/>
          <w:sz w:val="32"/>
          <w:szCs w:val="32"/>
          <w:lang w:eastAsia="en-US"/>
        </w:rPr>
        <w:t xml:space="preserve"> </w:t>
      </w:r>
    </w:p>
    <w:p w14:paraId="402B5F4A" w14:textId="77777777" w:rsidR="005C09AD" w:rsidRDefault="005C09AD" w:rsidP="00A10C9D">
      <w:pPr>
        <w:jc w:val="center"/>
        <w:rPr>
          <w:noProof/>
        </w:rPr>
      </w:pPr>
    </w:p>
    <w:p w14:paraId="6DD33468" w14:textId="1254B68A" w:rsidR="003E4E1F" w:rsidRPr="00B162F1" w:rsidRDefault="00955145" w:rsidP="00A10C9D">
      <w:pPr>
        <w:jc w:val="center"/>
        <w:rPr>
          <w:rFonts w:asciiTheme="minorHAnsi" w:hAnsiTheme="minorHAnsi" w:cstheme="minorHAnsi"/>
          <w:sz w:val="32"/>
          <w:szCs w:val="32"/>
          <w:lang w:eastAsia="en-US"/>
        </w:rPr>
      </w:pPr>
      <w:r w:rsidRPr="00955145">
        <w:rPr>
          <w:rFonts w:asciiTheme="minorHAnsi" w:hAnsiTheme="minorHAnsi" w:cstheme="minorHAnsi"/>
          <w:noProof/>
          <w:sz w:val="32"/>
          <w:szCs w:val="32"/>
          <w:lang w:eastAsia="en-US"/>
        </w:rPr>
        <w:drawing>
          <wp:inline distT="0" distB="0" distL="0" distR="0" wp14:anchorId="56EB9569" wp14:editId="0523AB6E">
            <wp:extent cx="5311140" cy="4971415"/>
            <wp:effectExtent l="0" t="0" r="3810" b="635"/>
            <wp:docPr id="225444617" name="Imagem 1" descr="Uma imagem com texto, captura de ecrã, Tipo de letra, Paralel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44617" name="Imagem 1" descr="Uma imagem com texto, captura de ecrã, Tipo de letra, Paralelo&#10;&#10;Os conteúdos gerados por IA podem estar incorretos."/>
                    <pic:cNvPicPr/>
                  </pic:nvPicPr>
                  <pic:blipFill>
                    <a:blip r:embed="rId102"/>
                    <a:stretch>
                      <a:fillRect/>
                    </a:stretch>
                  </pic:blipFill>
                  <pic:spPr>
                    <a:xfrm>
                      <a:off x="0" y="0"/>
                      <a:ext cx="5311140" cy="4971415"/>
                    </a:xfrm>
                    <a:prstGeom prst="rect">
                      <a:avLst/>
                    </a:prstGeom>
                  </pic:spPr>
                </pic:pic>
              </a:graphicData>
            </a:graphic>
          </wp:inline>
        </w:drawing>
      </w:r>
      <w:r w:rsidR="003E4E1F" w:rsidRPr="00B162F1">
        <w:rPr>
          <w:rFonts w:asciiTheme="minorHAnsi" w:hAnsiTheme="minorHAnsi" w:cstheme="minorHAnsi"/>
          <w:sz w:val="32"/>
          <w:szCs w:val="32"/>
          <w:lang w:eastAsia="en-US"/>
        </w:rPr>
        <w:br w:type="page"/>
      </w:r>
    </w:p>
    <w:p w14:paraId="5A8E79D5" w14:textId="77777777" w:rsidR="004623C5" w:rsidRDefault="004623C5" w:rsidP="006C1576">
      <w:pPr>
        <w:rPr>
          <w:noProof/>
        </w:rPr>
      </w:pPr>
      <w:r w:rsidRPr="004623C5">
        <w:rPr>
          <w:noProof/>
        </w:rPr>
        <w:lastRenderedPageBreak/>
        <w:t xml:space="preserve"> </w:t>
      </w:r>
    </w:p>
    <w:p w14:paraId="26E4CA8E" w14:textId="77777777" w:rsidR="00A10C9D" w:rsidRDefault="00A10C9D">
      <w:pPr>
        <w:rPr>
          <w:noProof/>
        </w:rPr>
      </w:pPr>
    </w:p>
    <w:p w14:paraId="563C849A" w14:textId="65F382A6" w:rsidR="00E6453E" w:rsidRDefault="00E6453E">
      <w:pPr>
        <w:rPr>
          <w:noProof/>
        </w:rPr>
      </w:pPr>
    </w:p>
    <w:p w14:paraId="663716F3" w14:textId="16CC89A1" w:rsidR="005C09AD" w:rsidRDefault="00955145">
      <w:pPr>
        <w:rPr>
          <w:noProof/>
        </w:rPr>
      </w:pPr>
      <w:r w:rsidRPr="00955145">
        <w:rPr>
          <w:noProof/>
        </w:rPr>
        <w:drawing>
          <wp:inline distT="0" distB="0" distL="0" distR="0" wp14:anchorId="3FC89FB5" wp14:editId="74513644">
            <wp:extent cx="5311140" cy="5206365"/>
            <wp:effectExtent l="0" t="0" r="3810" b="0"/>
            <wp:docPr id="1736664297" name="Imagem 1" descr="Uma imagem com texto, captura de ecrã, Tipo de letra, file&#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664297" name="Imagem 1" descr="Uma imagem com texto, captura de ecrã, Tipo de letra, file&#10;&#10;Os conteúdos gerados por IA podem estar incorretos."/>
                    <pic:cNvPicPr/>
                  </pic:nvPicPr>
                  <pic:blipFill>
                    <a:blip r:embed="rId103"/>
                    <a:stretch>
                      <a:fillRect/>
                    </a:stretch>
                  </pic:blipFill>
                  <pic:spPr>
                    <a:xfrm>
                      <a:off x="0" y="0"/>
                      <a:ext cx="5311140" cy="5206365"/>
                    </a:xfrm>
                    <a:prstGeom prst="rect">
                      <a:avLst/>
                    </a:prstGeom>
                  </pic:spPr>
                </pic:pic>
              </a:graphicData>
            </a:graphic>
          </wp:inline>
        </w:drawing>
      </w:r>
    </w:p>
    <w:p w14:paraId="323B6BD3" w14:textId="4D3EB51F" w:rsidR="004623C5" w:rsidRDefault="004623C5">
      <w:pPr>
        <w:rPr>
          <w:noProof/>
        </w:rPr>
      </w:pPr>
      <w:r>
        <w:rPr>
          <w:noProof/>
        </w:rPr>
        <w:br w:type="page"/>
      </w:r>
    </w:p>
    <w:p w14:paraId="2CA44702" w14:textId="77777777" w:rsidR="006A0F97" w:rsidRDefault="006A0F97" w:rsidP="006C1576">
      <w:pPr>
        <w:rPr>
          <w:sz w:val="32"/>
          <w:szCs w:val="32"/>
          <w:lang w:eastAsia="en-US"/>
        </w:rPr>
      </w:pPr>
    </w:p>
    <w:p w14:paraId="3544EAE6" w14:textId="77777777" w:rsidR="00A10C9D" w:rsidRDefault="00A10C9D">
      <w:pPr>
        <w:rPr>
          <w:sz w:val="32"/>
          <w:szCs w:val="32"/>
          <w:lang w:eastAsia="en-US"/>
        </w:rPr>
      </w:pPr>
    </w:p>
    <w:p w14:paraId="2FF444DC" w14:textId="198B2DBC" w:rsidR="0030267D" w:rsidRDefault="00955145" w:rsidP="00A10C9D">
      <w:pPr>
        <w:jc w:val="center"/>
        <w:rPr>
          <w:sz w:val="32"/>
          <w:szCs w:val="32"/>
          <w:lang w:eastAsia="en-US"/>
        </w:rPr>
      </w:pPr>
      <w:r w:rsidRPr="00955145">
        <w:rPr>
          <w:noProof/>
          <w:sz w:val="32"/>
          <w:szCs w:val="32"/>
          <w:lang w:eastAsia="en-US"/>
        </w:rPr>
        <w:drawing>
          <wp:inline distT="0" distB="0" distL="0" distR="0" wp14:anchorId="0B663A33" wp14:editId="4057B684">
            <wp:extent cx="5311140" cy="5185410"/>
            <wp:effectExtent l="0" t="0" r="3810" b="0"/>
            <wp:docPr id="354400384" name="Imagem 1" descr="Uma imagem com texto, captura de ecrã, Tipo de letra&#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400384" name="Imagem 1" descr="Uma imagem com texto, captura de ecrã, Tipo de letra&#10;&#10;Os conteúdos gerados por IA podem estar incorretos."/>
                    <pic:cNvPicPr/>
                  </pic:nvPicPr>
                  <pic:blipFill>
                    <a:blip r:embed="rId104"/>
                    <a:stretch>
                      <a:fillRect/>
                    </a:stretch>
                  </pic:blipFill>
                  <pic:spPr>
                    <a:xfrm>
                      <a:off x="0" y="0"/>
                      <a:ext cx="5311140" cy="5185410"/>
                    </a:xfrm>
                    <a:prstGeom prst="rect">
                      <a:avLst/>
                    </a:prstGeom>
                  </pic:spPr>
                </pic:pic>
              </a:graphicData>
            </a:graphic>
          </wp:inline>
        </w:drawing>
      </w:r>
      <w:r w:rsidR="0030267D">
        <w:rPr>
          <w:sz w:val="32"/>
          <w:szCs w:val="32"/>
          <w:lang w:eastAsia="en-US"/>
        </w:rPr>
        <w:br w:type="page"/>
      </w:r>
    </w:p>
    <w:p w14:paraId="49027474" w14:textId="77777777" w:rsidR="0030267D" w:rsidRDefault="0030267D" w:rsidP="00A04D10">
      <w:pPr>
        <w:pStyle w:val="Ttulo"/>
        <w:jc w:val="center"/>
        <w:outlineLvl w:val="9"/>
        <w:rPr>
          <w:rFonts w:asciiTheme="minorHAnsi" w:hAnsiTheme="minorHAnsi" w:cstheme="minorHAnsi"/>
          <w:color w:val="1F4E79"/>
          <w:sz w:val="28"/>
          <w:szCs w:val="22"/>
        </w:rPr>
      </w:pPr>
    </w:p>
    <w:p w14:paraId="7E3A5962" w14:textId="77777777" w:rsidR="0030267D" w:rsidRDefault="0030267D" w:rsidP="00A04D10">
      <w:pPr>
        <w:pStyle w:val="Ttulo"/>
        <w:jc w:val="center"/>
        <w:outlineLvl w:val="9"/>
        <w:rPr>
          <w:rFonts w:asciiTheme="minorHAnsi" w:hAnsiTheme="minorHAnsi" w:cstheme="minorHAnsi"/>
          <w:color w:val="1F4E79"/>
          <w:sz w:val="28"/>
          <w:szCs w:val="22"/>
        </w:rPr>
      </w:pPr>
    </w:p>
    <w:p w14:paraId="1F83FD3D" w14:textId="77777777" w:rsidR="0030267D" w:rsidRDefault="0030267D" w:rsidP="00A04D10">
      <w:pPr>
        <w:pStyle w:val="Ttulo"/>
        <w:jc w:val="center"/>
        <w:outlineLvl w:val="9"/>
        <w:rPr>
          <w:rFonts w:asciiTheme="minorHAnsi" w:hAnsiTheme="minorHAnsi" w:cstheme="minorHAnsi"/>
          <w:color w:val="1F4E79"/>
          <w:sz w:val="28"/>
          <w:szCs w:val="22"/>
        </w:rPr>
      </w:pPr>
    </w:p>
    <w:p w14:paraId="2596D1B9" w14:textId="77777777" w:rsidR="0030267D" w:rsidRDefault="0030267D" w:rsidP="00A04D10">
      <w:pPr>
        <w:pStyle w:val="Ttulo"/>
        <w:jc w:val="center"/>
        <w:outlineLvl w:val="9"/>
        <w:rPr>
          <w:rFonts w:asciiTheme="minorHAnsi" w:hAnsiTheme="minorHAnsi" w:cstheme="minorHAnsi"/>
          <w:color w:val="1F4E79"/>
          <w:sz w:val="28"/>
          <w:szCs w:val="22"/>
        </w:rPr>
      </w:pPr>
    </w:p>
    <w:p w14:paraId="25F86167" w14:textId="77777777" w:rsidR="0030267D" w:rsidRDefault="0030267D" w:rsidP="00A04D10">
      <w:pPr>
        <w:pStyle w:val="Ttulo"/>
        <w:jc w:val="center"/>
        <w:outlineLvl w:val="9"/>
        <w:rPr>
          <w:rFonts w:asciiTheme="minorHAnsi" w:hAnsiTheme="minorHAnsi" w:cstheme="minorHAnsi"/>
          <w:color w:val="1F4E79"/>
          <w:sz w:val="28"/>
          <w:szCs w:val="22"/>
        </w:rPr>
      </w:pPr>
    </w:p>
    <w:p w14:paraId="44BD72ED" w14:textId="77777777" w:rsidR="0030267D" w:rsidRDefault="0030267D" w:rsidP="00A04D10">
      <w:pPr>
        <w:pStyle w:val="Ttulo"/>
        <w:jc w:val="center"/>
        <w:outlineLvl w:val="9"/>
        <w:rPr>
          <w:rFonts w:asciiTheme="minorHAnsi" w:hAnsiTheme="minorHAnsi" w:cstheme="minorHAnsi"/>
          <w:color w:val="1F4E79"/>
          <w:sz w:val="28"/>
          <w:szCs w:val="22"/>
        </w:rPr>
      </w:pPr>
    </w:p>
    <w:p w14:paraId="32EEC504" w14:textId="77777777" w:rsidR="0030267D" w:rsidRDefault="0030267D" w:rsidP="00A04D10">
      <w:pPr>
        <w:pStyle w:val="Ttulo"/>
        <w:jc w:val="center"/>
        <w:outlineLvl w:val="9"/>
        <w:rPr>
          <w:rFonts w:asciiTheme="minorHAnsi" w:hAnsiTheme="minorHAnsi" w:cstheme="minorHAnsi"/>
          <w:color w:val="1F4E79"/>
          <w:sz w:val="28"/>
          <w:szCs w:val="22"/>
        </w:rPr>
      </w:pPr>
    </w:p>
    <w:p w14:paraId="0D08F8E8" w14:textId="77777777" w:rsidR="0030267D" w:rsidRDefault="0030267D" w:rsidP="00A04D10">
      <w:pPr>
        <w:pStyle w:val="Ttulo"/>
        <w:jc w:val="center"/>
        <w:outlineLvl w:val="9"/>
        <w:rPr>
          <w:rFonts w:asciiTheme="minorHAnsi" w:hAnsiTheme="minorHAnsi" w:cstheme="minorHAnsi"/>
          <w:color w:val="1F4E79"/>
          <w:sz w:val="28"/>
          <w:szCs w:val="22"/>
        </w:rPr>
      </w:pPr>
    </w:p>
    <w:p w14:paraId="2C419694" w14:textId="43653180" w:rsidR="0030267D" w:rsidRDefault="00D13215" w:rsidP="0030267D">
      <w:pPr>
        <w:pStyle w:val="Ttulo"/>
        <w:jc w:val="center"/>
        <w:rPr>
          <w:rFonts w:asciiTheme="minorHAnsi" w:hAnsiTheme="minorHAnsi" w:cstheme="minorHAnsi"/>
          <w:color w:val="1F4E79"/>
          <w:sz w:val="28"/>
          <w:szCs w:val="22"/>
          <w:lang w:val="pt-PT"/>
        </w:rPr>
      </w:pPr>
      <w:bookmarkStart w:id="69" w:name="_Toc221618473"/>
      <w:r>
        <w:rPr>
          <w:rFonts w:asciiTheme="minorHAnsi" w:hAnsiTheme="minorHAnsi" w:cstheme="minorHAnsi"/>
          <w:color w:val="1F4E79"/>
          <w:sz w:val="28"/>
          <w:szCs w:val="22"/>
          <w:lang w:val="pt-PT"/>
        </w:rPr>
        <w:t>7</w:t>
      </w:r>
      <w:r w:rsidR="0030267D" w:rsidRPr="005969EA">
        <w:rPr>
          <w:rFonts w:asciiTheme="minorHAnsi" w:hAnsiTheme="minorHAnsi" w:cstheme="minorHAnsi"/>
          <w:color w:val="1F4E79"/>
          <w:sz w:val="28"/>
          <w:szCs w:val="22"/>
          <w:lang w:val="pt-PT"/>
        </w:rPr>
        <w:t>. CERTIFICAÇÕES</w:t>
      </w:r>
      <w:bookmarkEnd w:id="69"/>
    </w:p>
    <w:p w14:paraId="6B3A6B61" w14:textId="77777777" w:rsidR="0030267D" w:rsidRDefault="0030267D">
      <w:pPr>
        <w:rPr>
          <w:rFonts w:asciiTheme="minorHAnsi" w:hAnsiTheme="minorHAnsi" w:cstheme="minorHAnsi"/>
          <w:b/>
          <w:bCs/>
          <w:color w:val="1F4E79"/>
          <w:kern w:val="28"/>
          <w:sz w:val="28"/>
          <w:szCs w:val="22"/>
          <w:lang w:eastAsia="en-US"/>
        </w:rPr>
      </w:pPr>
    </w:p>
    <w:sectPr w:rsidR="0030267D" w:rsidSect="006866A9">
      <w:headerReference w:type="default" r:id="rId105"/>
      <w:pgSz w:w="11906" w:h="16838" w:code="9"/>
      <w:pgMar w:top="1418" w:right="1841" w:bottom="1418" w:left="1701" w:header="794" w:footer="794" w:gutter="0"/>
      <w:pgBorders w:offsetFrom="page">
        <w:left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C7B9E" w14:textId="77777777" w:rsidR="00676E50" w:rsidRDefault="00676E50">
      <w:r>
        <w:separator/>
      </w:r>
    </w:p>
  </w:endnote>
  <w:endnote w:type="continuationSeparator" w:id="0">
    <w:p w14:paraId="6003EBD4" w14:textId="77777777" w:rsidR="00676E50" w:rsidRDefault="0067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Light">
    <w:altName w:val="Calibri"/>
    <w:charset w:val="00"/>
    <w:family w:val="auto"/>
    <w:pitch w:val="variable"/>
    <w:sig w:usb0="20000007" w:usb1="00000001" w:usb2="00000000" w:usb3="00000000" w:csb0="00000193"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AA64" w14:textId="77777777" w:rsidR="00BD1846" w:rsidRPr="005969EA" w:rsidRDefault="00BD1846" w:rsidP="001F4430">
    <w:pPr>
      <w:pStyle w:val="Rodap"/>
      <w:jc w:val="center"/>
      <w:rPr>
        <w:rFonts w:asciiTheme="minorHAnsi" w:hAnsiTheme="minorHAnsi" w:cstheme="minorHAnsi"/>
        <w:color w:val="2E74B5" w:themeColor="accent1" w:themeShade="BF"/>
        <w:sz w:val="11"/>
        <w:szCs w:val="11"/>
      </w:rPr>
    </w:pPr>
  </w:p>
  <w:p w14:paraId="12F7EFDC" w14:textId="77777777" w:rsidR="00BD1846" w:rsidRDefault="00BD1846" w:rsidP="00ED5163">
    <w:pPr>
      <w:pStyle w:val="Rodap"/>
      <w:pBdr>
        <w:top w:val="single" w:sz="2" w:space="1" w:color="44546A" w:themeColor="text2"/>
      </w:pBdr>
      <w:jc w:val="center"/>
      <w:rPr>
        <w:rFonts w:asciiTheme="minorHAnsi" w:hAnsiTheme="minorHAnsi" w:cstheme="minorHAnsi"/>
        <w:color w:val="1F497D"/>
        <w:sz w:val="11"/>
        <w:szCs w:val="11"/>
      </w:rPr>
    </w:pPr>
    <w:r w:rsidRPr="004A323E">
      <w:rPr>
        <w:rFonts w:asciiTheme="minorHAnsi" w:hAnsiTheme="minorHAnsi" w:cstheme="minorHAnsi"/>
        <w:color w:val="1F497D"/>
        <w:sz w:val="11"/>
        <w:szCs w:val="11"/>
      </w:rPr>
      <w:t xml:space="preserve">PARVALOREM, S.A. ● Sede: </w:t>
    </w:r>
    <w:r>
      <w:rPr>
        <w:rFonts w:asciiTheme="minorHAnsi" w:hAnsiTheme="minorHAnsi" w:cstheme="minorHAnsi"/>
        <w:color w:val="1F497D"/>
        <w:sz w:val="11"/>
        <w:szCs w:val="11"/>
      </w:rPr>
      <w:t xml:space="preserve">Edifício </w:t>
    </w:r>
    <w:proofErr w:type="spellStart"/>
    <w:r>
      <w:rPr>
        <w:rFonts w:asciiTheme="minorHAnsi" w:hAnsiTheme="minorHAnsi" w:cstheme="minorHAnsi"/>
        <w:color w:val="1F497D"/>
        <w:sz w:val="11"/>
        <w:szCs w:val="11"/>
      </w:rPr>
      <w:t>Arquiparque</w:t>
    </w:r>
    <w:proofErr w:type="spellEnd"/>
    <w:r w:rsidRPr="004A323E">
      <w:rPr>
        <w:rFonts w:asciiTheme="minorHAnsi" w:hAnsiTheme="minorHAnsi" w:cstheme="minorHAnsi"/>
        <w:color w:val="1F497D"/>
        <w:sz w:val="11"/>
        <w:szCs w:val="11"/>
      </w:rPr>
      <w:t xml:space="preserve"> </w:t>
    </w:r>
    <w:r>
      <w:rPr>
        <w:rFonts w:asciiTheme="minorHAnsi" w:hAnsiTheme="minorHAnsi" w:cstheme="minorHAnsi"/>
        <w:color w:val="1F497D"/>
        <w:sz w:val="11"/>
        <w:szCs w:val="11"/>
      </w:rPr>
      <w:t>7</w:t>
    </w:r>
    <w:r w:rsidRPr="004A323E">
      <w:rPr>
        <w:rFonts w:asciiTheme="minorHAnsi" w:hAnsiTheme="minorHAnsi" w:cstheme="minorHAnsi"/>
        <w:color w:val="1F497D"/>
        <w:sz w:val="11"/>
        <w:szCs w:val="11"/>
      </w:rPr>
      <w:t xml:space="preserve"> – </w:t>
    </w:r>
    <w:r>
      <w:rPr>
        <w:rFonts w:asciiTheme="minorHAnsi" w:hAnsiTheme="minorHAnsi" w:cstheme="minorHAnsi"/>
        <w:color w:val="1F497D"/>
        <w:sz w:val="11"/>
        <w:szCs w:val="11"/>
      </w:rPr>
      <w:t>Rua Dr. António Loureiro Borges, nº 7 - 6</w:t>
    </w:r>
    <w:r w:rsidRPr="004A323E">
      <w:rPr>
        <w:rFonts w:asciiTheme="minorHAnsi" w:hAnsiTheme="minorHAnsi" w:cstheme="minorHAnsi"/>
        <w:color w:val="1F497D"/>
        <w:sz w:val="11"/>
        <w:szCs w:val="11"/>
      </w:rPr>
      <w:t>º Piso,</w:t>
    </w:r>
    <w:r>
      <w:rPr>
        <w:rFonts w:asciiTheme="minorHAnsi" w:hAnsiTheme="minorHAnsi" w:cstheme="minorHAnsi"/>
        <w:color w:val="1F497D"/>
        <w:sz w:val="11"/>
        <w:szCs w:val="11"/>
      </w:rPr>
      <w:t xml:space="preserve"> Miraflores</w:t>
    </w:r>
    <w:r w:rsidRPr="004A323E">
      <w:rPr>
        <w:rFonts w:asciiTheme="minorHAnsi" w:hAnsiTheme="minorHAnsi" w:cstheme="minorHAnsi"/>
        <w:color w:val="1F497D"/>
        <w:sz w:val="11"/>
        <w:szCs w:val="11"/>
      </w:rPr>
      <w:t xml:space="preserve"> – 1</w:t>
    </w:r>
    <w:r>
      <w:rPr>
        <w:rFonts w:asciiTheme="minorHAnsi" w:hAnsiTheme="minorHAnsi" w:cstheme="minorHAnsi"/>
        <w:color w:val="1F497D"/>
        <w:sz w:val="11"/>
        <w:szCs w:val="11"/>
      </w:rPr>
      <w:t>495</w:t>
    </w:r>
    <w:r w:rsidRPr="004A323E">
      <w:rPr>
        <w:rFonts w:asciiTheme="minorHAnsi" w:hAnsiTheme="minorHAnsi" w:cstheme="minorHAnsi"/>
        <w:color w:val="1F497D"/>
        <w:sz w:val="11"/>
        <w:szCs w:val="11"/>
      </w:rPr>
      <w:t>-1</w:t>
    </w:r>
    <w:r>
      <w:rPr>
        <w:rFonts w:asciiTheme="minorHAnsi" w:hAnsiTheme="minorHAnsi" w:cstheme="minorHAnsi"/>
        <w:color w:val="1F497D"/>
        <w:sz w:val="11"/>
        <w:szCs w:val="11"/>
      </w:rPr>
      <w:t>31</w:t>
    </w:r>
    <w:r w:rsidRPr="004A323E">
      <w:rPr>
        <w:rFonts w:asciiTheme="minorHAnsi" w:hAnsiTheme="minorHAnsi" w:cstheme="minorHAnsi"/>
        <w:color w:val="1F497D"/>
        <w:sz w:val="11"/>
        <w:szCs w:val="11"/>
      </w:rPr>
      <w:t xml:space="preserve"> </w:t>
    </w:r>
    <w:r>
      <w:rPr>
        <w:rFonts w:asciiTheme="minorHAnsi" w:hAnsiTheme="minorHAnsi" w:cstheme="minorHAnsi"/>
        <w:color w:val="1F497D"/>
        <w:sz w:val="11"/>
        <w:szCs w:val="11"/>
      </w:rPr>
      <w:t>Algés</w:t>
    </w:r>
    <w:r w:rsidRPr="004A323E" w:rsidDel="00593E01">
      <w:rPr>
        <w:rFonts w:asciiTheme="minorHAnsi" w:hAnsiTheme="minorHAnsi" w:cstheme="minorHAnsi"/>
        <w:color w:val="1F497D"/>
        <w:sz w:val="11"/>
        <w:szCs w:val="11"/>
      </w:rPr>
      <w:t xml:space="preserve"> </w:t>
    </w:r>
    <w:r w:rsidRPr="004A323E">
      <w:rPr>
        <w:rFonts w:asciiTheme="minorHAnsi" w:hAnsiTheme="minorHAnsi" w:cstheme="minorHAnsi"/>
        <w:color w:val="1F497D"/>
        <w:sz w:val="11"/>
        <w:szCs w:val="11"/>
      </w:rPr>
      <w:t xml:space="preserve">● Capital Social: €50.000,00 </w:t>
    </w:r>
  </w:p>
  <w:p w14:paraId="4CB9739C" w14:textId="252F9F3A" w:rsidR="00BD1846" w:rsidRPr="004A323E" w:rsidRDefault="00BD1846" w:rsidP="00ED5163">
    <w:pPr>
      <w:pStyle w:val="Rodap"/>
      <w:pBdr>
        <w:top w:val="single" w:sz="2" w:space="1" w:color="44546A" w:themeColor="text2"/>
      </w:pBdr>
      <w:jc w:val="center"/>
      <w:rPr>
        <w:rFonts w:asciiTheme="minorHAnsi" w:hAnsiTheme="minorHAnsi" w:cstheme="minorHAnsi"/>
        <w:color w:val="1F497D"/>
        <w:sz w:val="11"/>
        <w:szCs w:val="11"/>
      </w:rPr>
    </w:pPr>
    <w:r w:rsidRPr="004A323E">
      <w:rPr>
        <w:rFonts w:asciiTheme="minorHAnsi" w:hAnsiTheme="minorHAnsi" w:cstheme="minorHAnsi"/>
        <w:color w:val="1F497D"/>
        <w:sz w:val="11"/>
        <w:szCs w:val="11"/>
      </w:rPr>
      <w:t xml:space="preserve"> Capital Próprio</w:t>
    </w:r>
    <w:r w:rsidRPr="00B22736">
      <w:rPr>
        <w:rFonts w:asciiTheme="minorHAnsi" w:hAnsiTheme="minorHAnsi" w:cstheme="minorHAnsi"/>
        <w:color w:val="1F497D"/>
        <w:sz w:val="11"/>
        <w:szCs w:val="11"/>
      </w:rPr>
      <w:t>: (€</w:t>
    </w:r>
    <w:r w:rsidR="009459BC">
      <w:rPr>
        <w:rFonts w:asciiTheme="minorHAnsi" w:hAnsiTheme="minorHAnsi" w:cstheme="minorHAnsi"/>
        <w:color w:val="1F497D"/>
        <w:sz w:val="11"/>
        <w:szCs w:val="11"/>
      </w:rPr>
      <w:t>4.</w:t>
    </w:r>
    <w:r w:rsidR="00806C7A">
      <w:rPr>
        <w:rFonts w:asciiTheme="minorHAnsi" w:hAnsiTheme="minorHAnsi" w:cstheme="minorHAnsi"/>
        <w:color w:val="1F497D"/>
        <w:sz w:val="11"/>
        <w:szCs w:val="11"/>
      </w:rPr>
      <w:t>86</w:t>
    </w:r>
    <w:r w:rsidR="00116455">
      <w:rPr>
        <w:rFonts w:asciiTheme="minorHAnsi" w:hAnsiTheme="minorHAnsi" w:cstheme="minorHAnsi"/>
        <w:color w:val="1F497D"/>
        <w:sz w:val="11"/>
        <w:szCs w:val="11"/>
      </w:rPr>
      <w:t>9</w:t>
    </w:r>
    <w:r w:rsidR="009459BC">
      <w:rPr>
        <w:rFonts w:asciiTheme="minorHAnsi" w:hAnsiTheme="minorHAnsi" w:cstheme="minorHAnsi"/>
        <w:color w:val="1F497D"/>
        <w:sz w:val="11"/>
        <w:szCs w:val="11"/>
      </w:rPr>
      <w:t>.</w:t>
    </w:r>
    <w:r w:rsidR="00806C7A">
      <w:rPr>
        <w:rFonts w:asciiTheme="minorHAnsi" w:hAnsiTheme="minorHAnsi" w:cstheme="minorHAnsi"/>
        <w:color w:val="1F497D"/>
        <w:sz w:val="11"/>
        <w:szCs w:val="11"/>
      </w:rPr>
      <w:t>489</w:t>
    </w:r>
    <w:r w:rsidR="009459BC">
      <w:rPr>
        <w:rFonts w:asciiTheme="minorHAnsi" w:hAnsiTheme="minorHAnsi" w:cstheme="minorHAnsi"/>
        <w:color w:val="1F497D"/>
        <w:sz w:val="11"/>
        <w:szCs w:val="11"/>
      </w:rPr>
      <w:t>.</w:t>
    </w:r>
    <w:r w:rsidR="00806C7A">
      <w:rPr>
        <w:rFonts w:asciiTheme="minorHAnsi" w:hAnsiTheme="minorHAnsi" w:cstheme="minorHAnsi"/>
        <w:color w:val="1F497D"/>
        <w:sz w:val="11"/>
        <w:szCs w:val="11"/>
      </w:rPr>
      <w:t>6</w:t>
    </w:r>
    <w:r w:rsidR="00116455">
      <w:rPr>
        <w:rFonts w:asciiTheme="minorHAnsi" w:hAnsiTheme="minorHAnsi" w:cstheme="minorHAnsi"/>
        <w:color w:val="1F497D"/>
        <w:sz w:val="11"/>
        <w:szCs w:val="11"/>
      </w:rPr>
      <w:t>51</w:t>
    </w:r>
    <w:r w:rsidRPr="00B22736">
      <w:rPr>
        <w:rFonts w:asciiTheme="minorHAnsi" w:hAnsiTheme="minorHAnsi" w:cstheme="minorHAnsi"/>
        <w:color w:val="1F497D"/>
        <w:sz w:val="11"/>
        <w:szCs w:val="11"/>
      </w:rPr>
      <w:t>,</w:t>
    </w:r>
    <w:r w:rsidR="00806C7A">
      <w:rPr>
        <w:rFonts w:asciiTheme="minorHAnsi" w:hAnsiTheme="minorHAnsi" w:cstheme="minorHAnsi"/>
        <w:color w:val="1F497D"/>
        <w:sz w:val="11"/>
        <w:szCs w:val="11"/>
      </w:rPr>
      <w:t>68</w:t>
    </w:r>
    <w:r w:rsidRPr="00B22736">
      <w:rPr>
        <w:rFonts w:asciiTheme="minorHAnsi" w:hAnsiTheme="minorHAnsi" w:cstheme="minorHAnsi"/>
        <w:color w:val="1F497D"/>
        <w:sz w:val="11"/>
        <w:szCs w:val="11"/>
      </w:rPr>
      <w:t xml:space="preserve">) </w:t>
    </w:r>
    <w:r>
      <w:rPr>
        <w:rFonts w:asciiTheme="minorHAnsi" w:hAnsiTheme="minorHAnsi" w:cstheme="minorHAnsi"/>
        <w:color w:val="1F497D"/>
        <w:sz w:val="11"/>
        <w:szCs w:val="11"/>
      </w:rPr>
      <w:t>● Matriculada</w:t>
    </w:r>
    <w:r w:rsidRPr="004A323E">
      <w:rPr>
        <w:rFonts w:asciiTheme="minorHAnsi" w:hAnsiTheme="minorHAnsi" w:cstheme="minorHAnsi"/>
        <w:color w:val="1F497D"/>
        <w:sz w:val="11"/>
        <w:szCs w:val="11"/>
      </w:rPr>
      <w:t xml:space="preserve"> na Conservatória do Registo Comercial de Lisboa com o número único de matrícula e pessoa coletiva 509 522</w:t>
    </w:r>
    <w:r>
      <w:rPr>
        <w:rFonts w:asciiTheme="minorHAnsi" w:hAnsiTheme="minorHAnsi" w:cstheme="minorHAnsi"/>
        <w:color w:val="1F497D"/>
        <w:sz w:val="11"/>
        <w:szCs w:val="11"/>
      </w:rPr>
      <w:t> </w:t>
    </w:r>
    <w:r w:rsidRPr="004A323E">
      <w:rPr>
        <w:rFonts w:asciiTheme="minorHAnsi" w:hAnsiTheme="minorHAnsi" w:cstheme="minorHAnsi"/>
        <w:color w:val="1F497D"/>
        <w:sz w:val="11"/>
        <w:szCs w:val="11"/>
      </w:rPr>
      <w:t>491</w:t>
    </w:r>
  </w:p>
  <w:p w14:paraId="1139A9A6" w14:textId="1AFF5D91" w:rsidR="00BD1846" w:rsidRPr="001F4430" w:rsidRDefault="00BD1846" w:rsidP="00B162F1">
    <w:pPr>
      <w:pStyle w:val="Rodap"/>
      <w:jc w:val="right"/>
      <w:rPr>
        <w:rFonts w:asciiTheme="minorHAnsi" w:hAnsiTheme="minorHAnsi" w:cstheme="minorHAnsi"/>
        <w:noProof/>
        <w:color w:val="1F497D"/>
        <w:sz w:val="16"/>
        <w:szCs w:val="11"/>
      </w:rPr>
    </w:pPr>
    <w:r w:rsidRPr="001F4430">
      <w:rPr>
        <w:rFonts w:asciiTheme="minorHAnsi" w:hAnsiTheme="minorHAnsi" w:cstheme="minorHAnsi"/>
        <w:noProof/>
        <w:color w:val="1F497D"/>
        <w:sz w:val="16"/>
        <w:szCs w:val="11"/>
      </w:rPr>
      <w:fldChar w:fldCharType="begin"/>
    </w:r>
    <w:r w:rsidRPr="001F4430">
      <w:rPr>
        <w:rFonts w:asciiTheme="minorHAnsi" w:hAnsiTheme="minorHAnsi" w:cstheme="minorHAnsi"/>
        <w:noProof/>
        <w:color w:val="1F497D"/>
        <w:sz w:val="16"/>
        <w:szCs w:val="11"/>
      </w:rPr>
      <w:instrText xml:space="preserve"> PAGE </w:instrText>
    </w:r>
    <w:r w:rsidRPr="001F4430">
      <w:rPr>
        <w:rFonts w:asciiTheme="minorHAnsi" w:hAnsiTheme="minorHAnsi" w:cstheme="minorHAnsi"/>
        <w:noProof/>
        <w:color w:val="1F497D"/>
        <w:sz w:val="16"/>
        <w:szCs w:val="11"/>
      </w:rPr>
      <w:fldChar w:fldCharType="separate"/>
    </w:r>
    <w:r>
      <w:rPr>
        <w:rFonts w:asciiTheme="minorHAnsi" w:hAnsiTheme="minorHAnsi" w:cstheme="minorHAnsi"/>
        <w:noProof/>
        <w:color w:val="1F497D"/>
        <w:sz w:val="16"/>
        <w:szCs w:val="11"/>
      </w:rPr>
      <w:t>29</w:t>
    </w:r>
    <w:r w:rsidRPr="001F4430">
      <w:rPr>
        <w:rFonts w:asciiTheme="minorHAnsi" w:hAnsiTheme="minorHAnsi" w:cstheme="minorHAnsi"/>
        <w:noProof/>
        <w:color w:val="1F497D"/>
        <w:sz w:val="16"/>
        <w:szCs w:val="1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C37C5" w14:textId="77777777" w:rsidR="00676E50" w:rsidRDefault="00676E50">
      <w:r>
        <w:separator/>
      </w:r>
    </w:p>
  </w:footnote>
  <w:footnote w:type="continuationSeparator" w:id="0">
    <w:p w14:paraId="6C6D7079" w14:textId="77777777" w:rsidR="00676E50" w:rsidRDefault="0067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C7BF" w14:textId="77777777" w:rsidR="00BD1846" w:rsidRPr="00742949" w:rsidRDefault="00BD1846" w:rsidP="00F57DE7">
    <w:pPr>
      <w:pStyle w:val="Cabealho"/>
      <w:pBdr>
        <w:bottom w:val="single" w:sz="4" w:space="1" w:color="1F497D"/>
      </w:pBdr>
      <w:rPr>
        <w:rFonts w:asciiTheme="minorHAnsi" w:hAnsiTheme="minorHAnsi" w:cstheme="minorHAnsi"/>
        <w:b/>
        <w:color w:val="1F497D"/>
      </w:rPr>
    </w:pPr>
    <w:r w:rsidRPr="00742949">
      <w:rPr>
        <w:rFonts w:asciiTheme="minorHAnsi" w:hAnsiTheme="minorHAnsi" w:cstheme="minorHAnsi"/>
        <w:b/>
        <w:color w:val="1F497D"/>
      </w:rPr>
      <w:t>PARVALOREM, S.A.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3544" w14:textId="77777777" w:rsidR="00BD1846" w:rsidRDefault="00BD1846">
    <w:pPr>
      <w:pStyle w:val="Cabealho"/>
    </w:pPr>
    <w:r>
      <w:rPr>
        <w:noProof/>
        <w:lang w:val="en-US" w:eastAsia="en-US"/>
      </w:rPr>
      <w:drawing>
        <wp:anchor distT="0" distB="0" distL="114300" distR="114300" simplePos="0" relativeHeight="251658240" behindDoc="1" locked="0" layoutInCell="1" allowOverlap="1" wp14:anchorId="4C2B7ABF" wp14:editId="3B10C9F4">
          <wp:simplePos x="0" y="0"/>
          <wp:positionH relativeFrom="column">
            <wp:posOffset>114300</wp:posOffset>
          </wp:positionH>
          <wp:positionV relativeFrom="paragraph">
            <wp:posOffset>-6985</wp:posOffset>
          </wp:positionV>
          <wp:extent cx="2971800" cy="688340"/>
          <wp:effectExtent l="0" t="0" r="0" b="0"/>
          <wp:wrapNone/>
          <wp:docPr id="852347419" name="Imagem 852347419" descr="Logo-parvalor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parvalor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6883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DBDC" w14:textId="77777777" w:rsidR="00BD1846" w:rsidRPr="00742949" w:rsidRDefault="00BD1846" w:rsidP="00F57DE7">
    <w:pPr>
      <w:pStyle w:val="Cabealho"/>
      <w:pBdr>
        <w:bottom w:val="single" w:sz="4" w:space="1" w:color="1F497D"/>
      </w:pBdr>
      <w:rPr>
        <w:rFonts w:asciiTheme="minorHAnsi" w:hAnsiTheme="minorHAnsi" w:cstheme="minorHAnsi"/>
        <w:b/>
        <w:color w:val="1F497D"/>
      </w:rPr>
    </w:pPr>
    <w:r w:rsidRPr="00742949">
      <w:rPr>
        <w:rFonts w:asciiTheme="minorHAnsi" w:hAnsiTheme="minorHAnsi" w:cstheme="minorHAnsi"/>
        <w:b/>
        <w:color w:val="1F497D"/>
      </w:rPr>
      <w:t>PARVALOREM, S.A.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A2C1" w14:textId="77777777" w:rsidR="00BD1846" w:rsidRPr="00742949" w:rsidRDefault="00BD1846" w:rsidP="00F57DE7">
    <w:pPr>
      <w:pStyle w:val="Cabealho"/>
      <w:pBdr>
        <w:bottom w:val="single" w:sz="4" w:space="1" w:color="1F497D"/>
      </w:pBdr>
      <w:rPr>
        <w:rFonts w:asciiTheme="minorHAnsi" w:hAnsiTheme="minorHAnsi" w:cstheme="minorHAnsi"/>
        <w:b/>
        <w:color w:val="1F497D"/>
      </w:rPr>
    </w:pPr>
    <w:r w:rsidRPr="00742949">
      <w:rPr>
        <w:rFonts w:asciiTheme="minorHAnsi" w:hAnsiTheme="minorHAnsi" w:cstheme="minorHAnsi"/>
        <w:b/>
        <w:color w:val="1F497D"/>
      </w:rPr>
      <w:t>PARVALOREM,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47B"/>
    <w:multiLevelType w:val="hybridMultilevel"/>
    <w:tmpl w:val="452285A0"/>
    <w:lvl w:ilvl="0" w:tplc="08160001">
      <w:start w:val="1"/>
      <w:numFmt w:val="bullet"/>
      <w:lvlText w:val=""/>
      <w:lvlJc w:val="left"/>
      <w:pPr>
        <w:ind w:left="2138" w:hanging="360"/>
      </w:pPr>
      <w:rPr>
        <w:rFonts w:ascii="Symbol" w:hAnsi="Symbol" w:hint="default"/>
      </w:rPr>
    </w:lvl>
    <w:lvl w:ilvl="1" w:tplc="08160003">
      <w:start w:val="1"/>
      <w:numFmt w:val="bullet"/>
      <w:lvlText w:val="o"/>
      <w:lvlJc w:val="left"/>
      <w:pPr>
        <w:ind w:left="2858" w:hanging="360"/>
      </w:pPr>
      <w:rPr>
        <w:rFonts w:ascii="Courier New" w:hAnsi="Courier New" w:cs="Courier New" w:hint="default"/>
      </w:rPr>
    </w:lvl>
    <w:lvl w:ilvl="2" w:tplc="08160005" w:tentative="1">
      <w:start w:val="1"/>
      <w:numFmt w:val="bullet"/>
      <w:lvlText w:val=""/>
      <w:lvlJc w:val="left"/>
      <w:pPr>
        <w:ind w:left="3578" w:hanging="360"/>
      </w:pPr>
      <w:rPr>
        <w:rFonts w:ascii="Wingdings" w:hAnsi="Wingdings" w:hint="default"/>
      </w:rPr>
    </w:lvl>
    <w:lvl w:ilvl="3" w:tplc="08160001" w:tentative="1">
      <w:start w:val="1"/>
      <w:numFmt w:val="bullet"/>
      <w:lvlText w:val=""/>
      <w:lvlJc w:val="left"/>
      <w:pPr>
        <w:ind w:left="4298" w:hanging="360"/>
      </w:pPr>
      <w:rPr>
        <w:rFonts w:ascii="Symbol" w:hAnsi="Symbol" w:hint="default"/>
      </w:rPr>
    </w:lvl>
    <w:lvl w:ilvl="4" w:tplc="08160003" w:tentative="1">
      <w:start w:val="1"/>
      <w:numFmt w:val="bullet"/>
      <w:lvlText w:val="o"/>
      <w:lvlJc w:val="left"/>
      <w:pPr>
        <w:ind w:left="5018" w:hanging="360"/>
      </w:pPr>
      <w:rPr>
        <w:rFonts w:ascii="Courier New" w:hAnsi="Courier New" w:cs="Courier New" w:hint="default"/>
      </w:rPr>
    </w:lvl>
    <w:lvl w:ilvl="5" w:tplc="08160005" w:tentative="1">
      <w:start w:val="1"/>
      <w:numFmt w:val="bullet"/>
      <w:lvlText w:val=""/>
      <w:lvlJc w:val="left"/>
      <w:pPr>
        <w:ind w:left="5738" w:hanging="360"/>
      </w:pPr>
      <w:rPr>
        <w:rFonts w:ascii="Wingdings" w:hAnsi="Wingdings" w:hint="default"/>
      </w:rPr>
    </w:lvl>
    <w:lvl w:ilvl="6" w:tplc="08160001" w:tentative="1">
      <w:start w:val="1"/>
      <w:numFmt w:val="bullet"/>
      <w:lvlText w:val=""/>
      <w:lvlJc w:val="left"/>
      <w:pPr>
        <w:ind w:left="6458" w:hanging="360"/>
      </w:pPr>
      <w:rPr>
        <w:rFonts w:ascii="Symbol" w:hAnsi="Symbol" w:hint="default"/>
      </w:rPr>
    </w:lvl>
    <w:lvl w:ilvl="7" w:tplc="08160003" w:tentative="1">
      <w:start w:val="1"/>
      <w:numFmt w:val="bullet"/>
      <w:lvlText w:val="o"/>
      <w:lvlJc w:val="left"/>
      <w:pPr>
        <w:ind w:left="7178" w:hanging="360"/>
      </w:pPr>
      <w:rPr>
        <w:rFonts w:ascii="Courier New" w:hAnsi="Courier New" w:cs="Courier New" w:hint="default"/>
      </w:rPr>
    </w:lvl>
    <w:lvl w:ilvl="8" w:tplc="08160005" w:tentative="1">
      <w:start w:val="1"/>
      <w:numFmt w:val="bullet"/>
      <w:lvlText w:val=""/>
      <w:lvlJc w:val="left"/>
      <w:pPr>
        <w:ind w:left="7898" w:hanging="360"/>
      </w:pPr>
      <w:rPr>
        <w:rFonts w:ascii="Wingdings" w:hAnsi="Wingdings" w:hint="default"/>
      </w:rPr>
    </w:lvl>
  </w:abstractNum>
  <w:abstractNum w:abstractNumId="1" w15:restartNumberingAfterBreak="0">
    <w:nsid w:val="0508289E"/>
    <w:multiLevelType w:val="hybridMultilevel"/>
    <w:tmpl w:val="53B4BB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B635A6"/>
    <w:multiLevelType w:val="hybridMultilevel"/>
    <w:tmpl w:val="9E164AB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8B35FC2"/>
    <w:multiLevelType w:val="multilevel"/>
    <w:tmpl w:val="A39C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911756"/>
    <w:multiLevelType w:val="hybridMultilevel"/>
    <w:tmpl w:val="1DEAF192"/>
    <w:lvl w:ilvl="0" w:tplc="FFFFFFFF">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5" w15:restartNumberingAfterBreak="0">
    <w:nsid w:val="0B241F88"/>
    <w:multiLevelType w:val="multilevel"/>
    <w:tmpl w:val="D9042AC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6" w15:restartNumberingAfterBreak="0">
    <w:nsid w:val="0C7F1EAB"/>
    <w:multiLevelType w:val="hybridMultilevel"/>
    <w:tmpl w:val="4E22E7F8"/>
    <w:lvl w:ilvl="0" w:tplc="670CA706">
      <w:start w:val="1"/>
      <w:numFmt w:val="lowerRoman"/>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2DD6B4C"/>
    <w:multiLevelType w:val="hybridMultilevel"/>
    <w:tmpl w:val="1BE231C8"/>
    <w:lvl w:ilvl="0" w:tplc="7B18DA1C">
      <w:start w:val="1"/>
      <w:numFmt w:val="lowerLetter"/>
      <w:lvlText w:val="%1)"/>
      <w:lvlJc w:val="left"/>
      <w:pPr>
        <w:ind w:left="1353" w:hanging="360"/>
      </w:pPr>
      <w:rPr>
        <w:rFonts w:hint="default"/>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8" w15:restartNumberingAfterBreak="0">
    <w:nsid w:val="167D5DA9"/>
    <w:multiLevelType w:val="hybridMultilevel"/>
    <w:tmpl w:val="D1CC353E"/>
    <w:lvl w:ilvl="0" w:tplc="08160001">
      <w:start w:val="1"/>
      <w:numFmt w:val="bullet"/>
      <w:lvlText w:val=""/>
      <w:lvlJc w:val="left"/>
      <w:pPr>
        <w:ind w:left="178" w:hanging="360"/>
      </w:pPr>
      <w:rPr>
        <w:rFonts w:ascii="Symbol" w:hAnsi="Symbol" w:hint="default"/>
      </w:rPr>
    </w:lvl>
    <w:lvl w:ilvl="1" w:tplc="08160003" w:tentative="1">
      <w:start w:val="1"/>
      <w:numFmt w:val="bullet"/>
      <w:lvlText w:val="o"/>
      <w:lvlJc w:val="left"/>
      <w:pPr>
        <w:ind w:left="898" w:hanging="360"/>
      </w:pPr>
      <w:rPr>
        <w:rFonts w:ascii="Courier New" w:hAnsi="Courier New" w:cs="Courier New" w:hint="default"/>
      </w:rPr>
    </w:lvl>
    <w:lvl w:ilvl="2" w:tplc="08160005" w:tentative="1">
      <w:start w:val="1"/>
      <w:numFmt w:val="bullet"/>
      <w:lvlText w:val=""/>
      <w:lvlJc w:val="left"/>
      <w:pPr>
        <w:ind w:left="1618" w:hanging="360"/>
      </w:pPr>
      <w:rPr>
        <w:rFonts w:ascii="Wingdings" w:hAnsi="Wingdings" w:hint="default"/>
      </w:rPr>
    </w:lvl>
    <w:lvl w:ilvl="3" w:tplc="08160001" w:tentative="1">
      <w:start w:val="1"/>
      <w:numFmt w:val="bullet"/>
      <w:lvlText w:val=""/>
      <w:lvlJc w:val="left"/>
      <w:pPr>
        <w:ind w:left="2338" w:hanging="360"/>
      </w:pPr>
      <w:rPr>
        <w:rFonts w:ascii="Symbol" w:hAnsi="Symbol" w:hint="default"/>
      </w:rPr>
    </w:lvl>
    <w:lvl w:ilvl="4" w:tplc="08160003" w:tentative="1">
      <w:start w:val="1"/>
      <w:numFmt w:val="bullet"/>
      <w:lvlText w:val="o"/>
      <w:lvlJc w:val="left"/>
      <w:pPr>
        <w:ind w:left="3058" w:hanging="360"/>
      </w:pPr>
      <w:rPr>
        <w:rFonts w:ascii="Courier New" w:hAnsi="Courier New" w:cs="Courier New" w:hint="default"/>
      </w:rPr>
    </w:lvl>
    <w:lvl w:ilvl="5" w:tplc="08160005" w:tentative="1">
      <w:start w:val="1"/>
      <w:numFmt w:val="bullet"/>
      <w:lvlText w:val=""/>
      <w:lvlJc w:val="left"/>
      <w:pPr>
        <w:ind w:left="3778" w:hanging="360"/>
      </w:pPr>
      <w:rPr>
        <w:rFonts w:ascii="Wingdings" w:hAnsi="Wingdings" w:hint="default"/>
      </w:rPr>
    </w:lvl>
    <w:lvl w:ilvl="6" w:tplc="08160001" w:tentative="1">
      <w:start w:val="1"/>
      <w:numFmt w:val="bullet"/>
      <w:lvlText w:val=""/>
      <w:lvlJc w:val="left"/>
      <w:pPr>
        <w:ind w:left="4498" w:hanging="360"/>
      </w:pPr>
      <w:rPr>
        <w:rFonts w:ascii="Symbol" w:hAnsi="Symbol" w:hint="default"/>
      </w:rPr>
    </w:lvl>
    <w:lvl w:ilvl="7" w:tplc="08160003" w:tentative="1">
      <w:start w:val="1"/>
      <w:numFmt w:val="bullet"/>
      <w:lvlText w:val="o"/>
      <w:lvlJc w:val="left"/>
      <w:pPr>
        <w:ind w:left="5218" w:hanging="360"/>
      </w:pPr>
      <w:rPr>
        <w:rFonts w:ascii="Courier New" w:hAnsi="Courier New" w:cs="Courier New" w:hint="default"/>
      </w:rPr>
    </w:lvl>
    <w:lvl w:ilvl="8" w:tplc="08160005" w:tentative="1">
      <w:start w:val="1"/>
      <w:numFmt w:val="bullet"/>
      <w:lvlText w:val=""/>
      <w:lvlJc w:val="left"/>
      <w:pPr>
        <w:ind w:left="5938" w:hanging="360"/>
      </w:pPr>
      <w:rPr>
        <w:rFonts w:ascii="Wingdings" w:hAnsi="Wingdings" w:hint="default"/>
      </w:rPr>
    </w:lvl>
  </w:abstractNum>
  <w:abstractNum w:abstractNumId="9" w15:restartNumberingAfterBreak="0">
    <w:nsid w:val="19E9360D"/>
    <w:multiLevelType w:val="hybridMultilevel"/>
    <w:tmpl w:val="ADD422E0"/>
    <w:lvl w:ilvl="0" w:tplc="08160001">
      <w:start w:val="1"/>
      <w:numFmt w:val="bullet"/>
      <w:lvlText w:val=""/>
      <w:lvlJc w:val="left"/>
      <w:pPr>
        <w:ind w:left="2138" w:hanging="360"/>
      </w:pPr>
      <w:rPr>
        <w:rFonts w:ascii="Symbol" w:hAnsi="Symbol" w:hint="default"/>
      </w:rPr>
    </w:lvl>
    <w:lvl w:ilvl="1" w:tplc="08160003" w:tentative="1">
      <w:start w:val="1"/>
      <w:numFmt w:val="bullet"/>
      <w:lvlText w:val="o"/>
      <w:lvlJc w:val="left"/>
      <w:pPr>
        <w:ind w:left="2858" w:hanging="360"/>
      </w:pPr>
      <w:rPr>
        <w:rFonts w:ascii="Courier New" w:hAnsi="Courier New" w:cs="Courier New" w:hint="default"/>
      </w:rPr>
    </w:lvl>
    <w:lvl w:ilvl="2" w:tplc="08160005" w:tentative="1">
      <w:start w:val="1"/>
      <w:numFmt w:val="bullet"/>
      <w:lvlText w:val=""/>
      <w:lvlJc w:val="left"/>
      <w:pPr>
        <w:ind w:left="3578" w:hanging="360"/>
      </w:pPr>
      <w:rPr>
        <w:rFonts w:ascii="Wingdings" w:hAnsi="Wingdings" w:hint="default"/>
      </w:rPr>
    </w:lvl>
    <w:lvl w:ilvl="3" w:tplc="08160001" w:tentative="1">
      <w:start w:val="1"/>
      <w:numFmt w:val="bullet"/>
      <w:lvlText w:val=""/>
      <w:lvlJc w:val="left"/>
      <w:pPr>
        <w:ind w:left="4298" w:hanging="360"/>
      </w:pPr>
      <w:rPr>
        <w:rFonts w:ascii="Symbol" w:hAnsi="Symbol" w:hint="default"/>
      </w:rPr>
    </w:lvl>
    <w:lvl w:ilvl="4" w:tplc="08160003" w:tentative="1">
      <w:start w:val="1"/>
      <w:numFmt w:val="bullet"/>
      <w:lvlText w:val="o"/>
      <w:lvlJc w:val="left"/>
      <w:pPr>
        <w:ind w:left="5018" w:hanging="360"/>
      </w:pPr>
      <w:rPr>
        <w:rFonts w:ascii="Courier New" w:hAnsi="Courier New" w:cs="Courier New" w:hint="default"/>
      </w:rPr>
    </w:lvl>
    <w:lvl w:ilvl="5" w:tplc="08160005" w:tentative="1">
      <w:start w:val="1"/>
      <w:numFmt w:val="bullet"/>
      <w:lvlText w:val=""/>
      <w:lvlJc w:val="left"/>
      <w:pPr>
        <w:ind w:left="5738" w:hanging="360"/>
      </w:pPr>
      <w:rPr>
        <w:rFonts w:ascii="Wingdings" w:hAnsi="Wingdings" w:hint="default"/>
      </w:rPr>
    </w:lvl>
    <w:lvl w:ilvl="6" w:tplc="08160001" w:tentative="1">
      <w:start w:val="1"/>
      <w:numFmt w:val="bullet"/>
      <w:lvlText w:val=""/>
      <w:lvlJc w:val="left"/>
      <w:pPr>
        <w:ind w:left="6458" w:hanging="360"/>
      </w:pPr>
      <w:rPr>
        <w:rFonts w:ascii="Symbol" w:hAnsi="Symbol" w:hint="default"/>
      </w:rPr>
    </w:lvl>
    <w:lvl w:ilvl="7" w:tplc="08160003" w:tentative="1">
      <w:start w:val="1"/>
      <w:numFmt w:val="bullet"/>
      <w:lvlText w:val="o"/>
      <w:lvlJc w:val="left"/>
      <w:pPr>
        <w:ind w:left="7178" w:hanging="360"/>
      </w:pPr>
      <w:rPr>
        <w:rFonts w:ascii="Courier New" w:hAnsi="Courier New" w:cs="Courier New" w:hint="default"/>
      </w:rPr>
    </w:lvl>
    <w:lvl w:ilvl="8" w:tplc="08160005" w:tentative="1">
      <w:start w:val="1"/>
      <w:numFmt w:val="bullet"/>
      <w:lvlText w:val=""/>
      <w:lvlJc w:val="left"/>
      <w:pPr>
        <w:ind w:left="7898" w:hanging="360"/>
      </w:pPr>
      <w:rPr>
        <w:rFonts w:ascii="Wingdings" w:hAnsi="Wingdings" w:hint="default"/>
      </w:rPr>
    </w:lvl>
  </w:abstractNum>
  <w:abstractNum w:abstractNumId="10" w15:restartNumberingAfterBreak="0">
    <w:nsid w:val="1ED63300"/>
    <w:multiLevelType w:val="hybridMultilevel"/>
    <w:tmpl w:val="4E22E7F8"/>
    <w:lvl w:ilvl="0" w:tplc="FFFFFFFF">
      <w:start w:val="1"/>
      <w:numFmt w:val="lowerRoman"/>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1" w15:restartNumberingAfterBreak="0">
    <w:nsid w:val="1F220F17"/>
    <w:multiLevelType w:val="hybridMultilevel"/>
    <w:tmpl w:val="B3FE9F7C"/>
    <w:lvl w:ilvl="0" w:tplc="08160001">
      <w:start w:val="1"/>
      <w:numFmt w:val="bullet"/>
      <w:lvlText w:val=""/>
      <w:lvlJc w:val="left"/>
      <w:pPr>
        <w:ind w:left="2563" w:hanging="360"/>
      </w:pPr>
      <w:rPr>
        <w:rFonts w:ascii="Symbol" w:hAnsi="Symbol" w:hint="default"/>
      </w:rPr>
    </w:lvl>
    <w:lvl w:ilvl="1" w:tplc="08160003" w:tentative="1">
      <w:start w:val="1"/>
      <w:numFmt w:val="bullet"/>
      <w:lvlText w:val="o"/>
      <w:lvlJc w:val="left"/>
      <w:pPr>
        <w:ind w:left="3283" w:hanging="360"/>
      </w:pPr>
      <w:rPr>
        <w:rFonts w:ascii="Courier New" w:hAnsi="Courier New" w:cs="Courier New" w:hint="default"/>
      </w:rPr>
    </w:lvl>
    <w:lvl w:ilvl="2" w:tplc="08160005" w:tentative="1">
      <w:start w:val="1"/>
      <w:numFmt w:val="bullet"/>
      <w:lvlText w:val=""/>
      <w:lvlJc w:val="left"/>
      <w:pPr>
        <w:ind w:left="4003" w:hanging="360"/>
      </w:pPr>
      <w:rPr>
        <w:rFonts w:ascii="Wingdings" w:hAnsi="Wingdings" w:hint="default"/>
      </w:rPr>
    </w:lvl>
    <w:lvl w:ilvl="3" w:tplc="08160001" w:tentative="1">
      <w:start w:val="1"/>
      <w:numFmt w:val="bullet"/>
      <w:lvlText w:val=""/>
      <w:lvlJc w:val="left"/>
      <w:pPr>
        <w:ind w:left="4723" w:hanging="360"/>
      </w:pPr>
      <w:rPr>
        <w:rFonts w:ascii="Symbol" w:hAnsi="Symbol" w:hint="default"/>
      </w:rPr>
    </w:lvl>
    <w:lvl w:ilvl="4" w:tplc="08160003" w:tentative="1">
      <w:start w:val="1"/>
      <w:numFmt w:val="bullet"/>
      <w:lvlText w:val="o"/>
      <w:lvlJc w:val="left"/>
      <w:pPr>
        <w:ind w:left="5443" w:hanging="360"/>
      </w:pPr>
      <w:rPr>
        <w:rFonts w:ascii="Courier New" w:hAnsi="Courier New" w:cs="Courier New" w:hint="default"/>
      </w:rPr>
    </w:lvl>
    <w:lvl w:ilvl="5" w:tplc="08160005" w:tentative="1">
      <w:start w:val="1"/>
      <w:numFmt w:val="bullet"/>
      <w:lvlText w:val=""/>
      <w:lvlJc w:val="left"/>
      <w:pPr>
        <w:ind w:left="6163" w:hanging="360"/>
      </w:pPr>
      <w:rPr>
        <w:rFonts w:ascii="Wingdings" w:hAnsi="Wingdings" w:hint="default"/>
      </w:rPr>
    </w:lvl>
    <w:lvl w:ilvl="6" w:tplc="08160001" w:tentative="1">
      <w:start w:val="1"/>
      <w:numFmt w:val="bullet"/>
      <w:lvlText w:val=""/>
      <w:lvlJc w:val="left"/>
      <w:pPr>
        <w:ind w:left="6883" w:hanging="360"/>
      </w:pPr>
      <w:rPr>
        <w:rFonts w:ascii="Symbol" w:hAnsi="Symbol" w:hint="default"/>
      </w:rPr>
    </w:lvl>
    <w:lvl w:ilvl="7" w:tplc="08160003" w:tentative="1">
      <w:start w:val="1"/>
      <w:numFmt w:val="bullet"/>
      <w:lvlText w:val="o"/>
      <w:lvlJc w:val="left"/>
      <w:pPr>
        <w:ind w:left="7603" w:hanging="360"/>
      </w:pPr>
      <w:rPr>
        <w:rFonts w:ascii="Courier New" w:hAnsi="Courier New" w:cs="Courier New" w:hint="default"/>
      </w:rPr>
    </w:lvl>
    <w:lvl w:ilvl="8" w:tplc="08160005" w:tentative="1">
      <w:start w:val="1"/>
      <w:numFmt w:val="bullet"/>
      <w:lvlText w:val=""/>
      <w:lvlJc w:val="left"/>
      <w:pPr>
        <w:ind w:left="8323" w:hanging="360"/>
      </w:pPr>
      <w:rPr>
        <w:rFonts w:ascii="Wingdings" w:hAnsi="Wingdings" w:hint="default"/>
      </w:rPr>
    </w:lvl>
  </w:abstractNum>
  <w:abstractNum w:abstractNumId="12" w15:restartNumberingAfterBreak="0">
    <w:nsid w:val="209C26C5"/>
    <w:multiLevelType w:val="hybridMultilevel"/>
    <w:tmpl w:val="901603D6"/>
    <w:lvl w:ilvl="0" w:tplc="08160001">
      <w:start w:val="1"/>
      <w:numFmt w:val="bullet"/>
      <w:lvlText w:val=""/>
      <w:lvlJc w:val="left"/>
      <w:pPr>
        <w:ind w:left="1713" w:hanging="360"/>
      </w:pPr>
      <w:rPr>
        <w:rFonts w:ascii="Symbol" w:hAnsi="Symbol" w:hint="default"/>
      </w:rPr>
    </w:lvl>
    <w:lvl w:ilvl="1" w:tplc="08160003" w:tentative="1">
      <w:start w:val="1"/>
      <w:numFmt w:val="bullet"/>
      <w:lvlText w:val="o"/>
      <w:lvlJc w:val="left"/>
      <w:pPr>
        <w:ind w:left="2433" w:hanging="360"/>
      </w:pPr>
      <w:rPr>
        <w:rFonts w:ascii="Courier New" w:hAnsi="Courier New" w:cs="Courier New" w:hint="default"/>
      </w:rPr>
    </w:lvl>
    <w:lvl w:ilvl="2" w:tplc="08160005" w:tentative="1">
      <w:start w:val="1"/>
      <w:numFmt w:val="bullet"/>
      <w:lvlText w:val=""/>
      <w:lvlJc w:val="left"/>
      <w:pPr>
        <w:ind w:left="3153" w:hanging="360"/>
      </w:pPr>
      <w:rPr>
        <w:rFonts w:ascii="Wingdings" w:hAnsi="Wingdings" w:hint="default"/>
      </w:rPr>
    </w:lvl>
    <w:lvl w:ilvl="3" w:tplc="08160001" w:tentative="1">
      <w:start w:val="1"/>
      <w:numFmt w:val="bullet"/>
      <w:lvlText w:val=""/>
      <w:lvlJc w:val="left"/>
      <w:pPr>
        <w:ind w:left="3873" w:hanging="360"/>
      </w:pPr>
      <w:rPr>
        <w:rFonts w:ascii="Symbol" w:hAnsi="Symbol" w:hint="default"/>
      </w:rPr>
    </w:lvl>
    <w:lvl w:ilvl="4" w:tplc="08160003" w:tentative="1">
      <w:start w:val="1"/>
      <w:numFmt w:val="bullet"/>
      <w:lvlText w:val="o"/>
      <w:lvlJc w:val="left"/>
      <w:pPr>
        <w:ind w:left="4593" w:hanging="360"/>
      </w:pPr>
      <w:rPr>
        <w:rFonts w:ascii="Courier New" w:hAnsi="Courier New" w:cs="Courier New" w:hint="default"/>
      </w:rPr>
    </w:lvl>
    <w:lvl w:ilvl="5" w:tplc="08160005" w:tentative="1">
      <w:start w:val="1"/>
      <w:numFmt w:val="bullet"/>
      <w:lvlText w:val=""/>
      <w:lvlJc w:val="left"/>
      <w:pPr>
        <w:ind w:left="5313" w:hanging="360"/>
      </w:pPr>
      <w:rPr>
        <w:rFonts w:ascii="Wingdings" w:hAnsi="Wingdings" w:hint="default"/>
      </w:rPr>
    </w:lvl>
    <w:lvl w:ilvl="6" w:tplc="08160001" w:tentative="1">
      <w:start w:val="1"/>
      <w:numFmt w:val="bullet"/>
      <w:lvlText w:val=""/>
      <w:lvlJc w:val="left"/>
      <w:pPr>
        <w:ind w:left="6033" w:hanging="360"/>
      </w:pPr>
      <w:rPr>
        <w:rFonts w:ascii="Symbol" w:hAnsi="Symbol" w:hint="default"/>
      </w:rPr>
    </w:lvl>
    <w:lvl w:ilvl="7" w:tplc="08160003" w:tentative="1">
      <w:start w:val="1"/>
      <w:numFmt w:val="bullet"/>
      <w:lvlText w:val="o"/>
      <w:lvlJc w:val="left"/>
      <w:pPr>
        <w:ind w:left="6753" w:hanging="360"/>
      </w:pPr>
      <w:rPr>
        <w:rFonts w:ascii="Courier New" w:hAnsi="Courier New" w:cs="Courier New" w:hint="default"/>
      </w:rPr>
    </w:lvl>
    <w:lvl w:ilvl="8" w:tplc="08160005" w:tentative="1">
      <w:start w:val="1"/>
      <w:numFmt w:val="bullet"/>
      <w:lvlText w:val=""/>
      <w:lvlJc w:val="left"/>
      <w:pPr>
        <w:ind w:left="7473" w:hanging="360"/>
      </w:pPr>
      <w:rPr>
        <w:rFonts w:ascii="Wingdings" w:hAnsi="Wingdings" w:hint="default"/>
      </w:rPr>
    </w:lvl>
  </w:abstractNum>
  <w:abstractNum w:abstractNumId="13" w15:restartNumberingAfterBreak="0">
    <w:nsid w:val="21932D87"/>
    <w:multiLevelType w:val="multilevel"/>
    <w:tmpl w:val="C384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397C6A"/>
    <w:multiLevelType w:val="hybridMultilevel"/>
    <w:tmpl w:val="3648D798"/>
    <w:lvl w:ilvl="0" w:tplc="08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35100B1"/>
    <w:multiLevelType w:val="hybridMultilevel"/>
    <w:tmpl w:val="B46655B8"/>
    <w:lvl w:ilvl="0" w:tplc="A37C672E">
      <w:start w:val="1"/>
      <w:numFmt w:val="lowerRoman"/>
      <w:lvlText w:val="(%1)"/>
      <w:lvlJc w:val="left"/>
      <w:pPr>
        <w:ind w:left="1428" w:hanging="72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6" w15:restartNumberingAfterBreak="0">
    <w:nsid w:val="25EB66EA"/>
    <w:multiLevelType w:val="hybridMultilevel"/>
    <w:tmpl w:val="756295E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26541D8B"/>
    <w:multiLevelType w:val="hybridMultilevel"/>
    <w:tmpl w:val="4162D0D8"/>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8" w15:restartNumberingAfterBreak="0">
    <w:nsid w:val="29554F64"/>
    <w:multiLevelType w:val="hybridMultilevel"/>
    <w:tmpl w:val="EA24EAE8"/>
    <w:lvl w:ilvl="0" w:tplc="08160001">
      <w:start w:val="1"/>
      <w:numFmt w:val="bullet"/>
      <w:lvlText w:val=""/>
      <w:lvlJc w:val="left"/>
      <w:pPr>
        <w:ind w:left="2138" w:hanging="360"/>
      </w:pPr>
      <w:rPr>
        <w:rFonts w:ascii="Symbol" w:hAnsi="Symbol" w:hint="default"/>
      </w:rPr>
    </w:lvl>
    <w:lvl w:ilvl="1" w:tplc="08160003" w:tentative="1">
      <w:start w:val="1"/>
      <w:numFmt w:val="bullet"/>
      <w:lvlText w:val="o"/>
      <w:lvlJc w:val="left"/>
      <w:pPr>
        <w:ind w:left="2858" w:hanging="360"/>
      </w:pPr>
      <w:rPr>
        <w:rFonts w:ascii="Courier New" w:hAnsi="Courier New" w:cs="Courier New" w:hint="default"/>
      </w:rPr>
    </w:lvl>
    <w:lvl w:ilvl="2" w:tplc="08160005" w:tentative="1">
      <w:start w:val="1"/>
      <w:numFmt w:val="bullet"/>
      <w:lvlText w:val=""/>
      <w:lvlJc w:val="left"/>
      <w:pPr>
        <w:ind w:left="3578" w:hanging="360"/>
      </w:pPr>
      <w:rPr>
        <w:rFonts w:ascii="Wingdings" w:hAnsi="Wingdings" w:hint="default"/>
      </w:rPr>
    </w:lvl>
    <w:lvl w:ilvl="3" w:tplc="08160001" w:tentative="1">
      <w:start w:val="1"/>
      <w:numFmt w:val="bullet"/>
      <w:lvlText w:val=""/>
      <w:lvlJc w:val="left"/>
      <w:pPr>
        <w:ind w:left="4298" w:hanging="360"/>
      </w:pPr>
      <w:rPr>
        <w:rFonts w:ascii="Symbol" w:hAnsi="Symbol" w:hint="default"/>
      </w:rPr>
    </w:lvl>
    <w:lvl w:ilvl="4" w:tplc="08160003" w:tentative="1">
      <w:start w:val="1"/>
      <w:numFmt w:val="bullet"/>
      <w:lvlText w:val="o"/>
      <w:lvlJc w:val="left"/>
      <w:pPr>
        <w:ind w:left="5018" w:hanging="360"/>
      </w:pPr>
      <w:rPr>
        <w:rFonts w:ascii="Courier New" w:hAnsi="Courier New" w:cs="Courier New" w:hint="default"/>
      </w:rPr>
    </w:lvl>
    <w:lvl w:ilvl="5" w:tplc="08160005" w:tentative="1">
      <w:start w:val="1"/>
      <w:numFmt w:val="bullet"/>
      <w:lvlText w:val=""/>
      <w:lvlJc w:val="left"/>
      <w:pPr>
        <w:ind w:left="5738" w:hanging="360"/>
      </w:pPr>
      <w:rPr>
        <w:rFonts w:ascii="Wingdings" w:hAnsi="Wingdings" w:hint="default"/>
      </w:rPr>
    </w:lvl>
    <w:lvl w:ilvl="6" w:tplc="08160001" w:tentative="1">
      <w:start w:val="1"/>
      <w:numFmt w:val="bullet"/>
      <w:lvlText w:val=""/>
      <w:lvlJc w:val="left"/>
      <w:pPr>
        <w:ind w:left="6458" w:hanging="360"/>
      </w:pPr>
      <w:rPr>
        <w:rFonts w:ascii="Symbol" w:hAnsi="Symbol" w:hint="default"/>
      </w:rPr>
    </w:lvl>
    <w:lvl w:ilvl="7" w:tplc="08160003" w:tentative="1">
      <w:start w:val="1"/>
      <w:numFmt w:val="bullet"/>
      <w:lvlText w:val="o"/>
      <w:lvlJc w:val="left"/>
      <w:pPr>
        <w:ind w:left="7178" w:hanging="360"/>
      </w:pPr>
      <w:rPr>
        <w:rFonts w:ascii="Courier New" w:hAnsi="Courier New" w:cs="Courier New" w:hint="default"/>
      </w:rPr>
    </w:lvl>
    <w:lvl w:ilvl="8" w:tplc="08160005" w:tentative="1">
      <w:start w:val="1"/>
      <w:numFmt w:val="bullet"/>
      <w:lvlText w:val=""/>
      <w:lvlJc w:val="left"/>
      <w:pPr>
        <w:ind w:left="7898" w:hanging="360"/>
      </w:pPr>
      <w:rPr>
        <w:rFonts w:ascii="Wingdings" w:hAnsi="Wingdings" w:hint="default"/>
      </w:rPr>
    </w:lvl>
  </w:abstractNum>
  <w:abstractNum w:abstractNumId="19" w15:restartNumberingAfterBreak="0">
    <w:nsid w:val="2B44103A"/>
    <w:multiLevelType w:val="hybridMultilevel"/>
    <w:tmpl w:val="9F8423F6"/>
    <w:lvl w:ilvl="0" w:tplc="08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9520A8"/>
    <w:multiLevelType w:val="hybridMultilevel"/>
    <w:tmpl w:val="86F6FD4A"/>
    <w:lvl w:ilvl="0" w:tplc="9B0EDA9A">
      <w:start w:val="1"/>
      <w:numFmt w:val="bullet"/>
      <w:lvlText w:val="‐"/>
      <w:lvlJc w:val="left"/>
      <w:pPr>
        <w:ind w:left="2563" w:hanging="360"/>
      </w:pPr>
      <w:rPr>
        <w:rFonts w:ascii="Muli Light" w:hAnsi="Muli Light" w:hint="default"/>
      </w:rPr>
    </w:lvl>
    <w:lvl w:ilvl="1" w:tplc="08160003" w:tentative="1">
      <w:start w:val="1"/>
      <w:numFmt w:val="bullet"/>
      <w:lvlText w:val="o"/>
      <w:lvlJc w:val="left"/>
      <w:pPr>
        <w:ind w:left="3283" w:hanging="360"/>
      </w:pPr>
      <w:rPr>
        <w:rFonts w:ascii="Courier New" w:hAnsi="Courier New" w:cs="Courier New" w:hint="default"/>
      </w:rPr>
    </w:lvl>
    <w:lvl w:ilvl="2" w:tplc="08160005" w:tentative="1">
      <w:start w:val="1"/>
      <w:numFmt w:val="bullet"/>
      <w:lvlText w:val=""/>
      <w:lvlJc w:val="left"/>
      <w:pPr>
        <w:ind w:left="4003" w:hanging="360"/>
      </w:pPr>
      <w:rPr>
        <w:rFonts w:ascii="Wingdings" w:hAnsi="Wingdings" w:hint="default"/>
      </w:rPr>
    </w:lvl>
    <w:lvl w:ilvl="3" w:tplc="08160001" w:tentative="1">
      <w:start w:val="1"/>
      <w:numFmt w:val="bullet"/>
      <w:lvlText w:val=""/>
      <w:lvlJc w:val="left"/>
      <w:pPr>
        <w:ind w:left="4723" w:hanging="360"/>
      </w:pPr>
      <w:rPr>
        <w:rFonts w:ascii="Symbol" w:hAnsi="Symbol" w:hint="default"/>
      </w:rPr>
    </w:lvl>
    <w:lvl w:ilvl="4" w:tplc="08160003" w:tentative="1">
      <w:start w:val="1"/>
      <w:numFmt w:val="bullet"/>
      <w:lvlText w:val="o"/>
      <w:lvlJc w:val="left"/>
      <w:pPr>
        <w:ind w:left="5443" w:hanging="360"/>
      </w:pPr>
      <w:rPr>
        <w:rFonts w:ascii="Courier New" w:hAnsi="Courier New" w:cs="Courier New" w:hint="default"/>
      </w:rPr>
    </w:lvl>
    <w:lvl w:ilvl="5" w:tplc="08160005" w:tentative="1">
      <w:start w:val="1"/>
      <w:numFmt w:val="bullet"/>
      <w:lvlText w:val=""/>
      <w:lvlJc w:val="left"/>
      <w:pPr>
        <w:ind w:left="6163" w:hanging="360"/>
      </w:pPr>
      <w:rPr>
        <w:rFonts w:ascii="Wingdings" w:hAnsi="Wingdings" w:hint="default"/>
      </w:rPr>
    </w:lvl>
    <w:lvl w:ilvl="6" w:tplc="08160001" w:tentative="1">
      <w:start w:val="1"/>
      <w:numFmt w:val="bullet"/>
      <w:lvlText w:val=""/>
      <w:lvlJc w:val="left"/>
      <w:pPr>
        <w:ind w:left="6883" w:hanging="360"/>
      </w:pPr>
      <w:rPr>
        <w:rFonts w:ascii="Symbol" w:hAnsi="Symbol" w:hint="default"/>
      </w:rPr>
    </w:lvl>
    <w:lvl w:ilvl="7" w:tplc="08160003" w:tentative="1">
      <w:start w:val="1"/>
      <w:numFmt w:val="bullet"/>
      <w:lvlText w:val="o"/>
      <w:lvlJc w:val="left"/>
      <w:pPr>
        <w:ind w:left="7603" w:hanging="360"/>
      </w:pPr>
      <w:rPr>
        <w:rFonts w:ascii="Courier New" w:hAnsi="Courier New" w:cs="Courier New" w:hint="default"/>
      </w:rPr>
    </w:lvl>
    <w:lvl w:ilvl="8" w:tplc="08160005" w:tentative="1">
      <w:start w:val="1"/>
      <w:numFmt w:val="bullet"/>
      <w:lvlText w:val=""/>
      <w:lvlJc w:val="left"/>
      <w:pPr>
        <w:ind w:left="8323" w:hanging="360"/>
      </w:pPr>
      <w:rPr>
        <w:rFonts w:ascii="Wingdings" w:hAnsi="Wingdings" w:hint="default"/>
      </w:rPr>
    </w:lvl>
  </w:abstractNum>
  <w:abstractNum w:abstractNumId="21" w15:restartNumberingAfterBreak="0">
    <w:nsid w:val="2EA112F8"/>
    <w:multiLevelType w:val="hybridMultilevel"/>
    <w:tmpl w:val="FBB4DE40"/>
    <w:lvl w:ilvl="0" w:tplc="0D5835A8">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2" w15:restartNumberingAfterBreak="0">
    <w:nsid w:val="300A20FC"/>
    <w:multiLevelType w:val="hybridMultilevel"/>
    <w:tmpl w:val="32A069D8"/>
    <w:lvl w:ilvl="0" w:tplc="08160001">
      <w:start w:val="1"/>
      <w:numFmt w:val="bullet"/>
      <w:lvlText w:val=""/>
      <w:lvlJc w:val="left"/>
      <w:pPr>
        <w:ind w:left="2138" w:hanging="360"/>
      </w:pPr>
      <w:rPr>
        <w:rFonts w:ascii="Symbol" w:hAnsi="Symbol" w:hint="default"/>
      </w:rPr>
    </w:lvl>
    <w:lvl w:ilvl="1" w:tplc="08160003" w:tentative="1">
      <w:start w:val="1"/>
      <w:numFmt w:val="bullet"/>
      <w:lvlText w:val="o"/>
      <w:lvlJc w:val="left"/>
      <w:pPr>
        <w:ind w:left="2858" w:hanging="360"/>
      </w:pPr>
      <w:rPr>
        <w:rFonts w:ascii="Courier New" w:hAnsi="Courier New" w:cs="Courier New" w:hint="default"/>
      </w:rPr>
    </w:lvl>
    <w:lvl w:ilvl="2" w:tplc="08160005" w:tentative="1">
      <w:start w:val="1"/>
      <w:numFmt w:val="bullet"/>
      <w:lvlText w:val=""/>
      <w:lvlJc w:val="left"/>
      <w:pPr>
        <w:ind w:left="3578" w:hanging="360"/>
      </w:pPr>
      <w:rPr>
        <w:rFonts w:ascii="Wingdings" w:hAnsi="Wingdings" w:hint="default"/>
      </w:rPr>
    </w:lvl>
    <w:lvl w:ilvl="3" w:tplc="08160001" w:tentative="1">
      <w:start w:val="1"/>
      <w:numFmt w:val="bullet"/>
      <w:lvlText w:val=""/>
      <w:lvlJc w:val="left"/>
      <w:pPr>
        <w:ind w:left="4298" w:hanging="360"/>
      </w:pPr>
      <w:rPr>
        <w:rFonts w:ascii="Symbol" w:hAnsi="Symbol" w:hint="default"/>
      </w:rPr>
    </w:lvl>
    <w:lvl w:ilvl="4" w:tplc="08160003" w:tentative="1">
      <w:start w:val="1"/>
      <w:numFmt w:val="bullet"/>
      <w:lvlText w:val="o"/>
      <w:lvlJc w:val="left"/>
      <w:pPr>
        <w:ind w:left="5018" w:hanging="360"/>
      </w:pPr>
      <w:rPr>
        <w:rFonts w:ascii="Courier New" w:hAnsi="Courier New" w:cs="Courier New" w:hint="default"/>
      </w:rPr>
    </w:lvl>
    <w:lvl w:ilvl="5" w:tplc="08160005" w:tentative="1">
      <w:start w:val="1"/>
      <w:numFmt w:val="bullet"/>
      <w:lvlText w:val=""/>
      <w:lvlJc w:val="left"/>
      <w:pPr>
        <w:ind w:left="5738" w:hanging="360"/>
      </w:pPr>
      <w:rPr>
        <w:rFonts w:ascii="Wingdings" w:hAnsi="Wingdings" w:hint="default"/>
      </w:rPr>
    </w:lvl>
    <w:lvl w:ilvl="6" w:tplc="08160001" w:tentative="1">
      <w:start w:val="1"/>
      <w:numFmt w:val="bullet"/>
      <w:lvlText w:val=""/>
      <w:lvlJc w:val="left"/>
      <w:pPr>
        <w:ind w:left="6458" w:hanging="360"/>
      </w:pPr>
      <w:rPr>
        <w:rFonts w:ascii="Symbol" w:hAnsi="Symbol" w:hint="default"/>
      </w:rPr>
    </w:lvl>
    <w:lvl w:ilvl="7" w:tplc="08160003" w:tentative="1">
      <w:start w:val="1"/>
      <w:numFmt w:val="bullet"/>
      <w:lvlText w:val="o"/>
      <w:lvlJc w:val="left"/>
      <w:pPr>
        <w:ind w:left="7178" w:hanging="360"/>
      </w:pPr>
      <w:rPr>
        <w:rFonts w:ascii="Courier New" w:hAnsi="Courier New" w:cs="Courier New" w:hint="default"/>
      </w:rPr>
    </w:lvl>
    <w:lvl w:ilvl="8" w:tplc="08160005" w:tentative="1">
      <w:start w:val="1"/>
      <w:numFmt w:val="bullet"/>
      <w:lvlText w:val=""/>
      <w:lvlJc w:val="left"/>
      <w:pPr>
        <w:ind w:left="7898" w:hanging="360"/>
      </w:pPr>
      <w:rPr>
        <w:rFonts w:ascii="Wingdings" w:hAnsi="Wingdings" w:hint="default"/>
      </w:rPr>
    </w:lvl>
  </w:abstractNum>
  <w:abstractNum w:abstractNumId="23" w15:restartNumberingAfterBreak="0">
    <w:nsid w:val="311120D3"/>
    <w:multiLevelType w:val="hybridMultilevel"/>
    <w:tmpl w:val="08EEEE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346707A8"/>
    <w:multiLevelType w:val="multilevel"/>
    <w:tmpl w:val="A48E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4E2693"/>
    <w:multiLevelType w:val="multilevel"/>
    <w:tmpl w:val="3E8C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087901"/>
    <w:multiLevelType w:val="hybridMultilevel"/>
    <w:tmpl w:val="F8C2B8DE"/>
    <w:lvl w:ilvl="0" w:tplc="08160001">
      <w:start w:val="1"/>
      <w:numFmt w:val="bullet"/>
      <w:lvlText w:val=""/>
      <w:lvlJc w:val="left"/>
      <w:pPr>
        <w:ind w:left="2563" w:hanging="360"/>
      </w:pPr>
      <w:rPr>
        <w:rFonts w:ascii="Symbol" w:hAnsi="Symbol" w:hint="default"/>
      </w:rPr>
    </w:lvl>
    <w:lvl w:ilvl="1" w:tplc="08160003" w:tentative="1">
      <w:start w:val="1"/>
      <w:numFmt w:val="bullet"/>
      <w:lvlText w:val="o"/>
      <w:lvlJc w:val="left"/>
      <w:pPr>
        <w:ind w:left="3283" w:hanging="360"/>
      </w:pPr>
      <w:rPr>
        <w:rFonts w:ascii="Courier New" w:hAnsi="Courier New" w:cs="Courier New" w:hint="default"/>
      </w:rPr>
    </w:lvl>
    <w:lvl w:ilvl="2" w:tplc="08160005" w:tentative="1">
      <w:start w:val="1"/>
      <w:numFmt w:val="bullet"/>
      <w:lvlText w:val=""/>
      <w:lvlJc w:val="left"/>
      <w:pPr>
        <w:ind w:left="4003" w:hanging="360"/>
      </w:pPr>
      <w:rPr>
        <w:rFonts w:ascii="Wingdings" w:hAnsi="Wingdings" w:hint="default"/>
      </w:rPr>
    </w:lvl>
    <w:lvl w:ilvl="3" w:tplc="08160001" w:tentative="1">
      <w:start w:val="1"/>
      <w:numFmt w:val="bullet"/>
      <w:lvlText w:val=""/>
      <w:lvlJc w:val="left"/>
      <w:pPr>
        <w:ind w:left="4723" w:hanging="360"/>
      </w:pPr>
      <w:rPr>
        <w:rFonts w:ascii="Symbol" w:hAnsi="Symbol" w:hint="default"/>
      </w:rPr>
    </w:lvl>
    <w:lvl w:ilvl="4" w:tplc="08160003" w:tentative="1">
      <w:start w:val="1"/>
      <w:numFmt w:val="bullet"/>
      <w:lvlText w:val="o"/>
      <w:lvlJc w:val="left"/>
      <w:pPr>
        <w:ind w:left="5443" w:hanging="360"/>
      </w:pPr>
      <w:rPr>
        <w:rFonts w:ascii="Courier New" w:hAnsi="Courier New" w:cs="Courier New" w:hint="default"/>
      </w:rPr>
    </w:lvl>
    <w:lvl w:ilvl="5" w:tplc="08160005" w:tentative="1">
      <w:start w:val="1"/>
      <w:numFmt w:val="bullet"/>
      <w:lvlText w:val=""/>
      <w:lvlJc w:val="left"/>
      <w:pPr>
        <w:ind w:left="6163" w:hanging="360"/>
      </w:pPr>
      <w:rPr>
        <w:rFonts w:ascii="Wingdings" w:hAnsi="Wingdings" w:hint="default"/>
      </w:rPr>
    </w:lvl>
    <w:lvl w:ilvl="6" w:tplc="08160001" w:tentative="1">
      <w:start w:val="1"/>
      <w:numFmt w:val="bullet"/>
      <w:lvlText w:val=""/>
      <w:lvlJc w:val="left"/>
      <w:pPr>
        <w:ind w:left="6883" w:hanging="360"/>
      </w:pPr>
      <w:rPr>
        <w:rFonts w:ascii="Symbol" w:hAnsi="Symbol" w:hint="default"/>
      </w:rPr>
    </w:lvl>
    <w:lvl w:ilvl="7" w:tplc="08160003" w:tentative="1">
      <w:start w:val="1"/>
      <w:numFmt w:val="bullet"/>
      <w:lvlText w:val="o"/>
      <w:lvlJc w:val="left"/>
      <w:pPr>
        <w:ind w:left="7603" w:hanging="360"/>
      </w:pPr>
      <w:rPr>
        <w:rFonts w:ascii="Courier New" w:hAnsi="Courier New" w:cs="Courier New" w:hint="default"/>
      </w:rPr>
    </w:lvl>
    <w:lvl w:ilvl="8" w:tplc="08160005" w:tentative="1">
      <w:start w:val="1"/>
      <w:numFmt w:val="bullet"/>
      <w:lvlText w:val=""/>
      <w:lvlJc w:val="left"/>
      <w:pPr>
        <w:ind w:left="8323" w:hanging="360"/>
      </w:pPr>
      <w:rPr>
        <w:rFonts w:ascii="Wingdings" w:hAnsi="Wingdings" w:hint="default"/>
      </w:rPr>
    </w:lvl>
  </w:abstractNum>
  <w:abstractNum w:abstractNumId="27" w15:restartNumberingAfterBreak="0">
    <w:nsid w:val="375B4EC1"/>
    <w:multiLevelType w:val="hybridMultilevel"/>
    <w:tmpl w:val="F9E2064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3AB61FA0"/>
    <w:multiLevelType w:val="multilevel"/>
    <w:tmpl w:val="FEBE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B380FAD"/>
    <w:multiLevelType w:val="multilevel"/>
    <w:tmpl w:val="7E1A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CD86D22"/>
    <w:multiLevelType w:val="multilevel"/>
    <w:tmpl w:val="F376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F630580"/>
    <w:multiLevelType w:val="hybridMultilevel"/>
    <w:tmpl w:val="A2226222"/>
    <w:lvl w:ilvl="0" w:tplc="0CF67598">
      <w:start w:val="1"/>
      <w:numFmt w:val="lowerLetter"/>
      <w:lvlText w:val="%1."/>
      <w:lvlJc w:val="left"/>
      <w:pPr>
        <w:ind w:left="1614" w:hanging="456"/>
      </w:pPr>
      <w:rPr>
        <w:rFonts w:hint="default"/>
      </w:rPr>
    </w:lvl>
    <w:lvl w:ilvl="1" w:tplc="08160019" w:tentative="1">
      <w:start w:val="1"/>
      <w:numFmt w:val="lowerLetter"/>
      <w:lvlText w:val="%2."/>
      <w:lvlJc w:val="left"/>
      <w:pPr>
        <w:ind w:left="2238" w:hanging="360"/>
      </w:pPr>
    </w:lvl>
    <w:lvl w:ilvl="2" w:tplc="0816001B" w:tentative="1">
      <w:start w:val="1"/>
      <w:numFmt w:val="lowerRoman"/>
      <w:lvlText w:val="%3."/>
      <w:lvlJc w:val="right"/>
      <w:pPr>
        <w:ind w:left="2958" w:hanging="180"/>
      </w:pPr>
    </w:lvl>
    <w:lvl w:ilvl="3" w:tplc="0816000F" w:tentative="1">
      <w:start w:val="1"/>
      <w:numFmt w:val="decimal"/>
      <w:lvlText w:val="%4."/>
      <w:lvlJc w:val="left"/>
      <w:pPr>
        <w:ind w:left="3678" w:hanging="360"/>
      </w:pPr>
    </w:lvl>
    <w:lvl w:ilvl="4" w:tplc="08160019" w:tentative="1">
      <w:start w:val="1"/>
      <w:numFmt w:val="lowerLetter"/>
      <w:lvlText w:val="%5."/>
      <w:lvlJc w:val="left"/>
      <w:pPr>
        <w:ind w:left="4398" w:hanging="360"/>
      </w:pPr>
    </w:lvl>
    <w:lvl w:ilvl="5" w:tplc="0816001B" w:tentative="1">
      <w:start w:val="1"/>
      <w:numFmt w:val="lowerRoman"/>
      <w:lvlText w:val="%6."/>
      <w:lvlJc w:val="right"/>
      <w:pPr>
        <w:ind w:left="5118" w:hanging="180"/>
      </w:pPr>
    </w:lvl>
    <w:lvl w:ilvl="6" w:tplc="0816000F" w:tentative="1">
      <w:start w:val="1"/>
      <w:numFmt w:val="decimal"/>
      <w:lvlText w:val="%7."/>
      <w:lvlJc w:val="left"/>
      <w:pPr>
        <w:ind w:left="5838" w:hanging="360"/>
      </w:pPr>
    </w:lvl>
    <w:lvl w:ilvl="7" w:tplc="08160019" w:tentative="1">
      <w:start w:val="1"/>
      <w:numFmt w:val="lowerLetter"/>
      <w:lvlText w:val="%8."/>
      <w:lvlJc w:val="left"/>
      <w:pPr>
        <w:ind w:left="6558" w:hanging="360"/>
      </w:pPr>
    </w:lvl>
    <w:lvl w:ilvl="8" w:tplc="0816001B" w:tentative="1">
      <w:start w:val="1"/>
      <w:numFmt w:val="lowerRoman"/>
      <w:lvlText w:val="%9."/>
      <w:lvlJc w:val="right"/>
      <w:pPr>
        <w:ind w:left="7278" w:hanging="180"/>
      </w:pPr>
    </w:lvl>
  </w:abstractNum>
  <w:abstractNum w:abstractNumId="32" w15:restartNumberingAfterBreak="0">
    <w:nsid w:val="400D67A6"/>
    <w:multiLevelType w:val="hybridMultilevel"/>
    <w:tmpl w:val="52E805AC"/>
    <w:lvl w:ilvl="0" w:tplc="FFFFFFFF">
      <w:start w:val="1"/>
      <w:numFmt w:val="bullet"/>
      <w:lvlText w:val="o"/>
      <w:lvlJc w:val="left"/>
      <w:pPr>
        <w:ind w:left="2563" w:hanging="360"/>
      </w:pPr>
      <w:rPr>
        <w:rFonts w:ascii="Courier New" w:hAnsi="Courier New" w:cs="Courier New" w:hint="default"/>
      </w:rPr>
    </w:lvl>
    <w:lvl w:ilvl="1" w:tplc="08160003" w:tentative="1">
      <w:start w:val="1"/>
      <w:numFmt w:val="bullet"/>
      <w:lvlText w:val="o"/>
      <w:lvlJc w:val="left"/>
      <w:pPr>
        <w:ind w:left="3283" w:hanging="360"/>
      </w:pPr>
      <w:rPr>
        <w:rFonts w:ascii="Courier New" w:hAnsi="Courier New" w:cs="Courier New" w:hint="default"/>
      </w:rPr>
    </w:lvl>
    <w:lvl w:ilvl="2" w:tplc="08160005" w:tentative="1">
      <w:start w:val="1"/>
      <w:numFmt w:val="bullet"/>
      <w:lvlText w:val=""/>
      <w:lvlJc w:val="left"/>
      <w:pPr>
        <w:ind w:left="4003" w:hanging="360"/>
      </w:pPr>
      <w:rPr>
        <w:rFonts w:ascii="Wingdings" w:hAnsi="Wingdings" w:hint="default"/>
      </w:rPr>
    </w:lvl>
    <w:lvl w:ilvl="3" w:tplc="08160001" w:tentative="1">
      <w:start w:val="1"/>
      <w:numFmt w:val="bullet"/>
      <w:lvlText w:val=""/>
      <w:lvlJc w:val="left"/>
      <w:pPr>
        <w:ind w:left="4723" w:hanging="360"/>
      </w:pPr>
      <w:rPr>
        <w:rFonts w:ascii="Symbol" w:hAnsi="Symbol" w:hint="default"/>
      </w:rPr>
    </w:lvl>
    <w:lvl w:ilvl="4" w:tplc="08160003" w:tentative="1">
      <w:start w:val="1"/>
      <w:numFmt w:val="bullet"/>
      <w:lvlText w:val="o"/>
      <w:lvlJc w:val="left"/>
      <w:pPr>
        <w:ind w:left="5443" w:hanging="360"/>
      </w:pPr>
      <w:rPr>
        <w:rFonts w:ascii="Courier New" w:hAnsi="Courier New" w:cs="Courier New" w:hint="default"/>
      </w:rPr>
    </w:lvl>
    <w:lvl w:ilvl="5" w:tplc="08160005" w:tentative="1">
      <w:start w:val="1"/>
      <w:numFmt w:val="bullet"/>
      <w:lvlText w:val=""/>
      <w:lvlJc w:val="left"/>
      <w:pPr>
        <w:ind w:left="6163" w:hanging="360"/>
      </w:pPr>
      <w:rPr>
        <w:rFonts w:ascii="Wingdings" w:hAnsi="Wingdings" w:hint="default"/>
      </w:rPr>
    </w:lvl>
    <w:lvl w:ilvl="6" w:tplc="08160001" w:tentative="1">
      <w:start w:val="1"/>
      <w:numFmt w:val="bullet"/>
      <w:lvlText w:val=""/>
      <w:lvlJc w:val="left"/>
      <w:pPr>
        <w:ind w:left="6883" w:hanging="360"/>
      </w:pPr>
      <w:rPr>
        <w:rFonts w:ascii="Symbol" w:hAnsi="Symbol" w:hint="default"/>
      </w:rPr>
    </w:lvl>
    <w:lvl w:ilvl="7" w:tplc="08160003" w:tentative="1">
      <w:start w:val="1"/>
      <w:numFmt w:val="bullet"/>
      <w:lvlText w:val="o"/>
      <w:lvlJc w:val="left"/>
      <w:pPr>
        <w:ind w:left="7603" w:hanging="360"/>
      </w:pPr>
      <w:rPr>
        <w:rFonts w:ascii="Courier New" w:hAnsi="Courier New" w:cs="Courier New" w:hint="default"/>
      </w:rPr>
    </w:lvl>
    <w:lvl w:ilvl="8" w:tplc="08160005" w:tentative="1">
      <w:start w:val="1"/>
      <w:numFmt w:val="bullet"/>
      <w:lvlText w:val=""/>
      <w:lvlJc w:val="left"/>
      <w:pPr>
        <w:ind w:left="8323" w:hanging="360"/>
      </w:pPr>
      <w:rPr>
        <w:rFonts w:ascii="Wingdings" w:hAnsi="Wingdings" w:hint="default"/>
      </w:rPr>
    </w:lvl>
  </w:abstractNum>
  <w:abstractNum w:abstractNumId="33" w15:restartNumberingAfterBreak="0">
    <w:nsid w:val="40500ED6"/>
    <w:multiLevelType w:val="multilevel"/>
    <w:tmpl w:val="7E1A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13A105C"/>
    <w:multiLevelType w:val="multilevel"/>
    <w:tmpl w:val="A48E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2BE3D55"/>
    <w:multiLevelType w:val="hybridMultilevel"/>
    <w:tmpl w:val="42EEF22A"/>
    <w:lvl w:ilvl="0" w:tplc="9B0EDA9A">
      <w:start w:val="1"/>
      <w:numFmt w:val="bullet"/>
      <w:lvlText w:val="‐"/>
      <w:lvlJc w:val="left"/>
      <w:pPr>
        <w:ind w:left="2988" w:hanging="360"/>
      </w:pPr>
      <w:rPr>
        <w:rFonts w:ascii="Muli Light" w:hAnsi="Muli Light" w:hint="default"/>
      </w:rPr>
    </w:lvl>
    <w:lvl w:ilvl="1" w:tplc="08160003" w:tentative="1">
      <w:start w:val="1"/>
      <w:numFmt w:val="bullet"/>
      <w:lvlText w:val="o"/>
      <w:lvlJc w:val="left"/>
      <w:pPr>
        <w:ind w:left="3708" w:hanging="360"/>
      </w:pPr>
      <w:rPr>
        <w:rFonts w:ascii="Courier New" w:hAnsi="Courier New" w:cs="Courier New" w:hint="default"/>
      </w:rPr>
    </w:lvl>
    <w:lvl w:ilvl="2" w:tplc="08160005" w:tentative="1">
      <w:start w:val="1"/>
      <w:numFmt w:val="bullet"/>
      <w:lvlText w:val=""/>
      <w:lvlJc w:val="left"/>
      <w:pPr>
        <w:ind w:left="4428" w:hanging="360"/>
      </w:pPr>
      <w:rPr>
        <w:rFonts w:ascii="Wingdings" w:hAnsi="Wingdings" w:hint="default"/>
      </w:rPr>
    </w:lvl>
    <w:lvl w:ilvl="3" w:tplc="08160001" w:tentative="1">
      <w:start w:val="1"/>
      <w:numFmt w:val="bullet"/>
      <w:lvlText w:val=""/>
      <w:lvlJc w:val="left"/>
      <w:pPr>
        <w:ind w:left="5148" w:hanging="360"/>
      </w:pPr>
      <w:rPr>
        <w:rFonts w:ascii="Symbol" w:hAnsi="Symbol" w:hint="default"/>
      </w:rPr>
    </w:lvl>
    <w:lvl w:ilvl="4" w:tplc="08160003" w:tentative="1">
      <w:start w:val="1"/>
      <w:numFmt w:val="bullet"/>
      <w:lvlText w:val="o"/>
      <w:lvlJc w:val="left"/>
      <w:pPr>
        <w:ind w:left="5868" w:hanging="360"/>
      </w:pPr>
      <w:rPr>
        <w:rFonts w:ascii="Courier New" w:hAnsi="Courier New" w:cs="Courier New" w:hint="default"/>
      </w:rPr>
    </w:lvl>
    <w:lvl w:ilvl="5" w:tplc="08160005" w:tentative="1">
      <w:start w:val="1"/>
      <w:numFmt w:val="bullet"/>
      <w:lvlText w:val=""/>
      <w:lvlJc w:val="left"/>
      <w:pPr>
        <w:ind w:left="6588" w:hanging="360"/>
      </w:pPr>
      <w:rPr>
        <w:rFonts w:ascii="Wingdings" w:hAnsi="Wingdings" w:hint="default"/>
      </w:rPr>
    </w:lvl>
    <w:lvl w:ilvl="6" w:tplc="08160001" w:tentative="1">
      <w:start w:val="1"/>
      <w:numFmt w:val="bullet"/>
      <w:lvlText w:val=""/>
      <w:lvlJc w:val="left"/>
      <w:pPr>
        <w:ind w:left="7308" w:hanging="360"/>
      </w:pPr>
      <w:rPr>
        <w:rFonts w:ascii="Symbol" w:hAnsi="Symbol" w:hint="default"/>
      </w:rPr>
    </w:lvl>
    <w:lvl w:ilvl="7" w:tplc="08160003" w:tentative="1">
      <w:start w:val="1"/>
      <w:numFmt w:val="bullet"/>
      <w:lvlText w:val="o"/>
      <w:lvlJc w:val="left"/>
      <w:pPr>
        <w:ind w:left="8028" w:hanging="360"/>
      </w:pPr>
      <w:rPr>
        <w:rFonts w:ascii="Courier New" w:hAnsi="Courier New" w:cs="Courier New" w:hint="default"/>
      </w:rPr>
    </w:lvl>
    <w:lvl w:ilvl="8" w:tplc="08160005" w:tentative="1">
      <w:start w:val="1"/>
      <w:numFmt w:val="bullet"/>
      <w:lvlText w:val=""/>
      <w:lvlJc w:val="left"/>
      <w:pPr>
        <w:ind w:left="8748" w:hanging="360"/>
      </w:pPr>
      <w:rPr>
        <w:rFonts w:ascii="Wingdings" w:hAnsi="Wingdings" w:hint="default"/>
      </w:rPr>
    </w:lvl>
  </w:abstractNum>
  <w:abstractNum w:abstractNumId="36" w15:restartNumberingAfterBreak="0">
    <w:nsid w:val="43F717CA"/>
    <w:multiLevelType w:val="multilevel"/>
    <w:tmpl w:val="A48E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4D72256"/>
    <w:multiLevelType w:val="multilevel"/>
    <w:tmpl w:val="6E24D324"/>
    <w:lvl w:ilvl="0">
      <w:start w:val="1"/>
      <w:numFmt w:val="none"/>
      <w:pStyle w:val="ef3TITURGS"/>
      <w:lvlText w:val=""/>
      <w:lvlJc w:val="left"/>
      <w:pPr>
        <w:ind w:left="357" w:hanging="73"/>
      </w:pPr>
      <w:rPr>
        <w:rFonts w:ascii="Georgia" w:hAnsi="Georgia" w:hint="default"/>
        <w:color w:val="9CC2E5" w:themeColor="accent1" w:themeTint="99"/>
      </w:rPr>
    </w:lvl>
    <w:lvl w:ilvl="1">
      <w:start w:val="1"/>
      <w:numFmt w:val="decimal"/>
      <w:lvlText w:val="%2%1"/>
      <w:lvlJc w:val="left"/>
      <w:pPr>
        <w:ind w:left="714" w:hanging="357"/>
      </w:pPr>
      <w:rPr>
        <w:rFonts w:ascii="Georgia" w:hAnsi="Georgia" w:hint="default"/>
        <w:color w:val="9CC2E5" w:themeColor="accent1" w:themeTint="99"/>
        <w:sz w:val="28"/>
      </w:rPr>
    </w:lvl>
    <w:lvl w:ilvl="2">
      <w:start w:val="1"/>
      <w:numFmt w:val="lowerLetter"/>
      <w:lvlText w:val="%3)"/>
      <w:lvlJc w:val="left"/>
      <w:pPr>
        <w:ind w:left="1418" w:hanging="704"/>
      </w:pPr>
      <w:rPr>
        <w:rFonts w:ascii="Georgia" w:hAnsi="Georgia" w:hint="default"/>
        <w:sz w:val="24"/>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8" w15:restartNumberingAfterBreak="0">
    <w:nsid w:val="4711257D"/>
    <w:multiLevelType w:val="multilevel"/>
    <w:tmpl w:val="C9D2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71A78F6"/>
    <w:multiLevelType w:val="hybridMultilevel"/>
    <w:tmpl w:val="A27A89A4"/>
    <w:lvl w:ilvl="0" w:tplc="CEDA3BCC">
      <w:start w:val="1"/>
      <w:numFmt w:val="lowerLetter"/>
      <w:lvlText w:val="%1)"/>
      <w:lvlJc w:val="left"/>
      <w:pPr>
        <w:ind w:left="720" w:hanging="360"/>
      </w:pPr>
      <w:rPr>
        <w:rFonts w:hint="default"/>
        <w:b/>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 w15:restartNumberingAfterBreak="0">
    <w:nsid w:val="4C367258"/>
    <w:multiLevelType w:val="multilevel"/>
    <w:tmpl w:val="B906C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D487DC9"/>
    <w:multiLevelType w:val="hybridMultilevel"/>
    <w:tmpl w:val="F010339A"/>
    <w:lvl w:ilvl="0" w:tplc="08160017">
      <w:start w:val="1"/>
      <w:numFmt w:val="lowerLetter"/>
      <w:lvlText w:val="%1)"/>
      <w:lvlJc w:val="left"/>
      <w:pPr>
        <w:ind w:left="1353" w:hanging="360"/>
      </w:pPr>
    </w:lvl>
    <w:lvl w:ilvl="1" w:tplc="08160019" w:tentative="1">
      <w:start w:val="1"/>
      <w:numFmt w:val="lowerLetter"/>
      <w:lvlText w:val="%2."/>
      <w:lvlJc w:val="left"/>
      <w:pPr>
        <w:ind w:left="2433" w:hanging="360"/>
      </w:pPr>
    </w:lvl>
    <w:lvl w:ilvl="2" w:tplc="0816001B" w:tentative="1">
      <w:start w:val="1"/>
      <w:numFmt w:val="lowerRoman"/>
      <w:lvlText w:val="%3."/>
      <w:lvlJc w:val="right"/>
      <w:pPr>
        <w:ind w:left="3153" w:hanging="180"/>
      </w:pPr>
    </w:lvl>
    <w:lvl w:ilvl="3" w:tplc="0816000F" w:tentative="1">
      <w:start w:val="1"/>
      <w:numFmt w:val="decimal"/>
      <w:lvlText w:val="%4."/>
      <w:lvlJc w:val="left"/>
      <w:pPr>
        <w:ind w:left="3873" w:hanging="360"/>
      </w:pPr>
    </w:lvl>
    <w:lvl w:ilvl="4" w:tplc="08160019" w:tentative="1">
      <w:start w:val="1"/>
      <w:numFmt w:val="lowerLetter"/>
      <w:lvlText w:val="%5."/>
      <w:lvlJc w:val="left"/>
      <w:pPr>
        <w:ind w:left="4593" w:hanging="360"/>
      </w:pPr>
    </w:lvl>
    <w:lvl w:ilvl="5" w:tplc="0816001B" w:tentative="1">
      <w:start w:val="1"/>
      <w:numFmt w:val="lowerRoman"/>
      <w:lvlText w:val="%6."/>
      <w:lvlJc w:val="right"/>
      <w:pPr>
        <w:ind w:left="5313" w:hanging="180"/>
      </w:pPr>
    </w:lvl>
    <w:lvl w:ilvl="6" w:tplc="0816000F" w:tentative="1">
      <w:start w:val="1"/>
      <w:numFmt w:val="decimal"/>
      <w:lvlText w:val="%7."/>
      <w:lvlJc w:val="left"/>
      <w:pPr>
        <w:ind w:left="6033" w:hanging="360"/>
      </w:pPr>
    </w:lvl>
    <w:lvl w:ilvl="7" w:tplc="08160019" w:tentative="1">
      <w:start w:val="1"/>
      <w:numFmt w:val="lowerLetter"/>
      <w:lvlText w:val="%8."/>
      <w:lvlJc w:val="left"/>
      <w:pPr>
        <w:ind w:left="6753" w:hanging="360"/>
      </w:pPr>
    </w:lvl>
    <w:lvl w:ilvl="8" w:tplc="0816001B" w:tentative="1">
      <w:start w:val="1"/>
      <w:numFmt w:val="lowerRoman"/>
      <w:lvlText w:val="%9."/>
      <w:lvlJc w:val="right"/>
      <w:pPr>
        <w:ind w:left="7473" w:hanging="180"/>
      </w:pPr>
    </w:lvl>
  </w:abstractNum>
  <w:abstractNum w:abstractNumId="42" w15:restartNumberingAfterBreak="0">
    <w:nsid w:val="53BF0098"/>
    <w:multiLevelType w:val="multilevel"/>
    <w:tmpl w:val="7E1A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5BB1F51"/>
    <w:multiLevelType w:val="multilevel"/>
    <w:tmpl w:val="50AA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7EE1ED1"/>
    <w:multiLevelType w:val="hybridMultilevel"/>
    <w:tmpl w:val="415E1058"/>
    <w:lvl w:ilvl="0" w:tplc="CA0E3358">
      <w:start w:val="1"/>
      <w:numFmt w:val="decimal"/>
      <w:lvlText w:val="(%1)"/>
      <w:lvlJc w:val="left"/>
      <w:pPr>
        <w:ind w:left="644" w:hanging="36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45" w15:restartNumberingAfterBreak="0">
    <w:nsid w:val="59567D55"/>
    <w:multiLevelType w:val="hybridMultilevel"/>
    <w:tmpl w:val="ED4E859E"/>
    <w:lvl w:ilvl="0" w:tplc="FFFFFFFF">
      <w:start w:val="1"/>
      <w:numFmt w:val="lowerRoman"/>
      <w:lvlText w:val="%1)"/>
      <w:lvlJc w:val="left"/>
      <w:pPr>
        <w:ind w:left="19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C4D5273"/>
    <w:multiLevelType w:val="hybridMultilevel"/>
    <w:tmpl w:val="A9A23E42"/>
    <w:lvl w:ilvl="0" w:tplc="FFFFFFFF">
      <w:start w:val="1"/>
      <w:numFmt w:val="bullet"/>
      <w:lvlText w:val="o"/>
      <w:lvlJc w:val="left"/>
      <w:pPr>
        <w:ind w:left="2988" w:hanging="360"/>
      </w:pPr>
      <w:rPr>
        <w:rFonts w:ascii="Courier New" w:hAnsi="Courier New" w:cs="Courier New" w:hint="default"/>
      </w:rPr>
    </w:lvl>
    <w:lvl w:ilvl="1" w:tplc="08160003" w:tentative="1">
      <w:start w:val="1"/>
      <w:numFmt w:val="bullet"/>
      <w:lvlText w:val="o"/>
      <w:lvlJc w:val="left"/>
      <w:pPr>
        <w:ind w:left="3708" w:hanging="360"/>
      </w:pPr>
      <w:rPr>
        <w:rFonts w:ascii="Courier New" w:hAnsi="Courier New" w:cs="Courier New" w:hint="default"/>
      </w:rPr>
    </w:lvl>
    <w:lvl w:ilvl="2" w:tplc="08160005" w:tentative="1">
      <w:start w:val="1"/>
      <w:numFmt w:val="bullet"/>
      <w:lvlText w:val=""/>
      <w:lvlJc w:val="left"/>
      <w:pPr>
        <w:ind w:left="4428" w:hanging="360"/>
      </w:pPr>
      <w:rPr>
        <w:rFonts w:ascii="Wingdings" w:hAnsi="Wingdings" w:hint="default"/>
      </w:rPr>
    </w:lvl>
    <w:lvl w:ilvl="3" w:tplc="08160001" w:tentative="1">
      <w:start w:val="1"/>
      <w:numFmt w:val="bullet"/>
      <w:lvlText w:val=""/>
      <w:lvlJc w:val="left"/>
      <w:pPr>
        <w:ind w:left="5148" w:hanging="360"/>
      </w:pPr>
      <w:rPr>
        <w:rFonts w:ascii="Symbol" w:hAnsi="Symbol" w:hint="default"/>
      </w:rPr>
    </w:lvl>
    <w:lvl w:ilvl="4" w:tplc="08160003" w:tentative="1">
      <w:start w:val="1"/>
      <w:numFmt w:val="bullet"/>
      <w:lvlText w:val="o"/>
      <w:lvlJc w:val="left"/>
      <w:pPr>
        <w:ind w:left="5868" w:hanging="360"/>
      </w:pPr>
      <w:rPr>
        <w:rFonts w:ascii="Courier New" w:hAnsi="Courier New" w:cs="Courier New" w:hint="default"/>
      </w:rPr>
    </w:lvl>
    <w:lvl w:ilvl="5" w:tplc="08160005" w:tentative="1">
      <w:start w:val="1"/>
      <w:numFmt w:val="bullet"/>
      <w:lvlText w:val=""/>
      <w:lvlJc w:val="left"/>
      <w:pPr>
        <w:ind w:left="6588" w:hanging="360"/>
      </w:pPr>
      <w:rPr>
        <w:rFonts w:ascii="Wingdings" w:hAnsi="Wingdings" w:hint="default"/>
      </w:rPr>
    </w:lvl>
    <w:lvl w:ilvl="6" w:tplc="08160001" w:tentative="1">
      <w:start w:val="1"/>
      <w:numFmt w:val="bullet"/>
      <w:lvlText w:val=""/>
      <w:lvlJc w:val="left"/>
      <w:pPr>
        <w:ind w:left="7308" w:hanging="360"/>
      </w:pPr>
      <w:rPr>
        <w:rFonts w:ascii="Symbol" w:hAnsi="Symbol" w:hint="default"/>
      </w:rPr>
    </w:lvl>
    <w:lvl w:ilvl="7" w:tplc="08160003" w:tentative="1">
      <w:start w:val="1"/>
      <w:numFmt w:val="bullet"/>
      <w:lvlText w:val="o"/>
      <w:lvlJc w:val="left"/>
      <w:pPr>
        <w:ind w:left="8028" w:hanging="360"/>
      </w:pPr>
      <w:rPr>
        <w:rFonts w:ascii="Courier New" w:hAnsi="Courier New" w:cs="Courier New" w:hint="default"/>
      </w:rPr>
    </w:lvl>
    <w:lvl w:ilvl="8" w:tplc="08160005" w:tentative="1">
      <w:start w:val="1"/>
      <w:numFmt w:val="bullet"/>
      <w:lvlText w:val=""/>
      <w:lvlJc w:val="left"/>
      <w:pPr>
        <w:ind w:left="8748" w:hanging="360"/>
      </w:pPr>
      <w:rPr>
        <w:rFonts w:ascii="Wingdings" w:hAnsi="Wingdings" w:hint="default"/>
      </w:rPr>
    </w:lvl>
  </w:abstractNum>
  <w:abstractNum w:abstractNumId="47" w15:restartNumberingAfterBreak="0">
    <w:nsid w:val="5CD2217C"/>
    <w:multiLevelType w:val="multilevel"/>
    <w:tmpl w:val="7E1A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E565D5E"/>
    <w:multiLevelType w:val="multilevel"/>
    <w:tmpl w:val="5A38B2C4"/>
    <w:lvl w:ilvl="0">
      <w:start w:val="1"/>
      <w:numFmt w:val="decimal"/>
      <w:lvlText w:val="%1."/>
      <w:lvlJc w:val="left"/>
      <w:pPr>
        <w:ind w:left="360" w:hanging="360"/>
      </w:pPr>
      <w:rPr>
        <w:rFonts w:hint="default"/>
      </w:rPr>
    </w:lvl>
    <w:lvl w:ilvl="1">
      <w:start w:val="1"/>
      <w:numFmt w:val="decimal"/>
      <w:lvlText w:val="%1.%2."/>
      <w:lvlJc w:val="left"/>
      <w:pPr>
        <w:ind w:left="716" w:hanging="432"/>
      </w:pPr>
      <w:rPr>
        <w:rFonts w:ascii="Verdana" w:hAnsi="Verdana" w:hint="default"/>
        <w:sz w:val="17"/>
        <w:szCs w:val="17"/>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EAC4746"/>
    <w:multiLevelType w:val="multilevel"/>
    <w:tmpl w:val="39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FEA4EF6"/>
    <w:multiLevelType w:val="multilevel"/>
    <w:tmpl w:val="A93878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0DB78BD"/>
    <w:multiLevelType w:val="hybridMultilevel"/>
    <w:tmpl w:val="8A94CD7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2" w15:restartNumberingAfterBreak="0">
    <w:nsid w:val="619D1317"/>
    <w:multiLevelType w:val="multilevel"/>
    <w:tmpl w:val="7E1A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1B11842"/>
    <w:multiLevelType w:val="hybridMultilevel"/>
    <w:tmpl w:val="ED4E859E"/>
    <w:lvl w:ilvl="0" w:tplc="670CA706">
      <w:start w:val="1"/>
      <w:numFmt w:val="lowerRoman"/>
      <w:lvlText w:val="%1)"/>
      <w:lvlJc w:val="left"/>
      <w:pPr>
        <w:ind w:left="19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4" w15:restartNumberingAfterBreak="0">
    <w:nsid w:val="633B0EC7"/>
    <w:multiLevelType w:val="multilevel"/>
    <w:tmpl w:val="7E1A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7F72BBF"/>
    <w:multiLevelType w:val="hybridMultilevel"/>
    <w:tmpl w:val="0F2421F8"/>
    <w:lvl w:ilvl="0" w:tplc="FFFFFFFF">
      <w:start w:val="1"/>
      <w:numFmt w:val="bullet"/>
      <w:lvlText w:val="o"/>
      <w:lvlJc w:val="left"/>
      <w:pPr>
        <w:ind w:left="2563" w:hanging="360"/>
      </w:pPr>
      <w:rPr>
        <w:rFonts w:ascii="Courier New" w:hAnsi="Courier New" w:cs="Courier New" w:hint="default"/>
      </w:rPr>
    </w:lvl>
    <w:lvl w:ilvl="1" w:tplc="08160003" w:tentative="1">
      <w:start w:val="1"/>
      <w:numFmt w:val="bullet"/>
      <w:lvlText w:val="o"/>
      <w:lvlJc w:val="left"/>
      <w:pPr>
        <w:ind w:left="3283" w:hanging="360"/>
      </w:pPr>
      <w:rPr>
        <w:rFonts w:ascii="Courier New" w:hAnsi="Courier New" w:cs="Courier New" w:hint="default"/>
      </w:rPr>
    </w:lvl>
    <w:lvl w:ilvl="2" w:tplc="08160005" w:tentative="1">
      <w:start w:val="1"/>
      <w:numFmt w:val="bullet"/>
      <w:lvlText w:val=""/>
      <w:lvlJc w:val="left"/>
      <w:pPr>
        <w:ind w:left="4003" w:hanging="360"/>
      </w:pPr>
      <w:rPr>
        <w:rFonts w:ascii="Wingdings" w:hAnsi="Wingdings" w:hint="default"/>
      </w:rPr>
    </w:lvl>
    <w:lvl w:ilvl="3" w:tplc="08160001" w:tentative="1">
      <w:start w:val="1"/>
      <w:numFmt w:val="bullet"/>
      <w:lvlText w:val=""/>
      <w:lvlJc w:val="left"/>
      <w:pPr>
        <w:ind w:left="4723" w:hanging="360"/>
      </w:pPr>
      <w:rPr>
        <w:rFonts w:ascii="Symbol" w:hAnsi="Symbol" w:hint="default"/>
      </w:rPr>
    </w:lvl>
    <w:lvl w:ilvl="4" w:tplc="08160003" w:tentative="1">
      <w:start w:val="1"/>
      <w:numFmt w:val="bullet"/>
      <w:lvlText w:val="o"/>
      <w:lvlJc w:val="left"/>
      <w:pPr>
        <w:ind w:left="5443" w:hanging="360"/>
      </w:pPr>
      <w:rPr>
        <w:rFonts w:ascii="Courier New" w:hAnsi="Courier New" w:cs="Courier New" w:hint="default"/>
      </w:rPr>
    </w:lvl>
    <w:lvl w:ilvl="5" w:tplc="08160005" w:tentative="1">
      <w:start w:val="1"/>
      <w:numFmt w:val="bullet"/>
      <w:lvlText w:val=""/>
      <w:lvlJc w:val="left"/>
      <w:pPr>
        <w:ind w:left="6163" w:hanging="360"/>
      </w:pPr>
      <w:rPr>
        <w:rFonts w:ascii="Wingdings" w:hAnsi="Wingdings" w:hint="default"/>
      </w:rPr>
    </w:lvl>
    <w:lvl w:ilvl="6" w:tplc="08160001" w:tentative="1">
      <w:start w:val="1"/>
      <w:numFmt w:val="bullet"/>
      <w:lvlText w:val=""/>
      <w:lvlJc w:val="left"/>
      <w:pPr>
        <w:ind w:left="6883" w:hanging="360"/>
      </w:pPr>
      <w:rPr>
        <w:rFonts w:ascii="Symbol" w:hAnsi="Symbol" w:hint="default"/>
      </w:rPr>
    </w:lvl>
    <w:lvl w:ilvl="7" w:tplc="08160003" w:tentative="1">
      <w:start w:val="1"/>
      <w:numFmt w:val="bullet"/>
      <w:lvlText w:val="o"/>
      <w:lvlJc w:val="left"/>
      <w:pPr>
        <w:ind w:left="7603" w:hanging="360"/>
      </w:pPr>
      <w:rPr>
        <w:rFonts w:ascii="Courier New" w:hAnsi="Courier New" w:cs="Courier New" w:hint="default"/>
      </w:rPr>
    </w:lvl>
    <w:lvl w:ilvl="8" w:tplc="08160005" w:tentative="1">
      <w:start w:val="1"/>
      <w:numFmt w:val="bullet"/>
      <w:lvlText w:val=""/>
      <w:lvlJc w:val="left"/>
      <w:pPr>
        <w:ind w:left="8323" w:hanging="360"/>
      </w:pPr>
      <w:rPr>
        <w:rFonts w:ascii="Wingdings" w:hAnsi="Wingdings" w:hint="default"/>
      </w:rPr>
    </w:lvl>
  </w:abstractNum>
  <w:abstractNum w:abstractNumId="56" w15:restartNumberingAfterBreak="0">
    <w:nsid w:val="69467D71"/>
    <w:multiLevelType w:val="multilevel"/>
    <w:tmpl w:val="7E1A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B51421D"/>
    <w:multiLevelType w:val="hybridMultilevel"/>
    <w:tmpl w:val="1DB032BC"/>
    <w:lvl w:ilvl="0" w:tplc="08160001">
      <w:start w:val="1"/>
      <w:numFmt w:val="bullet"/>
      <w:lvlText w:val=""/>
      <w:lvlJc w:val="left"/>
      <w:pPr>
        <w:ind w:left="2138" w:hanging="360"/>
      </w:pPr>
      <w:rPr>
        <w:rFonts w:ascii="Symbol" w:hAnsi="Symbol" w:hint="default"/>
      </w:rPr>
    </w:lvl>
    <w:lvl w:ilvl="1" w:tplc="08160003" w:tentative="1">
      <w:start w:val="1"/>
      <w:numFmt w:val="bullet"/>
      <w:lvlText w:val="o"/>
      <w:lvlJc w:val="left"/>
      <w:pPr>
        <w:ind w:left="2858" w:hanging="360"/>
      </w:pPr>
      <w:rPr>
        <w:rFonts w:ascii="Courier New" w:hAnsi="Courier New" w:cs="Courier New" w:hint="default"/>
      </w:rPr>
    </w:lvl>
    <w:lvl w:ilvl="2" w:tplc="08160005" w:tentative="1">
      <w:start w:val="1"/>
      <w:numFmt w:val="bullet"/>
      <w:lvlText w:val=""/>
      <w:lvlJc w:val="left"/>
      <w:pPr>
        <w:ind w:left="3578" w:hanging="360"/>
      </w:pPr>
      <w:rPr>
        <w:rFonts w:ascii="Wingdings" w:hAnsi="Wingdings" w:hint="default"/>
      </w:rPr>
    </w:lvl>
    <w:lvl w:ilvl="3" w:tplc="08160001" w:tentative="1">
      <w:start w:val="1"/>
      <w:numFmt w:val="bullet"/>
      <w:lvlText w:val=""/>
      <w:lvlJc w:val="left"/>
      <w:pPr>
        <w:ind w:left="4298" w:hanging="360"/>
      </w:pPr>
      <w:rPr>
        <w:rFonts w:ascii="Symbol" w:hAnsi="Symbol" w:hint="default"/>
      </w:rPr>
    </w:lvl>
    <w:lvl w:ilvl="4" w:tplc="08160003" w:tentative="1">
      <w:start w:val="1"/>
      <w:numFmt w:val="bullet"/>
      <w:lvlText w:val="o"/>
      <w:lvlJc w:val="left"/>
      <w:pPr>
        <w:ind w:left="5018" w:hanging="360"/>
      </w:pPr>
      <w:rPr>
        <w:rFonts w:ascii="Courier New" w:hAnsi="Courier New" w:cs="Courier New" w:hint="default"/>
      </w:rPr>
    </w:lvl>
    <w:lvl w:ilvl="5" w:tplc="08160005" w:tentative="1">
      <w:start w:val="1"/>
      <w:numFmt w:val="bullet"/>
      <w:lvlText w:val=""/>
      <w:lvlJc w:val="left"/>
      <w:pPr>
        <w:ind w:left="5738" w:hanging="360"/>
      </w:pPr>
      <w:rPr>
        <w:rFonts w:ascii="Wingdings" w:hAnsi="Wingdings" w:hint="default"/>
      </w:rPr>
    </w:lvl>
    <w:lvl w:ilvl="6" w:tplc="08160001" w:tentative="1">
      <w:start w:val="1"/>
      <w:numFmt w:val="bullet"/>
      <w:lvlText w:val=""/>
      <w:lvlJc w:val="left"/>
      <w:pPr>
        <w:ind w:left="6458" w:hanging="360"/>
      </w:pPr>
      <w:rPr>
        <w:rFonts w:ascii="Symbol" w:hAnsi="Symbol" w:hint="default"/>
      </w:rPr>
    </w:lvl>
    <w:lvl w:ilvl="7" w:tplc="08160003" w:tentative="1">
      <w:start w:val="1"/>
      <w:numFmt w:val="bullet"/>
      <w:lvlText w:val="o"/>
      <w:lvlJc w:val="left"/>
      <w:pPr>
        <w:ind w:left="7178" w:hanging="360"/>
      </w:pPr>
      <w:rPr>
        <w:rFonts w:ascii="Courier New" w:hAnsi="Courier New" w:cs="Courier New" w:hint="default"/>
      </w:rPr>
    </w:lvl>
    <w:lvl w:ilvl="8" w:tplc="08160005" w:tentative="1">
      <w:start w:val="1"/>
      <w:numFmt w:val="bullet"/>
      <w:lvlText w:val=""/>
      <w:lvlJc w:val="left"/>
      <w:pPr>
        <w:ind w:left="7898" w:hanging="360"/>
      </w:pPr>
      <w:rPr>
        <w:rFonts w:ascii="Wingdings" w:hAnsi="Wingdings" w:hint="default"/>
      </w:rPr>
    </w:lvl>
  </w:abstractNum>
  <w:abstractNum w:abstractNumId="58" w15:restartNumberingAfterBreak="0">
    <w:nsid w:val="6C2F0D2F"/>
    <w:multiLevelType w:val="multilevel"/>
    <w:tmpl w:val="7E1A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E451CCE"/>
    <w:multiLevelType w:val="hybridMultilevel"/>
    <w:tmpl w:val="96129B0E"/>
    <w:lvl w:ilvl="0" w:tplc="8E967914">
      <w:start w:val="1"/>
      <w:numFmt w:val="lowerRoman"/>
      <w:lvlText w:val="(%1)"/>
      <w:lvlJc w:val="left"/>
      <w:pPr>
        <w:ind w:left="1996" w:hanging="720"/>
      </w:pPr>
      <w:rPr>
        <w:rFonts w:hint="default"/>
      </w:rPr>
    </w:lvl>
    <w:lvl w:ilvl="1" w:tplc="08160019" w:tentative="1">
      <w:start w:val="1"/>
      <w:numFmt w:val="lowerLetter"/>
      <w:lvlText w:val="%2."/>
      <w:lvlJc w:val="left"/>
      <w:pPr>
        <w:ind w:left="2356" w:hanging="360"/>
      </w:pPr>
    </w:lvl>
    <w:lvl w:ilvl="2" w:tplc="0816001B" w:tentative="1">
      <w:start w:val="1"/>
      <w:numFmt w:val="lowerRoman"/>
      <w:lvlText w:val="%3."/>
      <w:lvlJc w:val="right"/>
      <w:pPr>
        <w:ind w:left="3076" w:hanging="180"/>
      </w:pPr>
    </w:lvl>
    <w:lvl w:ilvl="3" w:tplc="0816000F" w:tentative="1">
      <w:start w:val="1"/>
      <w:numFmt w:val="decimal"/>
      <w:lvlText w:val="%4."/>
      <w:lvlJc w:val="left"/>
      <w:pPr>
        <w:ind w:left="3796" w:hanging="360"/>
      </w:pPr>
    </w:lvl>
    <w:lvl w:ilvl="4" w:tplc="08160019" w:tentative="1">
      <w:start w:val="1"/>
      <w:numFmt w:val="lowerLetter"/>
      <w:lvlText w:val="%5."/>
      <w:lvlJc w:val="left"/>
      <w:pPr>
        <w:ind w:left="4516" w:hanging="360"/>
      </w:pPr>
    </w:lvl>
    <w:lvl w:ilvl="5" w:tplc="0816001B" w:tentative="1">
      <w:start w:val="1"/>
      <w:numFmt w:val="lowerRoman"/>
      <w:lvlText w:val="%6."/>
      <w:lvlJc w:val="right"/>
      <w:pPr>
        <w:ind w:left="5236" w:hanging="180"/>
      </w:pPr>
    </w:lvl>
    <w:lvl w:ilvl="6" w:tplc="0816000F" w:tentative="1">
      <w:start w:val="1"/>
      <w:numFmt w:val="decimal"/>
      <w:lvlText w:val="%7."/>
      <w:lvlJc w:val="left"/>
      <w:pPr>
        <w:ind w:left="5956" w:hanging="360"/>
      </w:pPr>
    </w:lvl>
    <w:lvl w:ilvl="7" w:tplc="08160019" w:tentative="1">
      <w:start w:val="1"/>
      <w:numFmt w:val="lowerLetter"/>
      <w:lvlText w:val="%8."/>
      <w:lvlJc w:val="left"/>
      <w:pPr>
        <w:ind w:left="6676" w:hanging="360"/>
      </w:pPr>
    </w:lvl>
    <w:lvl w:ilvl="8" w:tplc="0816001B" w:tentative="1">
      <w:start w:val="1"/>
      <w:numFmt w:val="lowerRoman"/>
      <w:lvlText w:val="%9."/>
      <w:lvlJc w:val="right"/>
      <w:pPr>
        <w:ind w:left="7396" w:hanging="180"/>
      </w:pPr>
    </w:lvl>
  </w:abstractNum>
  <w:abstractNum w:abstractNumId="60" w15:restartNumberingAfterBreak="0">
    <w:nsid w:val="6EC83503"/>
    <w:multiLevelType w:val="hybridMultilevel"/>
    <w:tmpl w:val="FA8C94F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1" w15:restartNumberingAfterBreak="0">
    <w:nsid w:val="70F40711"/>
    <w:multiLevelType w:val="hybridMultilevel"/>
    <w:tmpl w:val="955A1856"/>
    <w:lvl w:ilvl="0" w:tplc="08160001">
      <w:start w:val="1"/>
      <w:numFmt w:val="bullet"/>
      <w:lvlText w:val=""/>
      <w:lvlJc w:val="left"/>
      <w:pPr>
        <w:ind w:left="770" w:hanging="360"/>
      </w:pPr>
      <w:rPr>
        <w:rFonts w:ascii="Symbol" w:hAnsi="Symbol" w:hint="default"/>
      </w:rPr>
    </w:lvl>
    <w:lvl w:ilvl="1" w:tplc="08160003" w:tentative="1">
      <w:start w:val="1"/>
      <w:numFmt w:val="bullet"/>
      <w:lvlText w:val="o"/>
      <w:lvlJc w:val="left"/>
      <w:pPr>
        <w:ind w:left="1490" w:hanging="360"/>
      </w:pPr>
      <w:rPr>
        <w:rFonts w:ascii="Courier New" w:hAnsi="Courier New" w:cs="Courier New" w:hint="default"/>
      </w:rPr>
    </w:lvl>
    <w:lvl w:ilvl="2" w:tplc="08160005" w:tentative="1">
      <w:start w:val="1"/>
      <w:numFmt w:val="bullet"/>
      <w:lvlText w:val=""/>
      <w:lvlJc w:val="left"/>
      <w:pPr>
        <w:ind w:left="2210" w:hanging="360"/>
      </w:pPr>
      <w:rPr>
        <w:rFonts w:ascii="Wingdings" w:hAnsi="Wingdings" w:hint="default"/>
      </w:rPr>
    </w:lvl>
    <w:lvl w:ilvl="3" w:tplc="08160001" w:tentative="1">
      <w:start w:val="1"/>
      <w:numFmt w:val="bullet"/>
      <w:lvlText w:val=""/>
      <w:lvlJc w:val="left"/>
      <w:pPr>
        <w:ind w:left="2930" w:hanging="360"/>
      </w:pPr>
      <w:rPr>
        <w:rFonts w:ascii="Symbol" w:hAnsi="Symbol" w:hint="default"/>
      </w:rPr>
    </w:lvl>
    <w:lvl w:ilvl="4" w:tplc="08160003" w:tentative="1">
      <w:start w:val="1"/>
      <w:numFmt w:val="bullet"/>
      <w:lvlText w:val="o"/>
      <w:lvlJc w:val="left"/>
      <w:pPr>
        <w:ind w:left="3650" w:hanging="360"/>
      </w:pPr>
      <w:rPr>
        <w:rFonts w:ascii="Courier New" w:hAnsi="Courier New" w:cs="Courier New" w:hint="default"/>
      </w:rPr>
    </w:lvl>
    <w:lvl w:ilvl="5" w:tplc="08160005" w:tentative="1">
      <w:start w:val="1"/>
      <w:numFmt w:val="bullet"/>
      <w:lvlText w:val=""/>
      <w:lvlJc w:val="left"/>
      <w:pPr>
        <w:ind w:left="4370" w:hanging="360"/>
      </w:pPr>
      <w:rPr>
        <w:rFonts w:ascii="Wingdings" w:hAnsi="Wingdings" w:hint="default"/>
      </w:rPr>
    </w:lvl>
    <w:lvl w:ilvl="6" w:tplc="08160001" w:tentative="1">
      <w:start w:val="1"/>
      <w:numFmt w:val="bullet"/>
      <w:lvlText w:val=""/>
      <w:lvlJc w:val="left"/>
      <w:pPr>
        <w:ind w:left="5090" w:hanging="360"/>
      </w:pPr>
      <w:rPr>
        <w:rFonts w:ascii="Symbol" w:hAnsi="Symbol" w:hint="default"/>
      </w:rPr>
    </w:lvl>
    <w:lvl w:ilvl="7" w:tplc="08160003" w:tentative="1">
      <w:start w:val="1"/>
      <w:numFmt w:val="bullet"/>
      <w:lvlText w:val="o"/>
      <w:lvlJc w:val="left"/>
      <w:pPr>
        <w:ind w:left="5810" w:hanging="360"/>
      </w:pPr>
      <w:rPr>
        <w:rFonts w:ascii="Courier New" w:hAnsi="Courier New" w:cs="Courier New" w:hint="default"/>
      </w:rPr>
    </w:lvl>
    <w:lvl w:ilvl="8" w:tplc="08160005" w:tentative="1">
      <w:start w:val="1"/>
      <w:numFmt w:val="bullet"/>
      <w:lvlText w:val=""/>
      <w:lvlJc w:val="left"/>
      <w:pPr>
        <w:ind w:left="6530" w:hanging="360"/>
      </w:pPr>
      <w:rPr>
        <w:rFonts w:ascii="Wingdings" w:hAnsi="Wingdings" w:hint="default"/>
      </w:rPr>
    </w:lvl>
  </w:abstractNum>
  <w:abstractNum w:abstractNumId="62" w15:restartNumberingAfterBreak="0">
    <w:nsid w:val="72D95053"/>
    <w:multiLevelType w:val="hybridMultilevel"/>
    <w:tmpl w:val="A2DAF8A8"/>
    <w:lvl w:ilvl="0" w:tplc="FFFFFFFF">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380357F"/>
    <w:multiLevelType w:val="hybridMultilevel"/>
    <w:tmpl w:val="02D26EE2"/>
    <w:lvl w:ilvl="0" w:tplc="0816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num w:numId="1" w16cid:durableId="1914045360">
    <w:abstractNumId w:val="21"/>
  </w:num>
  <w:num w:numId="2" w16cid:durableId="1398212648">
    <w:abstractNumId w:val="14"/>
  </w:num>
  <w:num w:numId="3" w16cid:durableId="917136923">
    <w:abstractNumId w:val="50"/>
  </w:num>
  <w:num w:numId="4" w16cid:durableId="842429015">
    <w:abstractNumId w:val="41"/>
  </w:num>
  <w:num w:numId="5" w16cid:durableId="678897385">
    <w:abstractNumId w:val="53"/>
  </w:num>
  <w:num w:numId="6" w16cid:durableId="1391994975">
    <w:abstractNumId w:val="12"/>
  </w:num>
  <w:num w:numId="7" w16cid:durableId="1555851442">
    <w:abstractNumId w:val="11"/>
  </w:num>
  <w:num w:numId="8" w16cid:durableId="1203444607">
    <w:abstractNumId w:val="55"/>
  </w:num>
  <w:num w:numId="9" w16cid:durableId="482699968">
    <w:abstractNumId w:val="46"/>
  </w:num>
  <w:num w:numId="10" w16cid:durableId="630286499">
    <w:abstractNumId w:val="32"/>
  </w:num>
  <w:num w:numId="11" w16cid:durableId="423843992">
    <w:abstractNumId w:val="35"/>
  </w:num>
  <w:num w:numId="12" w16cid:durableId="1687638775">
    <w:abstractNumId w:val="26"/>
  </w:num>
  <w:num w:numId="13" w16cid:durableId="1860773290">
    <w:abstractNumId w:val="20"/>
  </w:num>
  <w:num w:numId="14" w16cid:durableId="1250654242">
    <w:abstractNumId w:val="57"/>
  </w:num>
  <w:num w:numId="15" w16cid:durableId="554969079">
    <w:abstractNumId w:val="9"/>
  </w:num>
  <w:num w:numId="16" w16cid:durableId="1793668338">
    <w:abstractNumId w:val="6"/>
  </w:num>
  <w:num w:numId="17" w16cid:durableId="80180487">
    <w:abstractNumId w:val="60"/>
  </w:num>
  <w:num w:numId="18" w16cid:durableId="1179587783">
    <w:abstractNumId w:val="51"/>
  </w:num>
  <w:num w:numId="19" w16cid:durableId="868226560">
    <w:abstractNumId w:val="18"/>
  </w:num>
  <w:num w:numId="20" w16cid:durableId="780757269">
    <w:abstractNumId w:val="63"/>
  </w:num>
  <w:num w:numId="21" w16cid:durableId="207566966">
    <w:abstractNumId w:val="59"/>
  </w:num>
  <w:num w:numId="22" w16cid:durableId="1767772119">
    <w:abstractNumId w:val="48"/>
  </w:num>
  <w:num w:numId="23" w16cid:durableId="1955553738">
    <w:abstractNumId w:val="42"/>
  </w:num>
  <w:num w:numId="24" w16cid:durableId="1548447042">
    <w:abstractNumId w:val="29"/>
  </w:num>
  <w:num w:numId="25" w16cid:durableId="1289121192">
    <w:abstractNumId w:val="0"/>
  </w:num>
  <w:num w:numId="26" w16cid:durableId="2043937531">
    <w:abstractNumId w:val="22"/>
  </w:num>
  <w:num w:numId="27" w16cid:durableId="518932494">
    <w:abstractNumId w:val="7"/>
  </w:num>
  <w:num w:numId="28" w16cid:durableId="122963829">
    <w:abstractNumId w:val="45"/>
  </w:num>
  <w:num w:numId="29" w16cid:durableId="840584789">
    <w:abstractNumId w:val="10"/>
  </w:num>
  <w:num w:numId="30" w16cid:durableId="1275821643">
    <w:abstractNumId w:val="15"/>
  </w:num>
  <w:num w:numId="31" w16cid:durableId="1358845804">
    <w:abstractNumId w:val="31"/>
  </w:num>
  <w:num w:numId="32" w16cid:durableId="459224223">
    <w:abstractNumId w:val="2"/>
  </w:num>
  <w:num w:numId="33" w16cid:durableId="990063894">
    <w:abstractNumId w:val="19"/>
  </w:num>
  <w:num w:numId="34" w16cid:durableId="356657233">
    <w:abstractNumId w:val="37"/>
  </w:num>
  <w:num w:numId="35" w16cid:durableId="787814215">
    <w:abstractNumId w:val="16"/>
  </w:num>
  <w:num w:numId="36" w16cid:durableId="570308230">
    <w:abstractNumId w:val="44"/>
  </w:num>
  <w:num w:numId="37" w16cid:durableId="1743335625">
    <w:abstractNumId w:val="1"/>
  </w:num>
  <w:num w:numId="38" w16cid:durableId="750127921">
    <w:abstractNumId w:val="4"/>
  </w:num>
  <w:num w:numId="39" w16cid:durableId="64181755">
    <w:abstractNumId w:val="39"/>
  </w:num>
  <w:num w:numId="40" w16cid:durableId="989754458">
    <w:abstractNumId w:val="62"/>
  </w:num>
  <w:num w:numId="41" w16cid:durableId="1767264567">
    <w:abstractNumId w:val="61"/>
  </w:num>
  <w:num w:numId="42" w16cid:durableId="1845852442">
    <w:abstractNumId w:val="38"/>
  </w:num>
  <w:num w:numId="43" w16cid:durableId="1510170687">
    <w:abstractNumId w:val="5"/>
  </w:num>
  <w:num w:numId="44" w16cid:durableId="1065374600">
    <w:abstractNumId w:val="28"/>
  </w:num>
  <w:num w:numId="45" w16cid:durableId="464740056">
    <w:abstractNumId w:val="43"/>
  </w:num>
  <w:num w:numId="46" w16cid:durableId="1898543123">
    <w:abstractNumId w:val="25"/>
  </w:num>
  <w:num w:numId="47" w16cid:durableId="1051536995">
    <w:abstractNumId w:val="49"/>
  </w:num>
  <w:num w:numId="48" w16cid:durableId="1054816759">
    <w:abstractNumId w:val="40"/>
  </w:num>
  <w:num w:numId="49" w16cid:durableId="1936673473">
    <w:abstractNumId w:val="30"/>
  </w:num>
  <w:num w:numId="50" w16cid:durableId="1641304130">
    <w:abstractNumId w:val="3"/>
  </w:num>
  <w:num w:numId="51" w16cid:durableId="425420052">
    <w:abstractNumId w:val="13"/>
  </w:num>
  <w:num w:numId="52" w16cid:durableId="359361219">
    <w:abstractNumId w:val="8"/>
  </w:num>
  <w:num w:numId="53" w16cid:durableId="437264386">
    <w:abstractNumId w:val="27"/>
  </w:num>
  <w:num w:numId="54" w16cid:durableId="92240898">
    <w:abstractNumId w:val="23"/>
  </w:num>
  <w:num w:numId="55" w16cid:durableId="1352797602">
    <w:abstractNumId w:val="34"/>
  </w:num>
  <w:num w:numId="56" w16cid:durableId="1759210214">
    <w:abstractNumId w:val="24"/>
  </w:num>
  <w:num w:numId="57" w16cid:durableId="1236353391">
    <w:abstractNumId w:val="36"/>
  </w:num>
  <w:num w:numId="58" w16cid:durableId="2022392331">
    <w:abstractNumId w:val="58"/>
  </w:num>
  <w:num w:numId="59" w16cid:durableId="552617005">
    <w:abstractNumId w:val="33"/>
  </w:num>
  <w:num w:numId="60" w16cid:durableId="1520585094">
    <w:abstractNumId w:val="52"/>
  </w:num>
  <w:num w:numId="61" w16cid:durableId="903031029">
    <w:abstractNumId w:val="56"/>
  </w:num>
  <w:num w:numId="62" w16cid:durableId="2021614864">
    <w:abstractNumId w:val="54"/>
  </w:num>
  <w:num w:numId="63" w16cid:durableId="2030764117">
    <w:abstractNumId w:val="47"/>
  </w:num>
  <w:num w:numId="64" w16cid:durableId="1053235317">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pt-PT" w:vendorID="64" w:dllVersion="6" w:nlCheck="1" w:checkStyle="0"/>
  <w:activeWritingStyle w:appName="MSWord" w:lang="pt-PT" w:vendorID="64" w:dllVersion="0" w:nlCheck="1" w:checkStyle="0"/>
  <w:activeWritingStyle w:appName="MSWord" w:lang="pt-PT"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0F1"/>
    <w:rsid w:val="00000791"/>
    <w:rsid w:val="00001307"/>
    <w:rsid w:val="00001646"/>
    <w:rsid w:val="00001686"/>
    <w:rsid w:val="00001772"/>
    <w:rsid w:val="00001E0C"/>
    <w:rsid w:val="00001FD5"/>
    <w:rsid w:val="00002095"/>
    <w:rsid w:val="00002DF6"/>
    <w:rsid w:val="0000383A"/>
    <w:rsid w:val="00003AF4"/>
    <w:rsid w:val="00003CD4"/>
    <w:rsid w:val="00003D82"/>
    <w:rsid w:val="00003E07"/>
    <w:rsid w:val="00003FF6"/>
    <w:rsid w:val="00004315"/>
    <w:rsid w:val="00004435"/>
    <w:rsid w:val="0000451A"/>
    <w:rsid w:val="00004C0A"/>
    <w:rsid w:val="00004CE4"/>
    <w:rsid w:val="000051E9"/>
    <w:rsid w:val="00005539"/>
    <w:rsid w:val="000061B2"/>
    <w:rsid w:val="000063DF"/>
    <w:rsid w:val="000066AF"/>
    <w:rsid w:val="000066FA"/>
    <w:rsid w:val="000068CA"/>
    <w:rsid w:val="00006953"/>
    <w:rsid w:val="00006B24"/>
    <w:rsid w:val="00006DE1"/>
    <w:rsid w:val="0000740A"/>
    <w:rsid w:val="00010011"/>
    <w:rsid w:val="00010293"/>
    <w:rsid w:val="000103E6"/>
    <w:rsid w:val="00010467"/>
    <w:rsid w:val="0001061D"/>
    <w:rsid w:val="000108A4"/>
    <w:rsid w:val="000108A5"/>
    <w:rsid w:val="0001098B"/>
    <w:rsid w:val="000116E6"/>
    <w:rsid w:val="000119BD"/>
    <w:rsid w:val="00011F8F"/>
    <w:rsid w:val="000120A8"/>
    <w:rsid w:val="000120FD"/>
    <w:rsid w:val="0001229C"/>
    <w:rsid w:val="0001247C"/>
    <w:rsid w:val="000124EE"/>
    <w:rsid w:val="00012597"/>
    <w:rsid w:val="00012BE5"/>
    <w:rsid w:val="00012F0C"/>
    <w:rsid w:val="00013130"/>
    <w:rsid w:val="000131E4"/>
    <w:rsid w:val="00013268"/>
    <w:rsid w:val="0001332C"/>
    <w:rsid w:val="0001338A"/>
    <w:rsid w:val="0001352F"/>
    <w:rsid w:val="00013806"/>
    <w:rsid w:val="00013922"/>
    <w:rsid w:val="00013ABA"/>
    <w:rsid w:val="000140D1"/>
    <w:rsid w:val="000142A6"/>
    <w:rsid w:val="00014348"/>
    <w:rsid w:val="0001445D"/>
    <w:rsid w:val="0001447F"/>
    <w:rsid w:val="00014739"/>
    <w:rsid w:val="00014751"/>
    <w:rsid w:val="00014A8E"/>
    <w:rsid w:val="00014C66"/>
    <w:rsid w:val="00014F2F"/>
    <w:rsid w:val="000150B9"/>
    <w:rsid w:val="000150F5"/>
    <w:rsid w:val="00015316"/>
    <w:rsid w:val="0001540F"/>
    <w:rsid w:val="0001570A"/>
    <w:rsid w:val="0001596A"/>
    <w:rsid w:val="00015C3F"/>
    <w:rsid w:val="00015F4E"/>
    <w:rsid w:val="000165EA"/>
    <w:rsid w:val="0001676F"/>
    <w:rsid w:val="00016E1C"/>
    <w:rsid w:val="00016FCA"/>
    <w:rsid w:val="00017076"/>
    <w:rsid w:val="0001752F"/>
    <w:rsid w:val="000175E4"/>
    <w:rsid w:val="00017B13"/>
    <w:rsid w:val="00017CA0"/>
    <w:rsid w:val="00017DDE"/>
    <w:rsid w:val="00020B6E"/>
    <w:rsid w:val="00020BD4"/>
    <w:rsid w:val="00020C2A"/>
    <w:rsid w:val="00020D3B"/>
    <w:rsid w:val="00021B7F"/>
    <w:rsid w:val="00021F6C"/>
    <w:rsid w:val="00022528"/>
    <w:rsid w:val="0002283F"/>
    <w:rsid w:val="00022F37"/>
    <w:rsid w:val="000237B0"/>
    <w:rsid w:val="00023908"/>
    <w:rsid w:val="00024ECD"/>
    <w:rsid w:val="00025195"/>
    <w:rsid w:val="000252B2"/>
    <w:rsid w:val="000252DA"/>
    <w:rsid w:val="000255E3"/>
    <w:rsid w:val="000257E0"/>
    <w:rsid w:val="00025877"/>
    <w:rsid w:val="000259A7"/>
    <w:rsid w:val="00025AD3"/>
    <w:rsid w:val="0002605D"/>
    <w:rsid w:val="00026163"/>
    <w:rsid w:val="000262DB"/>
    <w:rsid w:val="00026477"/>
    <w:rsid w:val="000264FB"/>
    <w:rsid w:val="0002698E"/>
    <w:rsid w:val="00027061"/>
    <w:rsid w:val="00027224"/>
    <w:rsid w:val="00027616"/>
    <w:rsid w:val="00027665"/>
    <w:rsid w:val="00027A49"/>
    <w:rsid w:val="00027E02"/>
    <w:rsid w:val="00027E10"/>
    <w:rsid w:val="00027E89"/>
    <w:rsid w:val="00027EFC"/>
    <w:rsid w:val="00027FF4"/>
    <w:rsid w:val="000309C0"/>
    <w:rsid w:val="00030A59"/>
    <w:rsid w:val="00030B6A"/>
    <w:rsid w:val="00030D72"/>
    <w:rsid w:val="0003102D"/>
    <w:rsid w:val="0003134F"/>
    <w:rsid w:val="00031733"/>
    <w:rsid w:val="00031ABA"/>
    <w:rsid w:val="00032297"/>
    <w:rsid w:val="0003235D"/>
    <w:rsid w:val="000324B4"/>
    <w:rsid w:val="000327B5"/>
    <w:rsid w:val="0003367C"/>
    <w:rsid w:val="00033EC3"/>
    <w:rsid w:val="00033ED3"/>
    <w:rsid w:val="000341E6"/>
    <w:rsid w:val="000341E7"/>
    <w:rsid w:val="00034510"/>
    <w:rsid w:val="0003464C"/>
    <w:rsid w:val="0003477D"/>
    <w:rsid w:val="00034919"/>
    <w:rsid w:val="00034DAC"/>
    <w:rsid w:val="00035379"/>
    <w:rsid w:val="00035415"/>
    <w:rsid w:val="0003542A"/>
    <w:rsid w:val="00035847"/>
    <w:rsid w:val="000362BC"/>
    <w:rsid w:val="000363FE"/>
    <w:rsid w:val="0003660D"/>
    <w:rsid w:val="00036A5B"/>
    <w:rsid w:val="00036B86"/>
    <w:rsid w:val="000371EC"/>
    <w:rsid w:val="000374FB"/>
    <w:rsid w:val="0003770F"/>
    <w:rsid w:val="00037839"/>
    <w:rsid w:val="00037DAB"/>
    <w:rsid w:val="0004020C"/>
    <w:rsid w:val="00040443"/>
    <w:rsid w:val="000405EC"/>
    <w:rsid w:val="0004061F"/>
    <w:rsid w:val="000408C2"/>
    <w:rsid w:val="00040D47"/>
    <w:rsid w:val="00040D61"/>
    <w:rsid w:val="0004111E"/>
    <w:rsid w:val="00041724"/>
    <w:rsid w:val="00041CFA"/>
    <w:rsid w:val="0004215D"/>
    <w:rsid w:val="000422DD"/>
    <w:rsid w:val="00042426"/>
    <w:rsid w:val="0004245C"/>
    <w:rsid w:val="00042B36"/>
    <w:rsid w:val="00042BAD"/>
    <w:rsid w:val="00042CB8"/>
    <w:rsid w:val="000431BC"/>
    <w:rsid w:val="00043247"/>
    <w:rsid w:val="000436FD"/>
    <w:rsid w:val="0004376E"/>
    <w:rsid w:val="000443A4"/>
    <w:rsid w:val="00044873"/>
    <w:rsid w:val="00044911"/>
    <w:rsid w:val="00044932"/>
    <w:rsid w:val="00044D26"/>
    <w:rsid w:val="0004518D"/>
    <w:rsid w:val="00045926"/>
    <w:rsid w:val="000459FD"/>
    <w:rsid w:val="00045B0A"/>
    <w:rsid w:val="00045C17"/>
    <w:rsid w:val="0004609F"/>
    <w:rsid w:val="000463FA"/>
    <w:rsid w:val="0004665A"/>
    <w:rsid w:val="000467A2"/>
    <w:rsid w:val="00046837"/>
    <w:rsid w:val="00046941"/>
    <w:rsid w:val="00046A73"/>
    <w:rsid w:val="00046C31"/>
    <w:rsid w:val="00046E6C"/>
    <w:rsid w:val="00046E91"/>
    <w:rsid w:val="000471E1"/>
    <w:rsid w:val="00047EEC"/>
    <w:rsid w:val="0005042A"/>
    <w:rsid w:val="000505C8"/>
    <w:rsid w:val="00050738"/>
    <w:rsid w:val="00050911"/>
    <w:rsid w:val="00050CC0"/>
    <w:rsid w:val="00050CC9"/>
    <w:rsid w:val="00050E33"/>
    <w:rsid w:val="0005115B"/>
    <w:rsid w:val="00051458"/>
    <w:rsid w:val="000517BC"/>
    <w:rsid w:val="000517E7"/>
    <w:rsid w:val="00051AB6"/>
    <w:rsid w:val="00051C00"/>
    <w:rsid w:val="00051C4E"/>
    <w:rsid w:val="00051EA0"/>
    <w:rsid w:val="00051FD1"/>
    <w:rsid w:val="00052382"/>
    <w:rsid w:val="000527DE"/>
    <w:rsid w:val="000527FE"/>
    <w:rsid w:val="000528AE"/>
    <w:rsid w:val="00052948"/>
    <w:rsid w:val="0005296F"/>
    <w:rsid w:val="00052A59"/>
    <w:rsid w:val="00052A69"/>
    <w:rsid w:val="00052CE2"/>
    <w:rsid w:val="00052D20"/>
    <w:rsid w:val="00053132"/>
    <w:rsid w:val="0005313B"/>
    <w:rsid w:val="000532E8"/>
    <w:rsid w:val="00053300"/>
    <w:rsid w:val="00053342"/>
    <w:rsid w:val="000534B6"/>
    <w:rsid w:val="00053A49"/>
    <w:rsid w:val="00054042"/>
    <w:rsid w:val="0005490E"/>
    <w:rsid w:val="00054930"/>
    <w:rsid w:val="00054B16"/>
    <w:rsid w:val="0005508C"/>
    <w:rsid w:val="00055315"/>
    <w:rsid w:val="00055413"/>
    <w:rsid w:val="000559CB"/>
    <w:rsid w:val="00055A9C"/>
    <w:rsid w:val="00055CE9"/>
    <w:rsid w:val="00055ED3"/>
    <w:rsid w:val="00056489"/>
    <w:rsid w:val="00056870"/>
    <w:rsid w:val="000568AD"/>
    <w:rsid w:val="00056CF9"/>
    <w:rsid w:val="000570B7"/>
    <w:rsid w:val="0005737F"/>
    <w:rsid w:val="000573AB"/>
    <w:rsid w:val="000575DD"/>
    <w:rsid w:val="0005770A"/>
    <w:rsid w:val="00057EBF"/>
    <w:rsid w:val="0006025D"/>
    <w:rsid w:val="0006028C"/>
    <w:rsid w:val="00060472"/>
    <w:rsid w:val="00060667"/>
    <w:rsid w:val="00060958"/>
    <w:rsid w:val="00060E5B"/>
    <w:rsid w:val="00061127"/>
    <w:rsid w:val="0006112F"/>
    <w:rsid w:val="000613A6"/>
    <w:rsid w:val="000614EC"/>
    <w:rsid w:val="00061976"/>
    <w:rsid w:val="0006222A"/>
    <w:rsid w:val="0006250E"/>
    <w:rsid w:val="000627D7"/>
    <w:rsid w:val="000628CA"/>
    <w:rsid w:val="00062ADC"/>
    <w:rsid w:val="00063060"/>
    <w:rsid w:val="000632F6"/>
    <w:rsid w:val="00063422"/>
    <w:rsid w:val="000634AE"/>
    <w:rsid w:val="000636FB"/>
    <w:rsid w:val="0006376E"/>
    <w:rsid w:val="00063A86"/>
    <w:rsid w:val="00063AF6"/>
    <w:rsid w:val="00063CCA"/>
    <w:rsid w:val="00063D29"/>
    <w:rsid w:val="00063D65"/>
    <w:rsid w:val="00063DC3"/>
    <w:rsid w:val="0006416F"/>
    <w:rsid w:val="0006432B"/>
    <w:rsid w:val="000645FA"/>
    <w:rsid w:val="000647AA"/>
    <w:rsid w:val="00064A9E"/>
    <w:rsid w:val="00064B92"/>
    <w:rsid w:val="00064BC7"/>
    <w:rsid w:val="00064D8D"/>
    <w:rsid w:val="00064DD9"/>
    <w:rsid w:val="00064E88"/>
    <w:rsid w:val="00065191"/>
    <w:rsid w:val="00065288"/>
    <w:rsid w:val="000659F7"/>
    <w:rsid w:val="00065F63"/>
    <w:rsid w:val="000662ED"/>
    <w:rsid w:val="00066461"/>
    <w:rsid w:val="00066508"/>
    <w:rsid w:val="0006695C"/>
    <w:rsid w:val="00066A24"/>
    <w:rsid w:val="00066C0E"/>
    <w:rsid w:val="00066F6D"/>
    <w:rsid w:val="00067048"/>
    <w:rsid w:val="00067304"/>
    <w:rsid w:val="00067476"/>
    <w:rsid w:val="00067496"/>
    <w:rsid w:val="000674EC"/>
    <w:rsid w:val="0006760E"/>
    <w:rsid w:val="000676CA"/>
    <w:rsid w:val="00067860"/>
    <w:rsid w:val="00067ABC"/>
    <w:rsid w:val="00067C0D"/>
    <w:rsid w:val="00067C5F"/>
    <w:rsid w:val="00067F23"/>
    <w:rsid w:val="00070005"/>
    <w:rsid w:val="0007093C"/>
    <w:rsid w:val="00070BF9"/>
    <w:rsid w:val="00070C61"/>
    <w:rsid w:val="00070C84"/>
    <w:rsid w:val="00070F15"/>
    <w:rsid w:val="00071144"/>
    <w:rsid w:val="00071159"/>
    <w:rsid w:val="00071495"/>
    <w:rsid w:val="000714DF"/>
    <w:rsid w:val="00071BF3"/>
    <w:rsid w:val="00071C34"/>
    <w:rsid w:val="00072432"/>
    <w:rsid w:val="00072484"/>
    <w:rsid w:val="00072550"/>
    <w:rsid w:val="000725AD"/>
    <w:rsid w:val="000725EA"/>
    <w:rsid w:val="00072832"/>
    <w:rsid w:val="00072A37"/>
    <w:rsid w:val="000732BB"/>
    <w:rsid w:val="000733C0"/>
    <w:rsid w:val="00073B1C"/>
    <w:rsid w:val="00073C50"/>
    <w:rsid w:val="00073EFA"/>
    <w:rsid w:val="00074449"/>
    <w:rsid w:val="000744AB"/>
    <w:rsid w:val="00074D4D"/>
    <w:rsid w:val="000758A9"/>
    <w:rsid w:val="00075918"/>
    <w:rsid w:val="00075DB4"/>
    <w:rsid w:val="000763E5"/>
    <w:rsid w:val="000767B7"/>
    <w:rsid w:val="00076F00"/>
    <w:rsid w:val="000770CF"/>
    <w:rsid w:val="000772C0"/>
    <w:rsid w:val="000775C8"/>
    <w:rsid w:val="0007769F"/>
    <w:rsid w:val="00077840"/>
    <w:rsid w:val="00077848"/>
    <w:rsid w:val="00077D30"/>
    <w:rsid w:val="00077D8E"/>
    <w:rsid w:val="00077FE2"/>
    <w:rsid w:val="00077FFE"/>
    <w:rsid w:val="00080706"/>
    <w:rsid w:val="00080B9C"/>
    <w:rsid w:val="00080E32"/>
    <w:rsid w:val="000811E4"/>
    <w:rsid w:val="00081473"/>
    <w:rsid w:val="00081E67"/>
    <w:rsid w:val="00082009"/>
    <w:rsid w:val="000826FF"/>
    <w:rsid w:val="00082B80"/>
    <w:rsid w:val="00082E5A"/>
    <w:rsid w:val="00083356"/>
    <w:rsid w:val="00083785"/>
    <w:rsid w:val="000837E3"/>
    <w:rsid w:val="00083A98"/>
    <w:rsid w:val="00083CD2"/>
    <w:rsid w:val="00083DDE"/>
    <w:rsid w:val="00083FC6"/>
    <w:rsid w:val="000841C1"/>
    <w:rsid w:val="00084280"/>
    <w:rsid w:val="00084645"/>
    <w:rsid w:val="000848C2"/>
    <w:rsid w:val="00084913"/>
    <w:rsid w:val="0008546A"/>
    <w:rsid w:val="00085586"/>
    <w:rsid w:val="00085869"/>
    <w:rsid w:val="00085B4C"/>
    <w:rsid w:val="00085CD7"/>
    <w:rsid w:val="00085D45"/>
    <w:rsid w:val="00085D9A"/>
    <w:rsid w:val="0008623E"/>
    <w:rsid w:val="00086521"/>
    <w:rsid w:val="000866DF"/>
    <w:rsid w:val="000869E8"/>
    <w:rsid w:val="00086E8B"/>
    <w:rsid w:val="00086EC7"/>
    <w:rsid w:val="0008716F"/>
    <w:rsid w:val="0008720E"/>
    <w:rsid w:val="0008735C"/>
    <w:rsid w:val="00087529"/>
    <w:rsid w:val="00087598"/>
    <w:rsid w:val="00087A5D"/>
    <w:rsid w:val="00087D28"/>
    <w:rsid w:val="00087EC4"/>
    <w:rsid w:val="000902A5"/>
    <w:rsid w:val="00090550"/>
    <w:rsid w:val="00090969"/>
    <w:rsid w:val="00090C37"/>
    <w:rsid w:val="00090DF2"/>
    <w:rsid w:val="00090E2B"/>
    <w:rsid w:val="00090EE8"/>
    <w:rsid w:val="000911EA"/>
    <w:rsid w:val="000914F2"/>
    <w:rsid w:val="00091660"/>
    <w:rsid w:val="00091A0D"/>
    <w:rsid w:val="00091E1F"/>
    <w:rsid w:val="0009245C"/>
    <w:rsid w:val="000927AA"/>
    <w:rsid w:val="00092850"/>
    <w:rsid w:val="0009287B"/>
    <w:rsid w:val="00092916"/>
    <w:rsid w:val="00092C85"/>
    <w:rsid w:val="00093020"/>
    <w:rsid w:val="00093256"/>
    <w:rsid w:val="000934C7"/>
    <w:rsid w:val="00093737"/>
    <w:rsid w:val="00093C18"/>
    <w:rsid w:val="0009447B"/>
    <w:rsid w:val="00094616"/>
    <w:rsid w:val="000946EB"/>
    <w:rsid w:val="00094770"/>
    <w:rsid w:val="00094956"/>
    <w:rsid w:val="00094BB0"/>
    <w:rsid w:val="00094D8C"/>
    <w:rsid w:val="00095340"/>
    <w:rsid w:val="00095794"/>
    <w:rsid w:val="00095A2C"/>
    <w:rsid w:val="00095A9C"/>
    <w:rsid w:val="00095B5A"/>
    <w:rsid w:val="00095C26"/>
    <w:rsid w:val="00095CD4"/>
    <w:rsid w:val="00096046"/>
    <w:rsid w:val="000962DE"/>
    <w:rsid w:val="000964BE"/>
    <w:rsid w:val="0009672A"/>
    <w:rsid w:val="00096B2B"/>
    <w:rsid w:val="00096C2E"/>
    <w:rsid w:val="00096D1C"/>
    <w:rsid w:val="00096F91"/>
    <w:rsid w:val="00096FB4"/>
    <w:rsid w:val="000976C8"/>
    <w:rsid w:val="000A0246"/>
    <w:rsid w:val="000A033D"/>
    <w:rsid w:val="000A0571"/>
    <w:rsid w:val="000A0882"/>
    <w:rsid w:val="000A1058"/>
    <w:rsid w:val="000A13D0"/>
    <w:rsid w:val="000A1B08"/>
    <w:rsid w:val="000A2316"/>
    <w:rsid w:val="000A24F1"/>
    <w:rsid w:val="000A267B"/>
    <w:rsid w:val="000A2973"/>
    <w:rsid w:val="000A2A47"/>
    <w:rsid w:val="000A2D92"/>
    <w:rsid w:val="000A32D3"/>
    <w:rsid w:val="000A3480"/>
    <w:rsid w:val="000A36A7"/>
    <w:rsid w:val="000A3E4F"/>
    <w:rsid w:val="000A3FF7"/>
    <w:rsid w:val="000A4182"/>
    <w:rsid w:val="000A45A3"/>
    <w:rsid w:val="000A4BC6"/>
    <w:rsid w:val="000A4F23"/>
    <w:rsid w:val="000A4FBA"/>
    <w:rsid w:val="000A5083"/>
    <w:rsid w:val="000A56E3"/>
    <w:rsid w:val="000A5878"/>
    <w:rsid w:val="000A594B"/>
    <w:rsid w:val="000A5D33"/>
    <w:rsid w:val="000A5D99"/>
    <w:rsid w:val="000A6784"/>
    <w:rsid w:val="000A7029"/>
    <w:rsid w:val="000A7076"/>
    <w:rsid w:val="000A74C0"/>
    <w:rsid w:val="000A75A1"/>
    <w:rsid w:val="000A7722"/>
    <w:rsid w:val="000A784E"/>
    <w:rsid w:val="000A7857"/>
    <w:rsid w:val="000A7919"/>
    <w:rsid w:val="000A7BEF"/>
    <w:rsid w:val="000A7C81"/>
    <w:rsid w:val="000A7E42"/>
    <w:rsid w:val="000A7FC3"/>
    <w:rsid w:val="000B178C"/>
    <w:rsid w:val="000B19CA"/>
    <w:rsid w:val="000B1AD3"/>
    <w:rsid w:val="000B1AE5"/>
    <w:rsid w:val="000B1C52"/>
    <w:rsid w:val="000B1D30"/>
    <w:rsid w:val="000B1E1F"/>
    <w:rsid w:val="000B1FC4"/>
    <w:rsid w:val="000B1FF8"/>
    <w:rsid w:val="000B24E4"/>
    <w:rsid w:val="000B2625"/>
    <w:rsid w:val="000B2AAB"/>
    <w:rsid w:val="000B2AC4"/>
    <w:rsid w:val="000B2B08"/>
    <w:rsid w:val="000B3354"/>
    <w:rsid w:val="000B35C6"/>
    <w:rsid w:val="000B363C"/>
    <w:rsid w:val="000B393A"/>
    <w:rsid w:val="000B3991"/>
    <w:rsid w:val="000B39AE"/>
    <w:rsid w:val="000B3B9F"/>
    <w:rsid w:val="000B3C31"/>
    <w:rsid w:val="000B3CB7"/>
    <w:rsid w:val="000B3E3D"/>
    <w:rsid w:val="000B400D"/>
    <w:rsid w:val="000B40B8"/>
    <w:rsid w:val="000B4114"/>
    <w:rsid w:val="000B447B"/>
    <w:rsid w:val="000B4582"/>
    <w:rsid w:val="000B46B0"/>
    <w:rsid w:val="000B4A67"/>
    <w:rsid w:val="000B4D6D"/>
    <w:rsid w:val="000B4F95"/>
    <w:rsid w:val="000B5273"/>
    <w:rsid w:val="000B5E08"/>
    <w:rsid w:val="000B62EB"/>
    <w:rsid w:val="000B6336"/>
    <w:rsid w:val="000B6B0E"/>
    <w:rsid w:val="000B6BF4"/>
    <w:rsid w:val="000B6E19"/>
    <w:rsid w:val="000B70D3"/>
    <w:rsid w:val="000B7558"/>
    <w:rsid w:val="000B758C"/>
    <w:rsid w:val="000B7722"/>
    <w:rsid w:val="000C022D"/>
    <w:rsid w:val="000C0310"/>
    <w:rsid w:val="000C06F9"/>
    <w:rsid w:val="000C0BE6"/>
    <w:rsid w:val="000C1161"/>
    <w:rsid w:val="000C1167"/>
    <w:rsid w:val="000C221A"/>
    <w:rsid w:val="000C2656"/>
    <w:rsid w:val="000C272F"/>
    <w:rsid w:val="000C28F7"/>
    <w:rsid w:val="000C2E78"/>
    <w:rsid w:val="000C2EC4"/>
    <w:rsid w:val="000C2FE9"/>
    <w:rsid w:val="000C34F5"/>
    <w:rsid w:val="000C3748"/>
    <w:rsid w:val="000C3B49"/>
    <w:rsid w:val="000C3BFB"/>
    <w:rsid w:val="000C3C57"/>
    <w:rsid w:val="000C4393"/>
    <w:rsid w:val="000C494A"/>
    <w:rsid w:val="000C4D25"/>
    <w:rsid w:val="000C5285"/>
    <w:rsid w:val="000C52F7"/>
    <w:rsid w:val="000C5468"/>
    <w:rsid w:val="000C582B"/>
    <w:rsid w:val="000C5931"/>
    <w:rsid w:val="000C5A6D"/>
    <w:rsid w:val="000C6138"/>
    <w:rsid w:val="000C66E2"/>
    <w:rsid w:val="000C686C"/>
    <w:rsid w:val="000C6C07"/>
    <w:rsid w:val="000C6F6E"/>
    <w:rsid w:val="000C72C3"/>
    <w:rsid w:val="000C733C"/>
    <w:rsid w:val="000C7408"/>
    <w:rsid w:val="000C7598"/>
    <w:rsid w:val="000C7879"/>
    <w:rsid w:val="000C7952"/>
    <w:rsid w:val="000C7977"/>
    <w:rsid w:val="000C79E0"/>
    <w:rsid w:val="000C7A73"/>
    <w:rsid w:val="000C7C13"/>
    <w:rsid w:val="000D01E1"/>
    <w:rsid w:val="000D03BE"/>
    <w:rsid w:val="000D0885"/>
    <w:rsid w:val="000D08E1"/>
    <w:rsid w:val="000D0C43"/>
    <w:rsid w:val="000D0FD6"/>
    <w:rsid w:val="000D10C6"/>
    <w:rsid w:val="000D11A1"/>
    <w:rsid w:val="000D1410"/>
    <w:rsid w:val="000D15F8"/>
    <w:rsid w:val="000D1969"/>
    <w:rsid w:val="000D1CA1"/>
    <w:rsid w:val="000D20C2"/>
    <w:rsid w:val="000D2221"/>
    <w:rsid w:val="000D2635"/>
    <w:rsid w:val="000D281C"/>
    <w:rsid w:val="000D2868"/>
    <w:rsid w:val="000D296D"/>
    <w:rsid w:val="000D2A89"/>
    <w:rsid w:val="000D2A8B"/>
    <w:rsid w:val="000D2D44"/>
    <w:rsid w:val="000D3650"/>
    <w:rsid w:val="000D3787"/>
    <w:rsid w:val="000D3C1A"/>
    <w:rsid w:val="000D3CFF"/>
    <w:rsid w:val="000D3EE0"/>
    <w:rsid w:val="000D410D"/>
    <w:rsid w:val="000D4480"/>
    <w:rsid w:val="000D4B15"/>
    <w:rsid w:val="000D4E53"/>
    <w:rsid w:val="000D4F4B"/>
    <w:rsid w:val="000D53EB"/>
    <w:rsid w:val="000D584F"/>
    <w:rsid w:val="000D5AA5"/>
    <w:rsid w:val="000D5AF4"/>
    <w:rsid w:val="000D6654"/>
    <w:rsid w:val="000D66D4"/>
    <w:rsid w:val="000D6EB2"/>
    <w:rsid w:val="000D7530"/>
    <w:rsid w:val="000D77B0"/>
    <w:rsid w:val="000D7B5E"/>
    <w:rsid w:val="000E0404"/>
    <w:rsid w:val="000E054E"/>
    <w:rsid w:val="000E08A6"/>
    <w:rsid w:val="000E0D4F"/>
    <w:rsid w:val="000E0EEB"/>
    <w:rsid w:val="000E163F"/>
    <w:rsid w:val="000E17C5"/>
    <w:rsid w:val="000E1F04"/>
    <w:rsid w:val="000E2A74"/>
    <w:rsid w:val="000E2B07"/>
    <w:rsid w:val="000E2BC8"/>
    <w:rsid w:val="000E2F0A"/>
    <w:rsid w:val="000E2F2B"/>
    <w:rsid w:val="000E3177"/>
    <w:rsid w:val="000E3338"/>
    <w:rsid w:val="000E3C31"/>
    <w:rsid w:val="000E3DA9"/>
    <w:rsid w:val="000E3DE5"/>
    <w:rsid w:val="000E3EBA"/>
    <w:rsid w:val="000E443A"/>
    <w:rsid w:val="000E4961"/>
    <w:rsid w:val="000E49F6"/>
    <w:rsid w:val="000E4B61"/>
    <w:rsid w:val="000E4D03"/>
    <w:rsid w:val="000E4D38"/>
    <w:rsid w:val="000E5134"/>
    <w:rsid w:val="000E544A"/>
    <w:rsid w:val="000E58BE"/>
    <w:rsid w:val="000E5A16"/>
    <w:rsid w:val="000E5CCC"/>
    <w:rsid w:val="000E5F61"/>
    <w:rsid w:val="000E653A"/>
    <w:rsid w:val="000E6FA7"/>
    <w:rsid w:val="000E70D4"/>
    <w:rsid w:val="000E7280"/>
    <w:rsid w:val="000E7404"/>
    <w:rsid w:val="000E741C"/>
    <w:rsid w:val="000E7D72"/>
    <w:rsid w:val="000F024A"/>
    <w:rsid w:val="000F0259"/>
    <w:rsid w:val="000F03B8"/>
    <w:rsid w:val="000F04C1"/>
    <w:rsid w:val="000F12C6"/>
    <w:rsid w:val="000F1C88"/>
    <w:rsid w:val="000F2769"/>
    <w:rsid w:val="000F28A3"/>
    <w:rsid w:val="000F2963"/>
    <w:rsid w:val="000F351C"/>
    <w:rsid w:val="000F36D2"/>
    <w:rsid w:val="000F3783"/>
    <w:rsid w:val="000F3FF1"/>
    <w:rsid w:val="000F413D"/>
    <w:rsid w:val="000F491A"/>
    <w:rsid w:val="000F4A4E"/>
    <w:rsid w:val="000F4B33"/>
    <w:rsid w:val="000F4FC2"/>
    <w:rsid w:val="000F50DD"/>
    <w:rsid w:val="000F5428"/>
    <w:rsid w:val="000F57B1"/>
    <w:rsid w:val="000F58EE"/>
    <w:rsid w:val="000F596B"/>
    <w:rsid w:val="000F5FE8"/>
    <w:rsid w:val="000F68AB"/>
    <w:rsid w:val="000F69FD"/>
    <w:rsid w:val="000F6ABE"/>
    <w:rsid w:val="000F7127"/>
    <w:rsid w:val="000F7249"/>
    <w:rsid w:val="000F78B2"/>
    <w:rsid w:val="000F7944"/>
    <w:rsid w:val="000F7A6F"/>
    <w:rsid w:val="000F7A95"/>
    <w:rsid w:val="000F7E80"/>
    <w:rsid w:val="000F7EEF"/>
    <w:rsid w:val="001003DA"/>
    <w:rsid w:val="00100454"/>
    <w:rsid w:val="00100892"/>
    <w:rsid w:val="00100DA0"/>
    <w:rsid w:val="00100F46"/>
    <w:rsid w:val="0010103F"/>
    <w:rsid w:val="00101508"/>
    <w:rsid w:val="00101961"/>
    <w:rsid w:val="00101B84"/>
    <w:rsid w:val="00101C34"/>
    <w:rsid w:val="00101D31"/>
    <w:rsid w:val="00102226"/>
    <w:rsid w:val="00102A56"/>
    <w:rsid w:val="00102F4C"/>
    <w:rsid w:val="0010300F"/>
    <w:rsid w:val="00103377"/>
    <w:rsid w:val="00103599"/>
    <w:rsid w:val="001035FE"/>
    <w:rsid w:val="00103649"/>
    <w:rsid w:val="001037DC"/>
    <w:rsid w:val="00103AF5"/>
    <w:rsid w:val="00103F42"/>
    <w:rsid w:val="00103FA3"/>
    <w:rsid w:val="001043BA"/>
    <w:rsid w:val="00104623"/>
    <w:rsid w:val="00104C4A"/>
    <w:rsid w:val="00104DE2"/>
    <w:rsid w:val="00104F1C"/>
    <w:rsid w:val="00105236"/>
    <w:rsid w:val="0010588D"/>
    <w:rsid w:val="00105CB9"/>
    <w:rsid w:val="00105DBE"/>
    <w:rsid w:val="0010604B"/>
    <w:rsid w:val="001062B9"/>
    <w:rsid w:val="00106395"/>
    <w:rsid w:val="0010645B"/>
    <w:rsid w:val="001067BF"/>
    <w:rsid w:val="00106938"/>
    <w:rsid w:val="00106942"/>
    <w:rsid w:val="001069B9"/>
    <w:rsid w:val="00106C14"/>
    <w:rsid w:val="00106C9A"/>
    <w:rsid w:val="00106F43"/>
    <w:rsid w:val="001070AD"/>
    <w:rsid w:val="001070CB"/>
    <w:rsid w:val="00107154"/>
    <w:rsid w:val="00107439"/>
    <w:rsid w:val="0010771D"/>
    <w:rsid w:val="001079B1"/>
    <w:rsid w:val="00107D91"/>
    <w:rsid w:val="00107E66"/>
    <w:rsid w:val="00107E6C"/>
    <w:rsid w:val="00107E8B"/>
    <w:rsid w:val="00110229"/>
    <w:rsid w:val="00110BB8"/>
    <w:rsid w:val="00110C6B"/>
    <w:rsid w:val="00110CAA"/>
    <w:rsid w:val="00110DF7"/>
    <w:rsid w:val="00110F20"/>
    <w:rsid w:val="00111074"/>
    <w:rsid w:val="001111D7"/>
    <w:rsid w:val="0011143D"/>
    <w:rsid w:val="00111987"/>
    <w:rsid w:val="001119C0"/>
    <w:rsid w:val="00111C44"/>
    <w:rsid w:val="00111FB6"/>
    <w:rsid w:val="00112C9C"/>
    <w:rsid w:val="00112D4B"/>
    <w:rsid w:val="00112E1A"/>
    <w:rsid w:val="00112E2A"/>
    <w:rsid w:val="00112F32"/>
    <w:rsid w:val="0011305E"/>
    <w:rsid w:val="00113187"/>
    <w:rsid w:val="001136FB"/>
    <w:rsid w:val="00113855"/>
    <w:rsid w:val="00113A46"/>
    <w:rsid w:val="00113D71"/>
    <w:rsid w:val="00113D72"/>
    <w:rsid w:val="00114033"/>
    <w:rsid w:val="00114095"/>
    <w:rsid w:val="00114CF5"/>
    <w:rsid w:val="00114E68"/>
    <w:rsid w:val="001151F7"/>
    <w:rsid w:val="0011563A"/>
    <w:rsid w:val="00115ABA"/>
    <w:rsid w:val="00116455"/>
    <w:rsid w:val="001164D5"/>
    <w:rsid w:val="00116852"/>
    <w:rsid w:val="00116AC1"/>
    <w:rsid w:val="00116C8E"/>
    <w:rsid w:val="00116FD5"/>
    <w:rsid w:val="00117385"/>
    <w:rsid w:val="0011741C"/>
    <w:rsid w:val="00117AC0"/>
    <w:rsid w:val="00117B05"/>
    <w:rsid w:val="00117DD5"/>
    <w:rsid w:val="00117E3D"/>
    <w:rsid w:val="00120441"/>
    <w:rsid w:val="0012054A"/>
    <w:rsid w:val="00120E9F"/>
    <w:rsid w:val="00120EED"/>
    <w:rsid w:val="00120FBB"/>
    <w:rsid w:val="00121193"/>
    <w:rsid w:val="001211DF"/>
    <w:rsid w:val="0012132C"/>
    <w:rsid w:val="0012267C"/>
    <w:rsid w:val="001231CE"/>
    <w:rsid w:val="00123715"/>
    <w:rsid w:val="001237E7"/>
    <w:rsid w:val="00123AC6"/>
    <w:rsid w:val="00123C4F"/>
    <w:rsid w:val="00123D87"/>
    <w:rsid w:val="001243AC"/>
    <w:rsid w:val="0012444C"/>
    <w:rsid w:val="00124C6A"/>
    <w:rsid w:val="00125140"/>
    <w:rsid w:val="001251BC"/>
    <w:rsid w:val="0012529E"/>
    <w:rsid w:val="001256E7"/>
    <w:rsid w:val="00126077"/>
    <w:rsid w:val="0012620F"/>
    <w:rsid w:val="001265EC"/>
    <w:rsid w:val="0012670B"/>
    <w:rsid w:val="00126C6E"/>
    <w:rsid w:val="00127321"/>
    <w:rsid w:val="00127365"/>
    <w:rsid w:val="00127375"/>
    <w:rsid w:val="00127862"/>
    <w:rsid w:val="001278FD"/>
    <w:rsid w:val="00127AC0"/>
    <w:rsid w:val="00127B4A"/>
    <w:rsid w:val="00130003"/>
    <w:rsid w:val="00130049"/>
    <w:rsid w:val="00130867"/>
    <w:rsid w:val="00130877"/>
    <w:rsid w:val="00130C17"/>
    <w:rsid w:val="00130C27"/>
    <w:rsid w:val="00131210"/>
    <w:rsid w:val="001312E7"/>
    <w:rsid w:val="0013178D"/>
    <w:rsid w:val="00131D36"/>
    <w:rsid w:val="0013237F"/>
    <w:rsid w:val="00132684"/>
    <w:rsid w:val="00132A8A"/>
    <w:rsid w:val="00132D85"/>
    <w:rsid w:val="001332E6"/>
    <w:rsid w:val="001333CE"/>
    <w:rsid w:val="00133478"/>
    <w:rsid w:val="00133BDD"/>
    <w:rsid w:val="00133E17"/>
    <w:rsid w:val="00134312"/>
    <w:rsid w:val="001343A3"/>
    <w:rsid w:val="00134836"/>
    <w:rsid w:val="00134ACA"/>
    <w:rsid w:val="00134D7B"/>
    <w:rsid w:val="001350D4"/>
    <w:rsid w:val="001350E0"/>
    <w:rsid w:val="00135171"/>
    <w:rsid w:val="001354B6"/>
    <w:rsid w:val="001355CF"/>
    <w:rsid w:val="00136643"/>
    <w:rsid w:val="001366C4"/>
    <w:rsid w:val="001367B4"/>
    <w:rsid w:val="00136BF9"/>
    <w:rsid w:val="00136D93"/>
    <w:rsid w:val="00136EA7"/>
    <w:rsid w:val="001373AF"/>
    <w:rsid w:val="00137973"/>
    <w:rsid w:val="001379F3"/>
    <w:rsid w:val="00137ABE"/>
    <w:rsid w:val="00137BFE"/>
    <w:rsid w:val="001409B5"/>
    <w:rsid w:val="00140BD7"/>
    <w:rsid w:val="00140CC7"/>
    <w:rsid w:val="0014114A"/>
    <w:rsid w:val="0014136D"/>
    <w:rsid w:val="00141F97"/>
    <w:rsid w:val="0014224B"/>
    <w:rsid w:val="00142991"/>
    <w:rsid w:val="00142AC3"/>
    <w:rsid w:val="00142EF5"/>
    <w:rsid w:val="00143474"/>
    <w:rsid w:val="00143527"/>
    <w:rsid w:val="00143574"/>
    <w:rsid w:val="001435C5"/>
    <w:rsid w:val="00143AF5"/>
    <w:rsid w:val="00144033"/>
    <w:rsid w:val="00144077"/>
    <w:rsid w:val="001440C5"/>
    <w:rsid w:val="00144581"/>
    <w:rsid w:val="001447E6"/>
    <w:rsid w:val="00144DCD"/>
    <w:rsid w:val="00144EDE"/>
    <w:rsid w:val="00145031"/>
    <w:rsid w:val="00145396"/>
    <w:rsid w:val="00145722"/>
    <w:rsid w:val="001462CE"/>
    <w:rsid w:val="001463E5"/>
    <w:rsid w:val="0014640E"/>
    <w:rsid w:val="001467E7"/>
    <w:rsid w:val="00146960"/>
    <w:rsid w:val="001469F7"/>
    <w:rsid w:val="00146DCA"/>
    <w:rsid w:val="00146E37"/>
    <w:rsid w:val="00147621"/>
    <w:rsid w:val="00147796"/>
    <w:rsid w:val="00147A57"/>
    <w:rsid w:val="00147A67"/>
    <w:rsid w:val="00147C58"/>
    <w:rsid w:val="00147D14"/>
    <w:rsid w:val="00147D32"/>
    <w:rsid w:val="0015010C"/>
    <w:rsid w:val="00150992"/>
    <w:rsid w:val="00150A36"/>
    <w:rsid w:val="00150A72"/>
    <w:rsid w:val="00150DA3"/>
    <w:rsid w:val="001510A7"/>
    <w:rsid w:val="0015118E"/>
    <w:rsid w:val="00151294"/>
    <w:rsid w:val="001513E7"/>
    <w:rsid w:val="001517D9"/>
    <w:rsid w:val="00151982"/>
    <w:rsid w:val="00151B71"/>
    <w:rsid w:val="00151C41"/>
    <w:rsid w:val="00151D0A"/>
    <w:rsid w:val="00151D0E"/>
    <w:rsid w:val="0015239C"/>
    <w:rsid w:val="0015248F"/>
    <w:rsid w:val="00152709"/>
    <w:rsid w:val="00152AC0"/>
    <w:rsid w:val="00152BF2"/>
    <w:rsid w:val="00152EFC"/>
    <w:rsid w:val="00153568"/>
    <w:rsid w:val="001538B3"/>
    <w:rsid w:val="00153A7E"/>
    <w:rsid w:val="00153B0F"/>
    <w:rsid w:val="00153CF1"/>
    <w:rsid w:val="00153E4A"/>
    <w:rsid w:val="00153EE6"/>
    <w:rsid w:val="0015404A"/>
    <w:rsid w:val="001541AB"/>
    <w:rsid w:val="0015442A"/>
    <w:rsid w:val="00154481"/>
    <w:rsid w:val="00154C1E"/>
    <w:rsid w:val="0015501A"/>
    <w:rsid w:val="001550E5"/>
    <w:rsid w:val="00155A26"/>
    <w:rsid w:val="00155B37"/>
    <w:rsid w:val="00156012"/>
    <w:rsid w:val="00156C0B"/>
    <w:rsid w:val="00156C4A"/>
    <w:rsid w:val="00156DCA"/>
    <w:rsid w:val="00156F20"/>
    <w:rsid w:val="00156F8E"/>
    <w:rsid w:val="0015718B"/>
    <w:rsid w:val="0015742D"/>
    <w:rsid w:val="0015748B"/>
    <w:rsid w:val="00157670"/>
    <w:rsid w:val="00160275"/>
    <w:rsid w:val="001607F7"/>
    <w:rsid w:val="00160F40"/>
    <w:rsid w:val="001610F5"/>
    <w:rsid w:val="001611B0"/>
    <w:rsid w:val="0016123B"/>
    <w:rsid w:val="001614AA"/>
    <w:rsid w:val="00161C9E"/>
    <w:rsid w:val="00161D5A"/>
    <w:rsid w:val="0016208D"/>
    <w:rsid w:val="001620D9"/>
    <w:rsid w:val="001626F1"/>
    <w:rsid w:val="001628E4"/>
    <w:rsid w:val="00162ACC"/>
    <w:rsid w:val="00162C52"/>
    <w:rsid w:val="00162F57"/>
    <w:rsid w:val="001630F4"/>
    <w:rsid w:val="00163263"/>
    <w:rsid w:val="00163269"/>
    <w:rsid w:val="001632B5"/>
    <w:rsid w:val="001633E0"/>
    <w:rsid w:val="00163C6E"/>
    <w:rsid w:val="00163CC6"/>
    <w:rsid w:val="00163D6A"/>
    <w:rsid w:val="0016441A"/>
    <w:rsid w:val="001645C6"/>
    <w:rsid w:val="001646BB"/>
    <w:rsid w:val="001648CC"/>
    <w:rsid w:val="00164C6F"/>
    <w:rsid w:val="00164FA0"/>
    <w:rsid w:val="00165502"/>
    <w:rsid w:val="00165969"/>
    <w:rsid w:val="00165CE3"/>
    <w:rsid w:val="00165D00"/>
    <w:rsid w:val="00166119"/>
    <w:rsid w:val="0016639E"/>
    <w:rsid w:val="00166426"/>
    <w:rsid w:val="001665C1"/>
    <w:rsid w:val="001667FE"/>
    <w:rsid w:val="00166F80"/>
    <w:rsid w:val="001672BC"/>
    <w:rsid w:val="00167498"/>
    <w:rsid w:val="00167642"/>
    <w:rsid w:val="00167794"/>
    <w:rsid w:val="001679AE"/>
    <w:rsid w:val="00167D84"/>
    <w:rsid w:val="00167FA2"/>
    <w:rsid w:val="001700FA"/>
    <w:rsid w:val="001702BA"/>
    <w:rsid w:val="00170489"/>
    <w:rsid w:val="0017075A"/>
    <w:rsid w:val="001707A6"/>
    <w:rsid w:val="0017094E"/>
    <w:rsid w:val="00170978"/>
    <w:rsid w:val="00170BB3"/>
    <w:rsid w:val="00170D70"/>
    <w:rsid w:val="001716A7"/>
    <w:rsid w:val="00171812"/>
    <w:rsid w:val="00171841"/>
    <w:rsid w:val="00171873"/>
    <w:rsid w:val="00171DE4"/>
    <w:rsid w:val="00172102"/>
    <w:rsid w:val="0017215B"/>
    <w:rsid w:val="001725F6"/>
    <w:rsid w:val="00172C8B"/>
    <w:rsid w:val="001731B6"/>
    <w:rsid w:val="0017389A"/>
    <w:rsid w:val="00173EE0"/>
    <w:rsid w:val="00174053"/>
    <w:rsid w:val="001741F4"/>
    <w:rsid w:val="001743CA"/>
    <w:rsid w:val="001744CF"/>
    <w:rsid w:val="00174750"/>
    <w:rsid w:val="00174A73"/>
    <w:rsid w:val="00174BA4"/>
    <w:rsid w:val="00174CD5"/>
    <w:rsid w:val="00175465"/>
    <w:rsid w:val="00175572"/>
    <w:rsid w:val="00175820"/>
    <w:rsid w:val="001759FA"/>
    <w:rsid w:val="00175C78"/>
    <w:rsid w:val="00175F95"/>
    <w:rsid w:val="0017605F"/>
    <w:rsid w:val="001761CE"/>
    <w:rsid w:val="001763D3"/>
    <w:rsid w:val="00176585"/>
    <w:rsid w:val="001767CD"/>
    <w:rsid w:val="001770DA"/>
    <w:rsid w:val="0017729C"/>
    <w:rsid w:val="0017737A"/>
    <w:rsid w:val="001773E7"/>
    <w:rsid w:val="001774CB"/>
    <w:rsid w:val="0017760D"/>
    <w:rsid w:val="00177DF8"/>
    <w:rsid w:val="00180155"/>
    <w:rsid w:val="0018069D"/>
    <w:rsid w:val="0018088A"/>
    <w:rsid w:val="00180A2A"/>
    <w:rsid w:val="00180EC7"/>
    <w:rsid w:val="00180EEC"/>
    <w:rsid w:val="0018115B"/>
    <w:rsid w:val="00181518"/>
    <w:rsid w:val="001816A2"/>
    <w:rsid w:val="00181A0A"/>
    <w:rsid w:val="001821F0"/>
    <w:rsid w:val="0018258D"/>
    <w:rsid w:val="00182999"/>
    <w:rsid w:val="00182B18"/>
    <w:rsid w:val="00182CFD"/>
    <w:rsid w:val="00182D3C"/>
    <w:rsid w:val="00183004"/>
    <w:rsid w:val="00183AA1"/>
    <w:rsid w:val="00183BC5"/>
    <w:rsid w:val="00183E02"/>
    <w:rsid w:val="00183FBB"/>
    <w:rsid w:val="00184031"/>
    <w:rsid w:val="001840DE"/>
    <w:rsid w:val="0018478B"/>
    <w:rsid w:val="00184A5F"/>
    <w:rsid w:val="00184B36"/>
    <w:rsid w:val="00184B56"/>
    <w:rsid w:val="001850D2"/>
    <w:rsid w:val="00185361"/>
    <w:rsid w:val="00186081"/>
    <w:rsid w:val="001863CB"/>
    <w:rsid w:val="00186956"/>
    <w:rsid w:val="00186C46"/>
    <w:rsid w:val="00186E1F"/>
    <w:rsid w:val="00186F41"/>
    <w:rsid w:val="001872CA"/>
    <w:rsid w:val="001875EE"/>
    <w:rsid w:val="00187A81"/>
    <w:rsid w:val="00187A96"/>
    <w:rsid w:val="00187D88"/>
    <w:rsid w:val="00187F45"/>
    <w:rsid w:val="00187FED"/>
    <w:rsid w:val="00190284"/>
    <w:rsid w:val="001904AF"/>
    <w:rsid w:val="0019055A"/>
    <w:rsid w:val="00190C0C"/>
    <w:rsid w:val="00190D08"/>
    <w:rsid w:val="00190EC6"/>
    <w:rsid w:val="0019176E"/>
    <w:rsid w:val="00192220"/>
    <w:rsid w:val="001924A8"/>
    <w:rsid w:val="00192A3E"/>
    <w:rsid w:val="00192F92"/>
    <w:rsid w:val="00192FCA"/>
    <w:rsid w:val="001930F3"/>
    <w:rsid w:val="0019344F"/>
    <w:rsid w:val="001934E2"/>
    <w:rsid w:val="00193565"/>
    <w:rsid w:val="0019366B"/>
    <w:rsid w:val="00193701"/>
    <w:rsid w:val="00193C12"/>
    <w:rsid w:val="00193EC5"/>
    <w:rsid w:val="00193F2D"/>
    <w:rsid w:val="00194277"/>
    <w:rsid w:val="0019439F"/>
    <w:rsid w:val="0019455C"/>
    <w:rsid w:val="0019459F"/>
    <w:rsid w:val="001952E1"/>
    <w:rsid w:val="00195563"/>
    <w:rsid w:val="00195ED6"/>
    <w:rsid w:val="00196353"/>
    <w:rsid w:val="00196546"/>
    <w:rsid w:val="001965F7"/>
    <w:rsid w:val="00196982"/>
    <w:rsid w:val="00196ABF"/>
    <w:rsid w:val="00197090"/>
    <w:rsid w:val="00197290"/>
    <w:rsid w:val="0019735B"/>
    <w:rsid w:val="001976A3"/>
    <w:rsid w:val="001976F7"/>
    <w:rsid w:val="00197A32"/>
    <w:rsid w:val="00197C66"/>
    <w:rsid w:val="001A00F5"/>
    <w:rsid w:val="001A0111"/>
    <w:rsid w:val="001A0364"/>
    <w:rsid w:val="001A0613"/>
    <w:rsid w:val="001A10D5"/>
    <w:rsid w:val="001A142D"/>
    <w:rsid w:val="001A16A3"/>
    <w:rsid w:val="001A16CE"/>
    <w:rsid w:val="001A17D2"/>
    <w:rsid w:val="001A280F"/>
    <w:rsid w:val="001A2C79"/>
    <w:rsid w:val="001A2D95"/>
    <w:rsid w:val="001A2F73"/>
    <w:rsid w:val="001A324D"/>
    <w:rsid w:val="001A3756"/>
    <w:rsid w:val="001A3D05"/>
    <w:rsid w:val="001A46BE"/>
    <w:rsid w:val="001A4BE8"/>
    <w:rsid w:val="001A4CD9"/>
    <w:rsid w:val="001A53C8"/>
    <w:rsid w:val="001A5B16"/>
    <w:rsid w:val="001A609F"/>
    <w:rsid w:val="001A653E"/>
    <w:rsid w:val="001A6553"/>
    <w:rsid w:val="001A6708"/>
    <w:rsid w:val="001A68D2"/>
    <w:rsid w:val="001A6E16"/>
    <w:rsid w:val="001A7067"/>
    <w:rsid w:val="001A708D"/>
    <w:rsid w:val="001A72E1"/>
    <w:rsid w:val="001A7377"/>
    <w:rsid w:val="001A7530"/>
    <w:rsid w:val="001A78AB"/>
    <w:rsid w:val="001A7FC3"/>
    <w:rsid w:val="001B02DC"/>
    <w:rsid w:val="001B02FE"/>
    <w:rsid w:val="001B03C0"/>
    <w:rsid w:val="001B06CB"/>
    <w:rsid w:val="001B0FED"/>
    <w:rsid w:val="001B1133"/>
    <w:rsid w:val="001B1539"/>
    <w:rsid w:val="001B1D01"/>
    <w:rsid w:val="001B2306"/>
    <w:rsid w:val="001B2310"/>
    <w:rsid w:val="001B295F"/>
    <w:rsid w:val="001B2CDD"/>
    <w:rsid w:val="001B2D3C"/>
    <w:rsid w:val="001B3446"/>
    <w:rsid w:val="001B3729"/>
    <w:rsid w:val="001B3FF7"/>
    <w:rsid w:val="001B4335"/>
    <w:rsid w:val="001B446A"/>
    <w:rsid w:val="001B46E2"/>
    <w:rsid w:val="001B4969"/>
    <w:rsid w:val="001B49E1"/>
    <w:rsid w:val="001B4C3C"/>
    <w:rsid w:val="001B5051"/>
    <w:rsid w:val="001B5150"/>
    <w:rsid w:val="001B5217"/>
    <w:rsid w:val="001B54AB"/>
    <w:rsid w:val="001B5B82"/>
    <w:rsid w:val="001B5BC9"/>
    <w:rsid w:val="001B5F02"/>
    <w:rsid w:val="001B5F64"/>
    <w:rsid w:val="001B63FB"/>
    <w:rsid w:val="001B66A5"/>
    <w:rsid w:val="001B6753"/>
    <w:rsid w:val="001B6897"/>
    <w:rsid w:val="001B6AC3"/>
    <w:rsid w:val="001B6C79"/>
    <w:rsid w:val="001B6E24"/>
    <w:rsid w:val="001B72A9"/>
    <w:rsid w:val="001B72CA"/>
    <w:rsid w:val="001B7D76"/>
    <w:rsid w:val="001B7D89"/>
    <w:rsid w:val="001B7DDB"/>
    <w:rsid w:val="001C019D"/>
    <w:rsid w:val="001C0706"/>
    <w:rsid w:val="001C0A5C"/>
    <w:rsid w:val="001C0CCE"/>
    <w:rsid w:val="001C0D54"/>
    <w:rsid w:val="001C1974"/>
    <w:rsid w:val="001C1CF7"/>
    <w:rsid w:val="001C236F"/>
    <w:rsid w:val="001C272C"/>
    <w:rsid w:val="001C2984"/>
    <w:rsid w:val="001C2A71"/>
    <w:rsid w:val="001C2B23"/>
    <w:rsid w:val="001C2BD5"/>
    <w:rsid w:val="001C2BDC"/>
    <w:rsid w:val="001C2C18"/>
    <w:rsid w:val="001C2F94"/>
    <w:rsid w:val="001C3222"/>
    <w:rsid w:val="001C3626"/>
    <w:rsid w:val="001C3A09"/>
    <w:rsid w:val="001C42EE"/>
    <w:rsid w:val="001C464F"/>
    <w:rsid w:val="001C46AC"/>
    <w:rsid w:val="001C4734"/>
    <w:rsid w:val="001C4BF6"/>
    <w:rsid w:val="001C4E9F"/>
    <w:rsid w:val="001C4F59"/>
    <w:rsid w:val="001C4FEC"/>
    <w:rsid w:val="001C519E"/>
    <w:rsid w:val="001C51BE"/>
    <w:rsid w:val="001C5535"/>
    <w:rsid w:val="001C5754"/>
    <w:rsid w:val="001C59A6"/>
    <w:rsid w:val="001C5B54"/>
    <w:rsid w:val="001C5E7D"/>
    <w:rsid w:val="001C5ED2"/>
    <w:rsid w:val="001C60FD"/>
    <w:rsid w:val="001C6222"/>
    <w:rsid w:val="001C676B"/>
    <w:rsid w:val="001C68F9"/>
    <w:rsid w:val="001C6BB2"/>
    <w:rsid w:val="001C6EF7"/>
    <w:rsid w:val="001C6FD5"/>
    <w:rsid w:val="001C710F"/>
    <w:rsid w:val="001C71C1"/>
    <w:rsid w:val="001C73F0"/>
    <w:rsid w:val="001C741F"/>
    <w:rsid w:val="001C78F0"/>
    <w:rsid w:val="001C791B"/>
    <w:rsid w:val="001C792B"/>
    <w:rsid w:val="001C79E7"/>
    <w:rsid w:val="001C7EAE"/>
    <w:rsid w:val="001D02F0"/>
    <w:rsid w:val="001D04B0"/>
    <w:rsid w:val="001D050E"/>
    <w:rsid w:val="001D0787"/>
    <w:rsid w:val="001D0ABE"/>
    <w:rsid w:val="001D1424"/>
    <w:rsid w:val="001D1868"/>
    <w:rsid w:val="001D1B59"/>
    <w:rsid w:val="001D1B88"/>
    <w:rsid w:val="001D1C13"/>
    <w:rsid w:val="001D1EA0"/>
    <w:rsid w:val="001D24C7"/>
    <w:rsid w:val="001D2CE1"/>
    <w:rsid w:val="001D32F8"/>
    <w:rsid w:val="001D339A"/>
    <w:rsid w:val="001D33B3"/>
    <w:rsid w:val="001D3501"/>
    <w:rsid w:val="001D394B"/>
    <w:rsid w:val="001D3C4F"/>
    <w:rsid w:val="001D3EE9"/>
    <w:rsid w:val="001D408D"/>
    <w:rsid w:val="001D4480"/>
    <w:rsid w:val="001D4C9F"/>
    <w:rsid w:val="001D50C4"/>
    <w:rsid w:val="001D5B01"/>
    <w:rsid w:val="001D5B8F"/>
    <w:rsid w:val="001D5CE0"/>
    <w:rsid w:val="001D5E4F"/>
    <w:rsid w:val="001D5FF1"/>
    <w:rsid w:val="001D6698"/>
    <w:rsid w:val="001D66AD"/>
    <w:rsid w:val="001D69A6"/>
    <w:rsid w:val="001D6C31"/>
    <w:rsid w:val="001D6D26"/>
    <w:rsid w:val="001D6E7B"/>
    <w:rsid w:val="001D7473"/>
    <w:rsid w:val="001D75B1"/>
    <w:rsid w:val="001D7683"/>
    <w:rsid w:val="001D776B"/>
    <w:rsid w:val="001D7783"/>
    <w:rsid w:val="001D7923"/>
    <w:rsid w:val="001D7A63"/>
    <w:rsid w:val="001D7BD9"/>
    <w:rsid w:val="001E0567"/>
    <w:rsid w:val="001E0A16"/>
    <w:rsid w:val="001E0CD2"/>
    <w:rsid w:val="001E0DAE"/>
    <w:rsid w:val="001E0E10"/>
    <w:rsid w:val="001E0EBA"/>
    <w:rsid w:val="001E1C03"/>
    <w:rsid w:val="001E1DC3"/>
    <w:rsid w:val="001E1F35"/>
    <w:rsid w:val="001E2376"/>
    <w:rsid w:val="001E2488"/>
    <w:rsid w:val="001E27A3"/>
    <w:rsid w:val="001E2C40"/>
    <w:rsid w:val="001E2D78"/>
    <w:rsid w:val="001E2FD2"/>
    <w:rsid w:val="001E326E"/>
    <w:rsid w:val="001E32B2"/>
    <w:rsid w:val="001E34BE"/>
    <w:rsid w:val="001E385D"/>
    <w:rsid w:val="001E43CB"/>
    <w:rsid w:val="001E43CE"/>
    <w:rsid w:val="001E45EA"/>
    <w:rsid w:val="001E47A1"/>
    <w:rsid w:val="001E48C2"/>
    <w:rsid w:val="001E4DCE"/>
    <w:rsid w:val="001E4E97"/>
    <w:rsid w:val="001E4F10"/>
    <w:rsid w:val="001E4F8A"/>
    <w:rsid w:val="001E51CB"/>
    <w:rsid w:val="001E5233"/>
    <w:rsid w:val="001E52B7"/>
    <w:rsid w:val="001E5470"/>
    <w:rsid w:val="001E5B4F"/>
    <w:rsid w:val="001E5F2B"/>
    <w:rsid w:val="001E5F65"/>
    <w:rsid w:val="001E6275"/>
    <w:rsid w:val="001E6291"/>
    <w:rsid w:val="001E62A9"/>
    <w:rsid w:val="001E68CD"/>
    <w:rsid w:val="001E6E5C"/>
    <w:rsid w:val="001E716F"/>
    <w:rsid w:val="001E7428"/>
    <w:rsid w:val="001E7532"/>
    <w:rsid w:val="001E7AD3"/>
    <w:rsid w:val="001E7D5C"/>
    <w:rsid w:val="001E7F13"/>
    <w:rsid w:val="001E7FC8"/>
    <w:rsid w:val="001F01B4"/>
    <w:rsid w:val="001F0E3F"/>
    <w:rsid w:val="001F15D2"/>
    <w:rsid w:val="001F1A92"/>
    <w:rsid w:val="001F1AFB"/>
    <w:rsid w:val="001F2036"/>
    <w:rsid w:val="001F21D2"/>
    <w:rsid w:val="001F23CC"/>
    <w:rsid w:val="001F2A79"/>
    <w:rsid w:val="001F31D1"/>
    <w:rsid w:val="001F3314"/>
    <w:rsid w:val="001F3361"/>
    <w:rsid w:val="001F3529"/>
    <w:rsid w:val="001F3A35"/>
    <w:rsid w:val="001F3B20"/>
    <w:rsid w:val="001F3BFB"/>
    <w:rsid w:val="001F3CD0"/>
    <w:rsid w:val="001F3EE1"/>
    <w:rsid w:val="001F4182"/>
    <w:rsid w:val="001F4233"/>
    <w:rsid w:val="001F4430"/>
    <w:rsid w:val="001F4684"/>
    <w:rsid w:val="001F4A7D"/>
    <w:rsid w:val="001F4BBF"/>
    <w:rsid w:val="001F4C02"/>
    <w:rsid w:val="001F4D1E"/>
    <w:rsid w:val="001F4DD5"/>
    <w:rsid w:val="001F541B"/>
    <w:rsid w:val="001F54E6"/>
    <w:rsid w:val="001F57A1"/>
    <w:rsid w:val="001F591B"/>
    <w:rsid w:val="001F5CB6"/>
    <w:rsid w:val="001F5D43"/>
    <w:rsid w:val="001F5FF1"/>
    <w:rsid w:val="001F6273"/>
    <w:rsid w:val="001F6299"/>
    <w:rsid w:val="001F6448"/>
    <w:rsid w:val="001F666A"/>
    <w:rsid w:val="001F68C1"/>
    <w:rsid w:val="001F6984"/>
    <w:rsid w:val="001F6CB0"/>
    <w:rsid w:val="001F6FCB"/>
    <w:rsid w:val="001F7859"/>
    <w:rsid w:val="001F7EDC"/>
    <w:rsid w:val="002001F0"/>
    <w:rsid w:val="00200428"/>
    <w:rsid w:val="0020060F"/>
    <w:rsid w:val="002006EE"/>
    <w:rsid w:val="00201283"/>
    <w:rsid w:val="002013AB"/>
    <w:rsid w:val="002014DF"/>
    <w:rsid w:val="0020159D"/>
    <w:rsid w:val="0020193D"/>
    <w:rsid w:val="002019EB"/>
    <w:rsid w:val="00201B6A"/>
    <w:rsid w:val="00201C2F"/>
    <w:rsid w:val="002020F9"/>
    <w:rsid w:val="002022ED"/>
    <w:rsid w:val="002023F6"/>
    <w:rsid w:val="002025D8"/>
    <w:rsid w:val="00202A16"/>
    <w:rsid w:val="00203177"/>
    <w:rsid w:val="002031EA"/>
    <w:rsid w:val="002033A1"/>
    <w:rsid w:val="0020387F"/>
    <w:rsid w:val="002038CD"/>
    <w:rsid w:val="00203A03"/>
    <w:rsid w:val="00203E4B"/>
    <w:rsid w:val="002042E7"/>
    <w:rsid w:val="002043DE"/>
    <w:rsid w:val="00204600"/>
    <w:rsid w:val="00204A4A"/>
    <w:rsid w:val="0020552B"/>
    <w:rsid w:val="0020567F"/>
    <w:rsid w:val="00205B7E"/>
    <w:rsid w:val="00205DA3"/>
    <w:rsid w:val="002061DB"/>
    <w:rsid w:val="00206565"/>
    <w:rsid w:val="00206816"/>
    <w:rsid w:val="00206DBA"/>
    <w:rsid w:val="002072E9"/>
    <w:rsid w:val="0020738D"/>
    <w:rsid w:val="00207697"/>
    <w:rsid w:val="002076EA"/>
    <w:rsid w:val="00207897"/>
    <w:rsid w:val="00207984"/>
    <w:rsid w:val="00207AC3"/>
    <w:rsid w:val="00207B34"/>
    <w:rsid w:val="00207D73"/>
    <w:rsid w:val="00207F12"/>
    <w:rsid w:val="002100C8"/>
    <w:rsid w:val="002103EC"/>
    <w:rsid w:val="00210AFE"/>
    <w:rsid w:val="00210B42"/>
    <w:rsid w:val="00210C87"/>
    <w:rsid w:val="00210DCF"/>
    <w:rsid w:val="00210E4C"/>
    <w:rsid w:val="00211079"/>
    <w:rsid w:val="0021122E"/>
    <w:rsid w:val="002114D5"/>
    <w:rsid w:val="00211F55"/>
    <w:rsid w:val="00211F9E"/>
    <w:rsid w:val="00212032"/>
    <w:rsid w:val="002122DF"/>
    <w:rsid w:val="002126A9"/>
    <w:rsid w:val="0021289A"/>
    <w:rsid w:val="00212A4F"/>
    <w:rsid w:val="00212AC9"/>
    <w:rsid w:val="00212C5C"/>
    <w:rsid w:val="00212CCB"/>
    <w:rsid w:val="00212DAA"/>
    <w:rsid w:val="00212EFF"/>
    <w:rsid w:val="00213815"/>
    <w:rsid w:val="00213CE9"/>
    <w:rsid w:val="00213F63"/>
    <w:rsid w:val="002145AE"/>
    <w:rsid w:val="00214612"/>
    <w:rsid w:val="00214CD1"/>
    <w:rsid w:val="00215168"/>
    <w:rsid w:val="00215235"/>
    <w:rsid w:val="0021528A"/>
    <w:rsid w:val="0021547F"/>
    <w:rsid w:val="00215B97"/>
    <w:rsid w:val="00215E32"/>
    <w:rsid w:val="00215F51"/>
    <w:rsid w:val="00216256"/>
    <w:rsid w:val="00216788"/>
    <w:rsid w:val="0021685C"/>
    <w:rsid w:val="0021695A"/>
    <w:rsid w:val="002169BF"/>
    <w:rsid w:val="00216D9D"/>
    <w:rsid w:val="00216E1C"/>
    <w:rsid w:val="00216F08"/>
    <w:rsid w:val="00216F34"/>
    <w:rsid w:val="002173C6"/>
    <w:rsid w:val="00217714"/>
    <w:rsid w:val="0022075A"/>
    <w:rsid w:val="00220F0F"/>
    <w:rsid w:val="00221176"/>
    <w:rsid w:val="002211F1"/>
    <w:rsid w:val="002215C5"/>
    <w:rsid w:val="00221918"/>
    <w:rsid w:val="002219FF"/>
    <w:rsid w:val="00221F37"/>
    <w:rsid w:val="0022202D"/>
    <w:rsid w:val="002226F4"/>
    <w:rsid w:val="002227FC"/>
    <w:rsid w:val="00222879"/>
    <w:rsid w:val="00222A07"/>
    <w:rsid w:val="002230E8"/>
    <w:rsid w:val="00223230"/>
    <w:rsid w:val="00223242"/>
    <w:rsid w:val="002233F7"/>
    <w:rsid w:val="0022393E"/>
    <w:rsid w:val="002242D4"/>
    <w:rsid w:val="002246E2"/>
    <w:rsid w:val="00224AD9"/>
    <w:rsid w:val="00224EE4"/>
    <w:rsid w:val="0022531C"/>
    <w:rsid w:val="00225492"/>
    <w:rsid w:val="00225A98"/>
    <w:rsid w:val="00225B24"/>
    <w:rsid w:val="00225B6A"/>
    <w:rsid w:val="00225EFD"/>
    <w:rsid w:val="00226316"/>
    <w:rsid w:val="00226324"/>
    <w:rsid w:val="00226CD4"/>
    <w:rsid w:val="00226E86"/>
    <w:rsid w:val="0022725D"/>
    <w:rsid w:val="00227AAF"/>
    <w:rsid w:val="00227D11"/>
    <w:rsid w:val="00227FA9"/>
    <w:rsid w:val="00227FD4"/>
    <w:rsid w:val="0023055E"/>
    <w:rsid w:val="0023059E"/>
    <w:rsid w:val="00230B55"/>
    <w:rsid w:val="00230E6A"/>
    <w:rsid w:val="00231106"/>
    <w:rsid w:val="00231351"/>
    <w:rsid w:val="00231472"/>
    <w:rsid w:val="00231648"/>
    <w:rsid w:val="002317EE"/>
    <w:rsid w:val="002319C9"/>
    <w:rsid w:val="00231C84"/>
    <w:rsid w:val="00231DE7"/>
    <w:rsid w:val="00231F41"/>
    <w:rsid w:val="00232165"/>
    <w:rsid w:val="00232306"/>
    <w:rsid w:val="002323E1"/>
    <w:rsid w:val="0023285B"/>
    <w:rsid w:val="00232C6B"/>
    <w:rsid w:val="002335F4"/>
    <w:rsid w:val="00233978"/>
    <w:rsid w:val="0023398D"/>
    <w:rsid w:val="002339F6"/>
    <w:rsid w:val="00233E7E"/>
    <w:rsid w:val="002344B1"/>
    <w:rsid w:val="002345BB"/>
    <w:rsid w:val="00234ACB"/>
    <w:rsid w:val="0023520B"/>
    <w:rsid w:val="002352D7"/>
    <w:rsid w:val="0023534B"/>
    <w:rsid w:val="0023535F"/>
    <w:rsid w:val="00235402"/>
    <w:rsid w:val="0023545B"/>
    <w:rsid w:val="002356FB"/>
    <w:rsid w:val="00235A6C"/>
    <w:rsid w:val="00235B0F"/>
    <w:rsid w:val="00235D1B"/>
    <w:rsid w:val="00235E9F"/>
    <w:rsid w:val="00235F50"/>
    <w:rsid w:val="00236549"/>
    <w:rsid w:val="002369AC"/>
    <w:rsid w:val="00237287"/>
    <w:rsid w:val="0023735A"/>
    <w:rsid w:val="0023741A"/>
    <w:rsid w:val="0023758D"/>
    <w:rsid w:val="00237774"/>
    <w:rsid w:val="00237A62"/>
    <w:rsid w:val="00237C28"/>
    <w:rsid w:val="00237EC4"/>
    <w:rsid w:val="00237FC3"/>
    <w:rsid w:val="00240162"/>
    <w:rsid w:val="0024029B"/>
    <w:rsid w:val="00240313"/>
    <w:rsid w:val="002403D0"/>
    <w:rsid w:val="002404A8"/>
    <w:rsid w:val="002408C5"/>
    <w:rsid w:val="00240DB7"/>
    <w:rsid w:val="0024119A"/>
    <w:rsid w:val="00241428"/>
    <w:rsid w:val="002418B3"/>
    <w:rsid w:val="0024198A"/>
    <w:rsid w:val="00242156"/>
    <w:rsid w:val="0024218F"/>
    <w:rsid w:val="00242482"/>
    <w:rsid w:val="002426DE"/>
    <w:rsid w:val="002427C3"/>
    <w:rsid w:val="00242AD5"/>
    <w:rsid w:val="00242FDB"/>
    <w:rsid w:val="00243535"/>
    <w:rsid w:val="002438E8"/>
    <w:rsid w:val="00243A18"/>
    <w:rsid w:val="00243A9E"/>
    <w:rsid w:val="00243D06"/>
    <w:rsid w:val="00243D7B"/>
    <w:rsid w:val="00243F7C"/>
    <w:rsid w:val="00244605"/>
    <w:rsid w:val="00244663"/>
    <w:rsid w:val="00244AD9"/>
    <w:rsid w:val="00244EBB"/>
    <w:rsid w:val="00245073"/>
    <w:rsid w:val="0024523F"/>
    <w:rsid w:val="00245530"/>
    <w:rsid w:val="002456D7"/>
    <w:rsid w:val="00245706"/>
    <w:rsid w:val="00245A49"/>
    <w:rsid w:val="002462BD"/>
    <w:rsid w:val="002463F1"/>
    <w:rsid w:val="00246876"/>
    <w:rsid w:val="002469D9"/>
    <w:rsid w:val="00246FFE"/>
    <w:rsid w:val="002470C5"/>
    <w:rsid w:val="00247305"/>
    <w:rsid w:val="002474DA"/>
    <w:rsid w:val="0024781F"/>
    <w:rsid w:val="00247863"/>
    <w:rsid w:val="00247BFB"/>
    <w:rsid w:val="00247D35"/>
    <w:rsid w:val="002501B1"/>
    <w:rsid w:val="00250813"/>
    <w:rsid w:val="00250840"/>
    <w:rsid w:val="00250FD9"/>
    <w:rsid w:val="00251056"/>
    <w:rsid w:val="00251140"/>
    <w:rsid w:val="002515BF"/>
    <w:rsid w:val="00251A07"/>
    <w:rsid w:val="00252296"/>
    <w:rsid w:val="002523EC"/>
    <w:rsid w:val="0025261F"/>
    <w:rsid w:val="00252669"/>
    <w:rsid w:val="00252CA6"/>
    <w:rsid w:val="00252F42"/>
    <w:rsid w:val="002533D7"/>
    <w:rsid w:val="002536FA"/>
    <w:rsid w:val="00253709"/>
    <w:rsid w:val="00254246"/>
    <w:rsid w:val="0025478D"/>
    <w:rsid w:val="0025488C"/>
    <w:rsid w:val="00254BBE"/>
    <w:rsid w:val="00254DCA"/>
    <w:rsid w:val="00254E0E"/>
    <w:rsid w:val="00254E76"/>
    <w:rsid w:val="00254EC5"/>
    <w:rsid w:val="00254EDB"/>
    <w:rsid w:val="00254F13"/>
    <w:rsid w:val="00254F3E"/>
    <w:rsid w:val="00255290"/>
    <w:rsid w:val="00255854"/>
    <w:rsid w:val="00255A85"/>
    <w:rsid w:val="00255B25"/>
    <w:rsid w:val="00255B58"/>
    <w:rsid w:val="00255C8D"/>
    <w:rsid w:val="002560F3"/>
    <w:rsid w:val="0025624A"/>
    <w:rsid w:val="002565CA"/>
    <w:rsid w:val="00256750"/>
    <w:rsid w:val="002568B0"/>
    <w:rsid w:val="00256CC7"/>
    <w:rsid w:val="002574AF"/>
    <w:rsid w:val="0025793B"/>
    <w:rsid w:val="00257E15"/>
    <w:rsid w:val="00257F1F"/>
    <w:rsid w:val="002601E5"/>
    <w:rsid w:val="00260569"/>
    <w:rsid w:val="002605BF"/>
    <w:rsid w:val="0026174B"/>
    <w:rsid w:val="00261ACD"/>
    <w:rsid w:val="00261C9A"/>
    <w:rsid w:val="00263183"/>
    <w:rsid w:val="002632DE"/>
    <w:rsid w:val="00263620"/>
    <w:rsid w:val="0026374B"/>
    <w:rsid w:val="00263D7D"/>
    <w:rsid w:val="00263F64"/>
    <w:rsid w:val="00264482"/>
    <w:rsid w:val="0026478D"/>
    <w:rsid w:val="00264859"/>
    <w:rsid w:val="002648F1"/>
    <w:rsid w:val="002649D9"/>
    <w:rsid w:val="002654D4"/>
    <w:rsid w:val="002655CF"/>
    <w:rsid w:val="00265619"/>
    <w:rsid w:val="002660D6"/>
    <w:rsid w:val="0026641F"/>
    <w:rsid w:val="00266821"/>
    <w:rsid w:val="00266C13"/>
    <w:rsid w:val="00267223"/>
    <w:rsid w:val="00267739"/>
    <w:rsid w:val="00267ACA"/>
    <w:rsid w:val="00267D73"/>
    <w:rsid w:val="00267F04"/>
    <w:rsid w:val="002700DC"/>
    <w:rsid w:val="00270891"/>
    <w:rsid w:val="002708BA"/>
    <w:rsid w:val="002708FD"/>
    <w:rsid w:val="00270AF6"/>
    <w:rsid w:val="00271197"/>
    <w:rsid w:val="0027162A"/>
    <w:rsid w:val="00272128"/>
    <w:rsid w:val="002722D3"/>
    <w:rsid w:val="00272316"/>
    <w:rsid w:val="0027249E"/>
    <w:rsid w:val="00272B8F"/>
    <w:rsid w:val="00272CB4"/>
    <w:rsid w:val="00272D23"/>
    <w:rsid w:val="00272D6E"/>
    <w:rsid w:val="002735F4"/>
    <w:rsid w:val="00273713"/>
    <w:rsid w:val="00273C77"/>
    <w:rsid w:val="00273D85"/>
    <w:rsid w:val="002743BD"/>
    <w:rsid w:val="002747F4"/>
    <w:rsid w:val="00274A3C"/>
    <w:rsid w:val="00274A3D"/>
    <w:rsid w:val="00274B6D"/>
    <w:rsid w:val="00274CC7"/>
    <w:rsid w:val="00274E70"/>
    <w:rsid w:val="00274F92"/>
    <w:rsid w:val="002752A4"/>
    <w:rsid w:val="002753D4"/>
    <w:rsid w:val="002755A5"/>
    <w:rsid w:val="002755C2"/>
    <w:rsid w:val="00275652"/>
    <w:rsid w:val="002756E2"/>
    <w:rsid w:val="0027577D"/>
    <w:rsid w:val="0027594A"/>
    <w:rsid w:val="00275967"/>
    <w:rsid w:val="002759A2"/>
    <w:rsid w:val="00275D1A"/>
    <w:rsid w:val="002760C1"/>
    <w:rsid w:val="00276100"/>
    <w:rsid w:val="00276163"/>
    <w:rsid w:val="0027632A"/>
    <w:rsid w:val="0027656E"/>
    <w:rsid w:val="00276687"/>
    <w:rsid w:val="0027693A"/>
    <w:rsid w:val="00276B74"/>
    <w:rsid w:val="00276F91"/>
    <w:rsid w:val="0027735D"/>
    <w:rsid w:val="00277690"/>
    <w:rsid w:val="002777B9"/>
    <w:rsid w:val="002779DE"/>
    <w:rsid w:val="00277AA3"/>
    <w:rsid w:val="002800FE"/>
    <w:rsid w:val="002801F7"/>
    <w:rsid w:val="002804AE"/>
    <w:rsid w:val="00280545"/>
    <w:rsid w:val="002806BC"/>
    <w:rsid w:val="0028097D"/>
    <w:rsid w:val="00280A16"/>
    <w:rsid w:val="00280CB1"/>
    <w:rsid w:val="00280DC8"/>
    <w:rsid w:val="00280EE8"/>
    <w:rsid w:val="00281097"/>
    <w:rsid w:val="002811E4"/>
    <w:rsid w:val="0028137E"/>
    <w:rsid w:val="0028180C"/>
    <w:rsid w:val="00281972"/>
    <w:rsid w:val="00281B7A"/>
    <w:rsid w:val="00281B9B"/>
    <w:rsid w:val="002821D9"/>
    <w:rsid w:val="0028220C"/>
    <w:rsid w:val="002823AD"/>
    <w:rsid w:val="002823D5"/>
    <w:rsid w:val="002824AB"/>
    <w:rsid w:val="00282799"/>
    <w:rsid w:val="002828F6"/>
    <w:rsid w:val="0028298D"/>
    <w:rsid w:val="00282AF6"/>
    <w:rsid w:val="0028321F"/>
    <w:rsid w:val="00283676"/>
    <w:rsid w:val="00283AA0"/>
    <w:rsid w:val="002847B5"/>
    <w:rsid w:val="002848C7"/>
    <w:rsid w:val="00284AE1"/>
    <w:rsid w:val="00284B36"/>
    <w:rsid w:val="00284F09"/>
    <w:rsid w:val="00285C6A"/>
    <w:rsid w:val="00286503"/>
    <w:rsid w:val="00286A64"/>
    <w:rsid w:val="00286D9A"/>
    <w:rsid w:val="0028707B"/>
    <w:rsid w:val="00287098"/>
    <w:rsid w:val="002870B0"/>
    <w:rsid w:val="002871F8"/>
    <w:rsid w:val="00287423"/>
    <w:rsid w:val="00287722"/>
    <w:rsid w:val="00287815"/>
    <w:rsid w:val="00287A55"/>
    <w:rsid w:val="00287C7D"/>
    <w:rsid w:val="00287E8A"/>
    <w:rsid w:val="002902C3"/>
    <w:rsid w:val="00290369"/>
    <w:rsid w:val="002905C9"/>
    <w:rsid w:val="00290E92"/>
    <w:rsid w:val="00290FD6"/>
    <w:rsid w:val="0029138C"/>
    <w:rsid w:val="002914F8"/>
    <w:rsid w:val="00291ACE"/>
    <w:rsid w:val="0029217D"/>
    <w:rsid w:val="00292871"/>
    <w:rsid w:val="00292C9F"/>
    <w:rsid w:val="00293193"/>
    <w:rsid w:val="00293210"/>
    <w:rsid w:val="00293243"/>
    <w:rsid w:val="00293743"/>
    <w:rsid w:val="00293AE2"/>
    <w:rsid w:val="00293F87"/>
    <w:rsid w:val="00294402"/>
    <w:rsid w:val="0029454E"/>
    <w:rsid w:val="00294928"/>
    <w:rsid w:val="002949C2"/>
    <w:rsid w:val="00294ABE"/>
    <w:rsid w:val="00294E0B"/>
    <w:rsid w:val="00294E40"/>
    <w:rsid w:val="002951A0"/>
    <w:rsid w:val="00295225"/>
    <w:rsid w:val="002953E7"/>
    <w:rsid w:val="00295AB4"/>
    <w:rsid w:val="00295BAB"/>
    <w:rsid w:val="00295E65"/>
    <w:rsid w:val="002962AB"/>
    <w:rsid w:val="00296570"/>
    <w:rsid w:val="00296956"/>
    <w:rsid w:val="00296C68"/>
    <w:rsid w:val="00296EC0"/>
    <w:rsid w:val="00297475"/>
    <w:rsid w:val="00297897"/>
    <w:rsid w:val="002A0071"/>
    <w:rsid w:val="002A0083"/>
    <w:rsid w:val="002A022D"/>
    <w:rsid w:val="002A0282"/>
    <w:rsid w:val="002A02CC"/>
    <w:rsid w:val="002A049E"/>
    <w:rsid w:val="002A0547"/>
    <w:rsid w:val="002A084F"/>
    <w:rsid w:val="002A088C"/>
    <w:rsid w:val="002A0988"/>
    <w:rsid w:val="002A0B47"/>
    <w:rsid w:val="002A14C9"/>
    <w:rsid w:val="002A1F2B"/>
    <w:rsid w:val="002A21CB"/>
    <w:rsid w:val="002A23B0"/>
    <w:rsid w:val="002A26F0"/>
    <w:rsid w:val="002A2C6B"/>
    <w:rsid w:val="002A2D8B"/>
    <w:rsid w:val="002A2F7B"/>
    <w:rsid w:val="002A3322"/>
    <w:rsid w:val="002A3671"/>
    <w:rsid w:val="002A3678"/>
    <w:rsid w:val="002A3807"/>
    <w:rsid w:val="002A3A04"/>
    <w:rsid w:val="002A3C46"/>
    <w:rsid w:val="002A3D50"/>
    <w:rsid w:val="002A40B1"/>
    <w:rsid w:val="002A4EF3"/>
    <w:rsid w:val="002A5015"/>
    <w:rsid w:val="002A5630"/>
    <w:rsid w:val="002A5AB1"/>
    <w:rsid w:val="002A5BC3"/>
    <w:rsid w:val="002A5F6E"/>
    <w:rsid w:val="002A6071"/>
    <w:rsid w:val="002A63C9"/>
    <w:rsid w:val="002A69E4"/>
    <w:rsid w:val="002A6E06"/>
    <w:rsid w:val="002A6ED5"/>
    <w:rsid w:val="002A6F41"/>
    <w:rsid w:val="002A71F5"/>
    <w:rsid w:val="002A7A41"/>
    <w:rsid w:val="002A7D6C"/>
    <w:rsid w:val="002A7E68"/>
    <w:rsid w:val="002B001A"/>
    <w:rsid w:val="002B0037"/>
    <w:rsid w:val="002B01F0"/>
    <w:rsid w:val="002B03E3"/>
    <w:rsid w:val="002B046F"/>
    <w:rsid w:val="002B06E9"/>
    <w:rsid w:val="002B0812"/>
    <w:rsid w:val="002B183A"/>
    <w:rsid w:val="002B18C1"/>
    <w:rsid w:val="002B18F6"/>
    <w:rsid w:val="002B1C89"/>
    <w:rsid w:val="002B1CF6"/>
    <w:rsid w:val="002B1D76"/>
    <w:rsid w:val="002B2146"/>
    <w:rsid w:val="002B26E9"/>
    <w:rsid w:val="002B273F"/>
    <w:rsid w:val="002B29F3"/>
    <w:rsid w:val="002B2A73"/>
    <w:rsid w:val="002B2AFD"/>
    <w:rsid w:val="002B2FD1"/>
    <w:rsid w:val="002B306B"/>
    <w:rsid w:val="002B310E"/>
    <w:rsid w:val="002B367B"/>
    <w:rsid w:val="002B36FD"/>
    <w:rsid w:val="002B42A8"/>
    <w:rsid w:val="002B43EA"/>
    <w:rsid w:val="002B46C3"/>
    <w:rsid w:val="002B4AB8"/>
    <w:rsid w:val="002B5264"/>
    <w:rsid w:val="002B533D"/>
    <w:rsid w:val="002B56EC"/>
    <w:rsid w:val="002B5B5E"/>
    <w:rsid w:val="002B601A"/>
    <w:rsid w:val="002B6A9B"/>
    <w:rsid w:val="002B6C43"/>
    <w:rsid w:val="002B6CB7"/>
    <w:rsid w:val="002B6CD1"/>
    <w:rsid w:val="002B7244"/>
    <w:rsid w:val="002B77A7"/>
    <w:rsid w:val="002B7CBB"/>
    <w:rsid w:val="002B7D23"/>
    <w:rsid w:val="002C03DA"/>
    <w:rsid w:val="002C03DD"/>
    <w:rsid w:val="002C0470"/>
    <w:rsid w:val="002C04C8"/>
    <w:rsid w:val="002C0CDE"/>
    <w:rsid w:val="002C0D3A"/>
    <w:rsid w:val="002C1531"/>
    <w:rsid w:val="002C179D"/>
    <w:rsid w:val="002C22C4"/>
    <w:rsid w:val="002C286B"/>
    <w:rsid w:val="002C2FE4"/>
    <w:rsid w:val="002C3351"/>
    <w:rsid w:val="002C3AD5"/>
    <w:rsid w:val="002C3D03"/>
    <w:rsid w:val="002C3D42"/>
    <w:rsid w:val="002C3F55"/>
    <w:rsid w:val="002C4189"/>
    <w:rsid w:val="002C4242"/>
    <w:rsid w:val="002C47EE"/>
    <w:rsid w:val="002C4A1C"/>
    <w:rsid w:val="002C4A4C"/>
    <w:rsid w:val="002C4E6C"/>
    <w:rsid w:val="002C516E"/>
    <w:rsid w:val="002C5350"/>
    <w:rsid w:val="002C5613"/>
    <w:rsid w:val="002C5B08"/>
    <w:rsid w:val="002C5D4F"/>
    <w:rsid w:val="002C613F"/>
    <w:rsid w:val="002C650A"/>
    <w:rsid w:val="002C6A3E"/>
    <w:rsid w:val="002C6B22"/>
    <w:rsid w:val="002C6E0D"/>
    <w:rsid w:val="002C74D8"/>
    <w:rsid w:val="002D091A"/>
    <w:rsid w:val="002D0999"/>
    <w:rsid w:val="002D09E8"/>
    <w:rsid w:val="002D0E55"/>
    <w:rsid w:val="002D116C"/>
    <w:rsid w:val="002D1785"/>
    <w:rsid w:val="002D1927"/>
    <w:rsid w:val="002D19D8"/>
    <w:rsid w:val="002D1A2B"/>
    <w:rsid w:val="002D1D98"/>
    <w:rsid w:val="002D1F97"/>
    <w:rsid w:val="002D2058"/>
    <w:rsid w:val="002D2AC9"/>
    <w:rsid w:val="002D2B5A"/>
    <w:rsid w:val="002D2C58"/>
    <w:rsid w:val="002D3667"/>
    <w:rsid w:val="002D3772"/>
    <w:rsid w:val="002D3847"/>
    <w:rsid w:val="002D3A78"/>
    <w:rsid w:val="002D3BC3"/>
    <w:rsid w:val="002D3CA8"/>
    <w:rsid w:val="002D4073"/>
    <w:rsid w:val="002D475B"/>
    <w:rsid w:val="002D48C0"/>
    <w:rsid w:val="002D4E38"/>
    <w:rsid w:val="002D4F8B"/>
    <w:rsid w:val="002D50E0"/>
    <w:rsid w:val="002D5267"/>
    <w:rsid w:val="002D5321"/>
    <w:rsid w:val="002D55E1"/>
    <w:rsid w:val="002D5779"/>
    <w:rsid w:val="002D5BC5"/>
    <w:rsid w:val="002D5C54"/>
    <w:rsid w:val="002D6BC2"/>
    <w:rsid w:val="002D6DB4"/>
    <w:rsid w:val="002D75CC"/>
    <w:rsid w:val="002D77B4"/>
    <w:rsid w:val="002D7E01"/>
    <w:rsid w:val="002D7EC4"/>
    <w:rsid w:val="002D7EEF"/>
    <w:rsid w:val="002E05C4"/>
    <w:rsid w:val="002E0897"/>
    <w:rsid w:val="002E14F8"/>
    <w:rsid w:val="002E1B7C"/>
    <w:rsid w:val="002E1FD6"/>
    <w:rsid w:val="002E23B0"/>
    <w:rsid w:val="002E2E99"/>
    <w:rsid w:val="002E32FC"/>
    <w:rsid w:val="002E35FE"/>
    <w:rsid w:val="002E3672"/>
    <w:rsid w:val="002E3677"/>
    <w:rsid w:val="002E36B2"/>
    <w:rsid w:val="002E3C2F"/>
    <w:rsid w:val="002E3CEC"/>
    <w:rsid w:val="002E3D5E"/>
    <w:rsid w:val="002E3D92"/>
    <w:rsid w:val="002E412C"/>
    <w:rsid w:val="002E4196"/>
    <w:rsid w:val="002E440D"/>
    <w:rsid w:val="002E45F0"/>
    <w:rsid w:val="002E4678"/>
    <w:rsid w:val="002E4919"/>
    <w:rsid w:val="002E4B24"/>
    <w:rsid w:val="002E4F4D"/>
    <w:rsid w:val="002E51EB"/>
    <w:rsid w:val="002E548F"/>
    <w:rsid w:val="002E56EB"/>
    <w:rsid w:val="002E5793"/>
    <w:rsid w:val="002E5A12"/>
    <w:rsid w:val="002E5C81"/>
    <w:rsid w:val="002E64C5"/>
    <w:rsid w:val="002E66A8"/>
    <w:rsid w:val="002E68EB"/>
    <w:rsid w:val="002E6BBB"/>
    <w:rsid w:val="002E6D43"/>
    <w:rsid w:val="002E6D75"/>
    <w:rsid w:val="002E6DD0"/>
    <w:rsid w:val="002E7C0F"/>
    <w:rsid w:val="002E7CE4"/>
    <w:rsid w:val="002F0057"/>
    <w:rsid w:val="002F00A6"/>
    <w:rsid w:val="002F0218"/>
    <w:rsid w:val="002F0D06"/>
    <w:rsid w:val="002F0EE5"/>
    <w:rsid w:val="002F0EED"/>
    <w:rsid w:val="002F116B"/>
    <w:rsid w:val="002F1245"/>
    <w:rsid w:val="002F149D"/>
    <w:rsid w:val="002F14E8"/>
    <w:rsid w:val="002F15BA"/>
    <w:rsid w:val="002F1732"/>
    <w:rsid w:val="002F1B06"/>
    <w:rsid w:val="002F1B7E"/>
    <w:rsid w:val="002F1F55"/>
    <w:rsid w:val="002F20F1"/>
    <w:rsid w:val="002F216A"/>
    <w:rsid w:val="002F2227"/>
    <w:rsid w:val="002F2C48"/>
    <w:rsid w:val="002F2C5F"/>
    <w:rsid w:val="002F2D4D"/>
    <w:rsid w:val="002F3287"/>
    <w:rsid w:val="002F3994"/>
    <w:rsid w:val="002F426A"/>
    <w:rsid w:val="002F476F"/>
    <w:rsid w:val="002F4938"/>
    <w:rsid w:val="002F4A29"/>
    <w:rsid w:val="002F4A75"/>
    <w:rsid w:val="002F5896"/>
    <w:rsid w:val="002F6618"/>
    <w:rsid w:val="002F6671"/>
    <w:rsid w:val="002F6BBD"/>
    <w:rsid w:val="002F6BE8"/>
    <w:rsid w:val="002F74EA"/>
    <w:rsid w:val="002F7A38"/>
    <w:rsid w:val="002F7D37"/>
    <w:rsid w:val="00300191"/>
    <w:rsid w:val="003005DB"/>
    <w:rsid w:val="003006C6"/>
    <w:rsid w:val="00300D5F"/>
    <w:rsid w:val="00300D72"/>
    <w:rsid w:val="00300EDB"/>
    <w:rsid w:val="00301B03"/>
    <w:rsid w:val="00301E27"/>
    <w:rsid w:val="00301EAF"/>
    <w:rsid w:val="00301F77"/>
    <w:rsid w:val="00302390"/>
    <w:rsid w:val="00302405"/>
    <w:rsid w:val="00302659"/>
    <w:rsid w:val="0030267D"/>
    <w:rsid w:val="00302CAA"/>
    <w:rsid w:val="00302F11"/>
    <w:rsid w:val="00303307"/>
    <w:rsid w:val="003033EC"/>
    <w:rsid w:val="00303DFE"/>
    <w:rsid w:val="00304715"/>
    <w:rsid w:val="00304960"/>
    <w:rsid w:val="00304C44"/>
    <w:rsid w:val="00304C7B"/>
    <w:rsid w:val="00304F96"/>
    <w:rsid w:val="00305281"/>
    <w:rsid w:val="0030543D"/>
    <w:rsid w:val="00305799"/>
    <w:rsid w:val="00305C9E"/>
    <w:rsid w:val="00305CE6"/>
    <w:rsid w:val="00306862"/>
    <w:rsid w:val="00306C48"/>
    <w:rsid w:val="00306D48"/>
    <w:rsid w:val="00306EC7"/>
    <w:rsid w:val="0030735F"/>
    <w:rsid w:val="003076F0"/>
    <w:rsid w:val="003078D0"/>
    <w:rsid w:val="00307C90"/>
    <w:rsid w:val="00307DF3"/>
    <w:rsid w:val="00310381"/>
    <w:rsid w:val="0031181F"/>
    <w:rsid w:val="00311A48"/>
    <w:rsid w:val="00311A52"/>
    <w:rsid w:val="003121DC"/>
    <w:rsid w:val="003123C0"/>
    <w:rsid w:val="00312C7F"/>
    <w:rsid w:val="00312CDD"/>
    <w:rsid w:val="00312D36"/>
    <w:rsid w:val="00312DFB"/>
    <w:rsid w:val="0031324A"/>
    <w:rsid w:val="00313271"/>
    <w:rsid w:val="0031337A"/>
    <w:rsid w:val="0031337B"/>
    <w:rsid w:val="00313594"/>
    <w:rsid w:val="00313871"/>
    <w:rsid w:val="0031394C"/>
    <w:rsid w:val="00314334"/>
    <w:rsid w:val="00314409"/>
    <w:rsid w:val="003145D4"/>
    <w:rsid w:val="003149F6"/>
    <w:rsid w:val="00314A0A"/>
    <w:rsid w:val="00314BC2"/>
    <w:rsid w:val="00314DAD"/>
    <w:rsid w:val="00314E8C"/>
    <w:rsid w:val="00315356"/>
    <w:rsid w:val="00315A9A"/>
    <w:rsid w:val="00315D74"/>
    <w:rsid w:val="00316253"/>
    <w:rsid w:val="00316260"/>
    <w:rsid w:val="0031666C"/>
    <w:rsid w:val="00316769"/>
    <w:rsid w:val="00316C58"/>
    <w:rsid w:val="00316E72"/>
    <w:rsid w:val="00316F43"/>
    <w:rsid w:val="00316F49"/>
    <w:rsid w:val="003176D2"/>
    <w:rsid w:val="003178FE"/>
    <w:rsid w:val="00317B22"/>
    <w:rsid w:val="00317BB5"/>
    <w:rsid w:val="00317C5A"/>
    <w:rsid w:val="003209BA"/>
    <w:rsid w:val="00320C00"/>
    <w:rsid w:val="00320C64"/>
    <w:rsid w:val="00321DF2"/>
    <w:rsid w:val="0032281E"/>
    <w:rsid w:val="0032283A"/>
    <w:rsid w:val="003229A6"/>
    <w:rsid w:val="00322DB9"/>
    <w:rsid w:val="00323007"/>
    <w:rsid w:val="0032304D"/>
    <w:rsid w:val="00323162"/>
    <w:rsid w:val="0032325C"/>
    <w:rsid w:val="0032333F"/>
    <w:rsid w:val="003238F7"/>
    <w:rsid w:val="00323ECA"/>
    <w:rsid w:val="0032412F"/>
    <w:rsid w:val="0032442F"/>
    <w:rsid w:val="00324824"/>
    <w:rsid w:val="00324885"/>
    <w:rsid w:val="00324C30"/>
    <w:rsid w:val="00324D51"/>
    <w:rsid w:val="00324D61"/>
    <w:rsid w:val="00325F89"/>
    <w:rsid w:val="00326088"/>
    <w:rsid w:val="003261B5"/>
    <w:rsid w:val="003261F9"/>
    <w:rsid w:val="003262F4"/>
    <w:rsid w:val="003267E2"/>
    <w:rsid w:val="00326971"/>
    <w:rsid w:val="00326AD3"/>
    <w:rsid w:val="00326B63"/>
    <w:rsid w:val="0032778B"/>
    <w:rsid w:val="0032781E"/>
    <w:rsid w:val="0032790B"/>
    <w:rsid w:val="00327AE7"/>
    <w:rsid w:val="00327BA2"/>
    <w:rsid w:val="00330336"/>
    <w:rsid w:val="00330386"/>
    <w:rsid w:val="00330C38"/>
    <w:rsid w:val="00330CBF"/>
    <w:rsid w:val="00330DB3"/>
    <w:rsid w:val="00331473"/>
    <w:rsid w:val="0033155E"/>
    <w:rsid w:val="003315C0"/>
    <w:rsid w:val="00331721"/>
    <w:rsid w:val="003319CC"/>
    <w:rsid w:val="00331DAB"/>
    <w:rsid w:val="003320B7"/>
    <w:rsid w:val="00332295"/>
    <w:rsid w:val="003322A2"/>
    <w:rsid w:val="00332432"/>
    <w:rsid w:val="003324C6"/>
    <w:rsid w:val="003329A8"/>
    <w:rsid w:val="00332A4B"/>
    <w:rsid w:val="00332CD0"/>
    <w:rsid w:val="00332FD5"/>
    <w:rsid w:val="003330AD"/>
    <w:rsid w:val="003331D8"/>
    <w:rsid w:val="0033343A"/>
    <w:rsid w:val="003334A6"/>
    <w:rsid w:val="00333564"/>
    <w:rsid w:val="00333679"/>
    <w:rsid w:val="0033370C"/>
    <w:rsid w:val="003337F2"/>
    <w:rsid w:val="003338F4"/>
    <w:rsid w:val="00333958"/>
    <w:rsid w:val="00333C22"/>
    <w:rsid w:val="00334007"/>
    <w:rsid w:val="003340A2"/>
    <w:rsid w:val="003340AC"/>
    <w:rsid w:val="0033418A"/>
    <w:rsid w:val="003345B9"/>
    <w:rsid w:val="00334BD4"/>
    <w:rsid w:val="00335A62"/>
    <w:rsid w:val="00335B02"/>
    <w:rsid w:val="00335D00"/>
    <w:rsid w:val="00336050"/>
    <w:rsid w:val="0033608B"/>
    <w:rsid w:val="003361FD"/>
    <w:rsid w:val="0033626F"/>
    <w:rsid w:val="00336621"/>
    <w:rsid w:val="003369D8"/>
    <w:rsid w:val="00336D29"/>
    <w:rsid w:val="00336F1C"/>
    <w:rsid w:val="00337439"/>
    <w:rsid w:val="00337C3F"/>
    <w:rsid w:val="00337C8A"/>
    <w:rsid w:val="00337E63"/>
    <w:rsid w:val="00337FB7"/>
    <w:rsid w:val="00340091"/>
    <w:rsid w:val="003401FA"/>
    <w:rsid w:val="003408EB"/>
    <w:rsid w:val="00340EA9"/>
    <w:rsid w:val="00340F4E"/>
    <w:rsid w:val="00341406"/>
    <w:rsid w:val="00341A4D"/>
    <w:rsid w:val="00341A5C"/>
    <w:rsid w:val="003423D5"/>
    <w:rsid w:val="003427FA"/>
    <w:rsid w:val="00342B8E"/>
    <w:rsid w:val="00342C77"/>
    <w:rsid w:val="003434F4"/>
    <w:rsid w:val="00343505"/>
    <w:rsid w:val="00343B1C"/>
    <w:rsid w:val="00343B93"/>
    <w:rsid w:val="00343C36"/>
    <w:rsid w:val="00343DFD"/>
    <w:rsid w:val="003443A6"/>
    <w:rsid w:val="0034451C"/>
    <w:rsid w:val="003448E1"/>
    <w:rsid w:val="003449D2"/>
    <w:rsid w:val="00344A78"/>
    <w:rsid w:val="00345156"/>
    <w:rsid w:val="003458E6"/>
    <w:rsid w:val="00345984"/>
    <w:rsid w:val="00345B94"/>
    <w:rsid w:val="00345CF7"/>
    <w:rsid w:val="00345D42"/>
    <w:rsid w:val="00345D93"/>
    <w:rsid w:val="00345E07"/>
    <w:rsid w:val="00345FA2"/>
    <w:rsid w:val="00346125"/>
    <w:rsid w:val="00346523"/>
    <w:rsid w:val="003466A2"/>
    <w:rsid w:val="00346A15"/>
    <w:rsid w:val="00346C82"/>
    <w:rsid w:val="003470EA"/>
    <w:rsid w:val="003472F9"/>
    <w:rsid w:val="0034780D"/>
    <w:rsid w:val="003478C0"/>
    <w:rsid w:val="003478E0"/>
    <w:rsid w:val="00350169"/>
    <w:rsid w:val="003501E4"/>
    <w:rsid w:val="0035030A"/>
    <w:rsid w:val="00350391"/>
    <w:rsid w:val="00350472"/>
    <w:rsid w:val="00350561"/>
    <w:rsid w:val="00350563"/>
    <w:rsid w:val="0035063C"/>
    <w:rsid w:val="003508A7"/>
    <w:rsid w:val="003508EF"/>
    <w:rsid w:val="00350B72"/>
    <w:rsid w:val="00350F77"/>
    <w:rsid w:val="00351250"/>
    <w:rsid w:val="00351267"/>
    <w:rsid w:val="003512E1"/>
    <w:rsid w:val="00351BBE"/>
    <w:rsid w:val="00351BC7"/>
    <w:rsid w:val="00351F06"/>
    <w:rsid w:val="00352298"/>
    <w:rsid w:val="00352DF2"/>
    <w:rsid w:val="0035357E"/>
    <w:rsid w:val="00353994"/>
    <w:rsid w:val="003539D1"/>
    <w:rsid w:val="00353CAE"/>
    <w:rsid w:val="0035438B"/>
    <w:rsid w:val="003543FF"/>
    <w:rsid w:val="00354543"/>
    <w:rsid w:val="0035461A"/>
    <w:rsid w:val="003549CB"/>
    <w:rsid w:val="00354B9E"/>
    <w:rsid w:val="0035557B"/>
    <w:rsid w:val="003557A7"/>
    <w:rsid w:val="003558EC"/>
    <w:rsid w:val="00355DF2"/>
    <w:rsid w:val="00355DFD"/>
    <w:rsid w:val="00355E7A"/>
    <w:rsid w:val="00356669"/>
    <w:rsid w:val="0035668D"/>
    <w:rsid w:val="0035684E"/>
    <w:rsid w:val="003568B6"/>
    <w:rsid w:val="00356B16"/>
    <w:rsid w:val="00356DD8"/>
    <w:rsid w:val="0035718E"/>
    <w:rsid w:val="003573D7"/>
    <w:rsid w:val="003576A5"/>
    <w:rsid w:val="0035772A"/>
    <w:rsid w:val="003579BF"/>
    <w:rsid w:val="00357A16"/>
    <w:rsid w:val="00357F89"/>
    <w:rsid w:val="00360048"/>
    <w:rsid w:val="00360080"/>
    <w:rsid w:val="0036015B"/>
    <w:rsid w:val="00360479"/>
    <w:rsid w:val="003609A8"/>
    <w:rsid w:val="003609EC"/>
    <w:rsid w:val="00360AD1"/>
    <w:rsid w:val="00360C26"/>
    <w:rsid w:val="00361138"/>
    <w:rsid w:val="003611C5"/>
    <w:rsid w:val="00361794"/>
    <w:rsid w:val="00361CE4"/>
    <w:rsid w:val="003629EA"/>
    <w:rsid w:val="00362F55"/>
    <w:rsid w:val="0036306E"/>
    <w:rsid w:val="0036322A"/>
    <w:rsid w:val="00363EFF"/>
    <w:rsid w:val="00364226"/>
    <w:rsid w:val="003643B1"/>
    <w:rsid w:val="00364D1F"/>
    <w:rsid w:val="00364FED"/>
    <w:rsid w:val="0036563D"/>
    <w:rsid w:val="00365775"/>
    <w:rsid w:val="00365DFC"/>
    <w:rsid w:val="00365E8A"/>
    <w:rsid w:val="00365FBE"/>
    <w:rsid w:val="00366132"/>
    <w:rsid w:val="003664BE"/>
    <w:rsid w:val="0036659C"/>
    <w:rsid w:val="00366727"/>
    <w:rsid w:val="003668A3"/>
    <w:rsid w:val="00366929"/>
    <w:rsid w:val="00366B46"/>
    <w:rsid w:val="00366B5D"/>
    <w:rsid w:val="00366BC4"/>
    <w:rsid w:val="00366D2A"/>
    <w:rsid w:val="00366D79"/>
    <w:rsid w:val="00366F9D"/>
    <w:rsid w:val="0036701C"/>
    <w:rsid w:val="0036708C"/>
    <w:rsid w:val="0036780C"/>
    <w:rsid w:val="0036781F"/>
    <w:rsid w:val="0036788F"/>
    <w:rsid w:val="00367C1A"/>
    <w:rsid w:val="00367ED6"/>
    <w:rsid w:val="00370195"/>
    <w:rsid w:val="00370258"/>
    <w:rsid w:val="00370507"/>
    <w:rsid w:val="00370B65"/>
    <w:rsid w:val="00370B7F"/>
    <w:rsid w:val="00370D4E"/>
    <w:rsid w:val="00370D6B"/>
    <w:rsid w:val="003710AA"/>
    <w:rsid w:val="003717EA"/>
    <w:rsid w:val="003718C2"/>
    <w:rsid w:val="00371D9E"/>
    <w:rsid w:val="00371E81"/>
    <w:rsid w:val="00372648"/>
    <w:rsid w:val="003726F3"/>
    <w:rsid w:val="0037290F"/>
    <w:rsid w:val="00372939"/>
    <w:rsid w:val="00372B40"/>
    <w:rsid w:val="00372BAE"/>
    <w:rsid w:val="003732B1"/>
    <w:rsid w:val="00373DA7"/>
    <w:rsid w:val="00373FAF"/>
    <w:rsid w:val="00374314"/>
    <w:rsid w:val="00374319"/>
    <w:rsid w:val="003744CC"/>
    <w:rsid w:val="00374545"/>
    <w:rsid w:val="003748DB"/>
    <w:rsid w:val="00374934"/>
    <w:rsid w:val="0037497D"/>
    <w:rsid w:val="003749D2"/>
    <w:rsid w:val="00374EFC"/>
    <w:rsid w:val="00375405"/>
    <w:rsid w:val="00375A76"/>
    <w:rsid w:val="00376390"/>
    <w:rsid w:val="0037699C"/>
    <w:rsid w:val="00376AFA"/>
    <w:rsid w:val="00377044"/>
    <w:rsid w:val="003772B3"/>
    <w:rsid w:val="0037755C"/>
    <w:rsid w:val="003775DC"/>
    <w:rsid w:val="00377606"/>
    <w:rsid w:val="00377817"/>
    <w:rsid w:val="00377890"/>
    <w:rsid w:val="00380113"/>
    <w:rsid w:val="00380516"/>
    <w:rsid w:val="00380595"/>
    <w:rsid w:val="003808DD"/>
    <w:rsid w:val="00380992"/>
    <w:rsid w:val="00380E5F"/>
    <w:rsid w:val="00381197"/>
    <w:rsid w:val="00381279"/>
    <w:rsid w:val="00381AC8"/>
    <w:rsid w:val="00381C0C"/>
    <w:rsid w:val="00381E6D"/>
    <w:rsid w:val="00382266"/>
    <w:rsid w:val="003829DD"/>
    <w:rsid w:val="00382C43"/>
    <w:rsid w:val="00382C67"/>
    <w:rsid w:val="003832C2"/>
    <w:rsid w:val="00383C8E"/>
    <w:rsid w:val="0038407E"/>
    <w:rsid w:val="0038418D"/>
    <w:rsid w:val="0038439F"/>
    <w:rsid w:val="00384491"/>
    <w:rsid w:val="00384727"/>
    <w:rsid w:val="00384980"/>
    <w:rsid w:val="00384B97"/>
    <w:rsid w:val="00384BA8"/>
    <w:rsid w:val="00384E1B"/>
    <w:rsid w:val="003853A9"/>
    <w:rsid w:val="003855AD"/>
    <w:rsid w:val="00385727"/>
    <w:rsid w:val="0038572F"/>
    <w:rsid w:val="00385C91"/>
    <w:rsid w:val="00385D27"/>
    <w:rsid w:val="00386380"/>
    <w:rsid w:val="00386812"/>
    <w:rsid w:val="00386BEE"/>
    <w:rsid w:val="00386CC9"/>
    <w:rsid w:val="00386F2E"/>
    <w:rsid w:val="003873B7"/>
    <w:rsid w:val="003874A5"/>
    <w:rsid w:val="00387CBF"/>
    <w:rsid w:val="00387F2E"/>
    <w:rsid w:val="0039008A"/>
    <w:rsid w:val="003911B2"/>
    <w:rsid w:val="00391387"/>
    <w:rsid w:val="0039163B"/>
    <w:rsid w:val="00392031"/>
    <w:rsid w:val="0039217C"/>
    <w:rsid w:val="00392348"/>
    <w:rsid w:val="0039269B"/>
    <w:rsid w:val="00392A0C"/>
    <w:rsid w:val="003933E2"/>
    <w:rsid w:val="00393401"/>
    <w:rsid w:val="003934BD"/>
    <w:rsid w:val="003938B2"/>
    <w:rsid w:val="00393B9C"/>
    <w:rsid w:val="00393CE7"/>
    <w:rsid w:val="00393FCD"/>
    <w:rsid w:val="00394196"/>
    <w:rsid w:val="00394306"/>
    <w:rsid w:val="00394BE8"/>
    <w:rsid w:val="00394D08"/>
    <w:rsid w:val="003951C6"/>
    <w:rsid w:val="003955E1"/>
    <w:rsid w:val="00395C9D"/>
    <w:rsid w:val="00395D6E"/>
    <w:rsid w:val="00395DA5"/>
    <w:rsid w:val="00396011"/>
    <w:rsid w:val="0039632A"/>
    <w:rsid w:val="0039689E"/>
    <w:rsid w:val="00396BE1"/>
    <w:rsid w:val="00396D83"/>
    <w:rsid w:val="0039712B"/>
    <w:rsid w:val="0039725C"/>
    <w:rsid w:val="003972DB"/>
    <w:rsid w:val="00397320"/>
    <w:rsid w:val="00397776"/>
    <w:rsid w:val="0039781C"/>
    <w:rsid w:val="0039786A"/>
    <w:rsid w:val="00397880"/>
    <w:rsid w:val="003978BF"/>
    <w:rsid w:val="00397DF4"/>
    <w:rsid w:val="00397F9B"/>
    <w:rsid w:val="003A059C"/>
    <w:rsid w:val="003A05F3"/>
    <w:rsid w:val="003A09D7"/>
    <w:rsid w:val="003A0ACC"/>
    <w:rsid w:val="003A0AE9"/>
    <w:rsid w:val="003A0B28"/>
    <w:rsid w:val="003A0B62"/>
    <w:rsid w:val="003A0E56"/>
    <w:rsid w:val="003A12D6"/>
    <w:rsid w:val="003A17E9"/>
    <w:rsid w:val="003A225F"/>
    <w:rsid w:val="003A2912"/>
    <w:rsid w:val="003A2A3A"/>
    <w:rsid w:val="003A2AE3"/>
    <w:rsid w:val="003A2C18"/>
    <w:rsid w:val="003A2E6A"/>
    <w:rsid w:val="003A3107"/>
    <w:rsid w:val="003A3282"/>
    <w:rsid w:val="003A354C"/>
    <w:rsid w:val="003A372B"/>
    <w:rsid w:val="003A38AD"/>
    <w:rsid w:val="003A3941"/>
    <w:rsid w:val="003A3AEA"/>
    <w:rsid w:val="003A3DAD"/>
    <w:rsid w:val="003A4057"/>
    <w:rsid w:val="003A4061"/>
    <w:rsid w:val="003A4068"/>
    <w:rsid w:val="003A407A"/>
    <w:rsid w:val="003A407B"/>
    <w:rsid w:val="003A43AC"/>
    <w:rsid w:val="003A4485"/>
    <w:rsid w:val="003A46C6"/>
    <w:rsid w:val="003A48C1"/>
    <w:rsid w:val="003A4C1D"/>
    <w:rsid w:val="003A4C40"/>
    <w:rsid w:val="003A4E08"/>
    <w:rsid w:val="003A4FF9"/>
    <w:rsid w:val="003A5203"/>
    <w:rsid w:val="003A52D5"/>
    <w:rsid w:val="003A586A"/>
    <w:rsid w:val="003A5ADA"/>
    <w:rsid w:val="003A6046"/>
    <w:rsid w:val="003A60A5"/>
    <w:rsid w:val="003A6143"/>
    <w:rsid w:val="003A61E2"/>
    <w:rsid w:val="003A6454"/>
    <w:rsid w:val="003A6BA7"/>
    <w:rsid w:val="003A6D94"/>
    <w:rsid w:val="003A753B"/>
    <w:rsid w:val="003A78E9"/>
    <w:rsid w:val="003A7BE6"/>
    <w:rsid w:val="003A7D63"/>
    <w:rsid w:val="003B00B6"/>
    <w:rsid w:val="003B022B"/>
    <w:rsid w:val="003B02BC"/>
    <w:rsid w:val="003B0814"/>
    <w:rsid w:val="003B0B8A"/>
    <w:rsid w:val="003B0EC4"/>
    <w:rsid w:val="003B1103"/>
    <w:rsid w:val="003B14B4"/>
    <w:rsid w:val="003B1CB0"/>
    <w:rsid w:val="003B1F2C"/>
    <w:rsid w:val="003B267F"/>
    <w:rsid w:val="003B2830"/>
    <w:rsid w:val="003B28EA"/>
    <w:rsid w:val="003B3232"/>
    <w:rsid w:val="003B37A3"/>
    <w:rsid w:val="003B3CC6"/>
    <w:rsid w:val="003B3D2B"/>
    <w:rsid w:val="003B3DAC"/>
    <w:rsid w:val="003B433A"/>
    <w:rsid w:val="003B45AE"/>
    <w:rsid w:val="003B4A67"/>
    <w:rsid w:val="003B4DA2"/>
    <w:rsid w:val="003B4E13"/>
    <w:rsid w:val="003B5722"/>
    <w:rsid w:val="003B5A77"/>
    <w:rsid w:val="003B5B8B"/>
    <w:rsid w:val="003B5E05"/>
    <w:rsid w:val="003B64A8"/>
    <w:rsid w:val="003B64F3"/>
    <w:rsid w:val="003B650C"/>
    <w:rsid w:val="003B66F0"/>
    <w:rsid w:val="003B6BA0"/>
    <w:rsid w:val="003B6BD1"/>
    <w:rsid w:val="003B6BDF"/>
    <w:rsid w:val="003B7BD1"/>
    <w:rsid w:val="003B7D29"/>
    <w:rsid w:val="003B7D70"/>
    <w:rsid w:val="003B7DDE"/>
    <w:rsid w:val="003B7E6D"/>
    <w:rsid w:val="003C0499"/>
    <w:rsid w:val="003C0531"/>
    <w:rsid w:val="003C0B37"/>
    <w:rsid w:val="003C0FCB"/>
    <w:rsid w:val="003C0FDF"/>
    <w:rsid w:val="003C20ED"/>
    <w:rsid w:val="003C2451"/>
    <w:rsid w:val="003C2466"/>
    <w:rsid w:val="003C24CD"/>
    <w:rsid w:val="003C2A3E"/>
    <w:rsid w:val="003C3244"/>
    <w:rsid w:val="003C34A0"/>
    <w:rsid w:val="003C3500"/>
    <w:rsid w:val="003C380E"/>
    <w:rsid w:val="003C3D2B"/>
    <w:rsid w:val="003C4462"/>
    <w:rsid w:val="003C449B"/>
    <w:rsid w:val="003C4629"/>
    <w:rsid w:val="003C4A5E"/>
    <w:rsid w:val="003C4B42"/>
    <w:rsid w:val="003C4E1E"/>
    <w:rsid w:val="003C5023"/>
    <w:rsid w:val="003C5605"/>
    <w:rsid w:val="003C5B86"/>
    <w:rsid w:val="003C6562"/>
    <w:rsid w:val="003C6F59"/>
    <w:rsid w:val="003C71A7"/>
    <w:rsid w:val="003C7208"/>
    <w:rsid w:val="003C759C"/>
    <w:rsid w:val="003C7B9E"/>
    <w:rsid w:val="003C7DF4"/>
    <w:rsid w:val="003D00B5"/>
    <w:rsid w:val="003D0693"/>
    <w:rsid w:val="003D0A65"/>
    <w:rsid w:val="003D0DF0"/>
    <w:rsid w:val="003D1451"/>
    <w:rsid w:val="003D149A"/>
    <w:rsid w:val="003D155D"/>
    <w:rsid w:val="003D188A"/>
    <w:rsid w:val="003D1A1E"/>
    <w:rsid w:val="003D1A30"/>
    <w:rsid w:val="003D1B9C"/>
    <w:rsid w:val="003D1D90"/>
    <w:rsid w:val="003D1E1B"/>
    <w:rsid w:val="003D24DE"/>
    <w:rsid w:val="003D287B"/>
    <w:rsid w:val="003D31D8"/>
    <w:rsid w:val="003D3236"/>
    <w:rsid w:val="003D326B"/>
    <w:rsid w:val="003D349D"/>
    <w:rsid w:val="003D34C4"/>
    <w:rsid w:val="003D3C60"/>
    <w:rsid w:val="003D4023"/>
    <w:rsid w:val="003D4087"/>
    <w:rsid w:val="003D41C5"/>
    <w:rsid w:val="003D43AE"/>
    <w:rsid w:val="003D473C"/>
    <w:rsid w:val="003D4D4A"/>
    <w:rsid w:val="003D534A"/>
    <w:rsid w:val="003D5419"/>
    <w:rsid w:val="003D543B"/>
    <w:rsid w:val="003D5751"/>
    <w:rsid w:val="003D5AAD"/>
    <w:rsid w:val="003D5B5E"/>
    <w:rsid w:val="003D6450"/>
    <w:rsid w:val="003D65D5"/>
    <w:rsid w:val="003D6848"/>
    <w:rsid w:val="003D6D12"/>
    <w:rsid w:val="003D70C6"/>
    <w:rsid w:val="003D72ED"/>
    <w:rsid w:val="003D755C"/>
    <w:rsid w:val="003D7EC6"/>
    <w:rsid w:val="003E037A"/>
    <w:rsid w:val="003E0DA5"/>
    <w:rsid w:val="003E15D8"/>
    <w:rsid w:val="003E17E8"/>
    <w:rsid w:val="003E1A07"/>
    <w:rsid w:val="003E1B02"/>
    <w:rsid w:val="003E1F68"/>
    <w:rsid w:val="003E1FDA"/>
    <w:rsid w:val="003E2080"/>
    <w:rsid w:val="003E241B"/>
    <w:rsid w:val="003E2508"/>
    <w:rsid w:val="003E2631"/>
    <w:rsid w:val="003E3310"/>
    <w:rsid w:val="003E3891"/>
    <w:rsid w:val="003E3896"/>
    <w:rsid w:val="003E3A1D"/>
    <w:rsid w:val="003E3C5A"/>
    <w:rsid w:val="003E3CA0"/>
    <w:rsid w:val="003E3DE6"/>
    <w:rsid w:val="003E3FAE"/>
    <w:rsid w:val="003E4012"/>
    <w:rsid w:val="003E45B6"/>
    <w:rsid w:val="003E4675"/>
    <w:rsid w:val="003E48AA"/>
    <w:rsid w:val="003E4E1F"/>
    <w:rsid w:val="003E5608"/>
    <w:rsid w:val="003E5E17"/>
    <w:rsid w:val="003E600B"/>
    <w:rsid w:val="003E60D5"/>
    <w:rsid w:val="003E611B"/>
    <w:rsid w:val="003E634C"/>
    <w:rsid w:val="003E64AD"/>
    <w:rsid w:val="003E673C"/>
    <w:rsid w:val="003E67E8"/>
    <w:rsid w:val="003E6817"/>
    <w:rsid w:val="003E6A6A"/>
    <w:rsid w:val="003E6AEF"/>
    <w:rsid w:val="003E6C69"/>
    <w:rsid w:val="003E71C1"/>
    <w:rsid w:val="003E7311"/>
    <w:rsid w:val="003E7377"/>
    <w:rsid w:val="003E780B"/>
    <w:rsid w:val="003E785E"/>
    <w:rsid w:val="003E7B06"/>
    <w:rsid w:val="003E7F3F"/>
    <w:rsid w:val="003F0341"/>
    <w:rsid w:val="003F03C2"/>
    <w:rsid w:val="003F0BB9"/>
    <w:rsid w:val="003F1793"/>
    <w:rsid w:val="003F1948"/>
    <w:rsid w:val="003F197D"/>
    <w:rsid w:val="003F1BDC"/>
    <w:rsid w:val="003F1CEA"/>
    <w:rsid w:val="003F2348"/>
    <w:rsid w:val="003F2458"/>
    <w:rsid w:val="003F2467"/>
    <w:rsid w:val="003F25C7"/>
    <w:rsid w:val="003F2686"/>
    <w:rsid w:val="003F268D"/>
    <w:rsid w:val="003F26E9"/>
    <w:rsid w:val="003F2BDC"/>
    <w:rsid w:val="003F2DC0"/>
    <w:rsid w:val="003F2F0B"/>
    <w:rsid w:val="003F304C"/>
    <w:rsid w:val="003F31C4"/>
    <w:rsid w:val="003F333B"/>
    <w:rsid w:val="003F3363"/>
    <w:rsid w:val="003F351A"/>
    <w:rsid w:val="003F3703"/>
    <w:rsid w:val="003F3AEE"/>
    <w:rsid w:val="003F3ECF"/>
    <w:rsid w:val="003F3FA6"/>
    <w:rsid w:val="003F4086"/>
    <w:rsid w:val="003F42B8"/>
    <w:rsid w:val="003F43FC"/>
    <w:rsid w:val="003F4974"/>
    <w:rsid w:val="003F4C7C"/>
    <w:rsid w:val="003F5861"/>
    <w:rsid w:val="003F5B44"/>
    <w:rsid w:val="003F5D2D"/>
    <w:rsid w:val="003F5EA4"/>
    <w:rsid w:val="003F67D3"/>
    <w:rsid w:val="003F69E2"/>
    <w:rsid w:val="003F6B66"/>
    <w:rsid w:val="003F6BD1"/>
    <w:rsid w:val="003F6FAB"/>
    <w:rsid w:val="003F729E"/>
    <w:rsid w:val="003F7300"/>
    <w:rsid w:val="003F739C"/>
    <w:rsid w:val="003F77D8"/>
    <w:rsid w:val="003F7B8F"/>
    <w:rsid w:val="004004CF"/>
    <w:rsid w:val="004006BA"/>
    <w:rsid w:val="00400720"/>
    <w:rsid w:val="00400868"/>
    <w:rsid w:val="004008F0"/>
    <w:rsid w:val="004010F4"/>
    <w:rsid w:val="00401308"/>
    <w:rsid w:val="00401B43"/>
    <w:rsid w:val="00401C93"/>
    <w:rsid w:val="00401FD7"/>
    <w:rsid w:val="004023C0"/>
    <w:rsid w:val="004023E1"/>
    <w:rsid w:val="00402523"/>
    <w:rsid w:val="004025A4"/>
    <w:rsid w:val="004028E5"/>
    <w:rsid w:val="0040299F"/>
    <w:rsid w:val="00402B1A"/>
    <w:rsid w:val="00402C9C"/>
    <w:rsid w:val="0040319E"/>
    <w:rsid w:val="0040350E"/>
    <w:rsid w:val="004039B7"/>
    <w:rsid w:val="00403DAD"/>
    <w:rsid w:val="00403E36"/>
    <w:rsid w:val="004042CD"/>
    <w:rsid w:val="00404460"/>
    <w:rsid w:val="004044DF"/>
    <w:rsid w:val="0040452A"/>
    <w:rsid w:val="0040497A"/>
    <w:rsid w:val="00404A1B"/>
    <w:rsid w:val="00404DC4"/>
    <w:rsid w:val="00404EB4"/>
    <w:rsid w:val="00405974"/>
    <w:rsid w:val="00405E1B"/>
    <w:rsid w:val="00405F65"/>
    <w:rsid w:val="0040608F"/>
    <w:rsid w:val="004060A2"/>
    <w:rsid w:val="00406307"/>
    <w:rsid w:val="0040682F"/>
    <w:rsid w:val="00406911"/>
    <w:rsid w:val="00406B2F"/>
    <w:rsid w:val="00406C83"/>
    <w:rsid w:val="00406EDB"/>
    <w:rsid w:val="00406FB0"/>
    <w:rsid w:val="00406FC4"/>
    <w:rsid w:val="004073D9"/>
    <w:rsid w:val="00407540"/>
    <w:rsid w:val="004078BD"/>
    <w:rsid w:val="00407978"/>
    <w:rsid w:val="00407AFA"/>
    <w:rsid w:val="00407C95"/>
    <w:rsid w:val="00407D01"/>
    <w:rsid w:val="00410397"/>
    <w:rsid w:val="00410526"/>
    <w:rsid w:val="004106E7"/>
    <w:rsid w:val="0041105E"/>
    <w:rsid w:val="004111EA"/>
    <w:rsid w:val="004113C3"/>
    <w:rsid w:val="00411991"/>
    <w:rsid w:val="00411BEF"/>
    <w:rsid w:val="0041203D"/>
    <w:rsid w:val="00412178"/>
    <w:rsid w:val="0041264D"/>
    <w:rsid w:val="00412701"/>
    <w:rsid w:val="004130B7"/>
    <w:rsid w:val="00413209"/>
    <w:rsid w:val="00413784"/>
    <w:rsid w:val="00413989"/>
    <w:rsid w:val="00413D8E"/>
    <w:rsid w:val="00413ED7"/>
    <w:rsid w:val="00413F44"/>
    <w:rsid w:val="004143D5"/>
    <w:rsid w:val="00414614"/>
    <w:rsid w:val="0041484D"/>
    <w:rsid w:val="00414907"/>
    <w:rsid w:val="00414BA1"/>
    <w:rsid w:val="00414C30"/>
    <w:rsid w:val="00414F84"/>
    <w:rsid w:val="0041507E"/>
    <w:rsid w:val="004153E2"/>
    <w:rsid w:val="004157FF"/>
    <w:rsid w:val="00415C4A"/>
    <w:rsid w:val="00415DEA"/>
    <w:rsid w:val="00415F6D"/>
    <w:rsid w:val="00416075"/>
    <w:rsid w:val="004160CC"/>
    <w:rsid w:val="00416462"/>
    <w:rsid w:val="00416502"/>
    <w:rsid w:val="004166EC"/>
    <w:rsid w:val="0041672C"/>
    <w:rsid w:val="0041689A"/>
    <w:rsid w:val="004168DA"/>
    <w:rsid w:val="0041692D"/>
    <w:rsid w:val="00416F03"/>
    <w:rsid w:val="00417091"/>
    <w:rsid w:val="00417197"/>
    <w:rsid w:val="004176A3"/>
    <w:rsid w:val="004177BD"/>
    <w:rsid w:val="004179B5"/>
    <w:rsid w:val="00417B2B"/>
    <w:rsid w:val="00417CCE"/>
    <w:rsid w:val="00417EDC"/>
    <w:rsid w:val="00417F74"/>
    <w:rsid w:val="0042005B"/>
    <w:rsid w:val="0042021C"/>
    <w:rsid w:val="0042047D"/>
    <w:rsid w:val="0042060B"/>
    <w:rsid w:val="0042097B"/>
    <w:rsid w:val="004211F2"/>
    <w:rsid w:val="0042125B"/>
    <w:rsid w:val="00421CD8"/>
    <w:rsid w:val="00421F4C"/>
    <w:rsid w:val="00421F95"/>
    <w:rsid w:val="004227D7"/>
    <w:rsid w:val="00422967"/>
    <w:rsid w:val="0042298C"/>
    <w:rsid w:val="00422AA7"/>
    <w:rsid w:val="00422C74"/>
    <w:rsid w:val="00422E64"/>
    <w:rsid w:val="00422E6B"/>
    <w:rsid w:val="00422FA6"/>
    <w:rsid w:val="0042344F"/>
    <w:rsid w:val="00423693"/>
    <w:rsid w:val="00423735"/>
    <w:rsid w:val="00423743"/>
    <w:rsid w:val="00423824"/>
    <w:rsid w:val="00423C1E"/>
    <w:rsid w:val="00423C3E"/>
    <w:rsid w:val="00423E4E"/>
    <w:rsid w:val="00423EB0"/>
    <w:rsid w:val="004240FC"/>
    <w:rsid w:val="004245B8"/>
    <w:rsid w:val="00424B34"/>
    <w:rsid w:val="00424B42"/>
    <w:rsid w:val="0042520E"/>
    <w:rsid w:val="004253D4"/>
    <w:rsid w:val="00425B62"/>
    <w:rsid w:val="00425F70"/>
    <w:rsid w:val="00425FEA"/>
    <w:rsid w:val="00426084"/>
    <w:rsid w:val="00426090"/>
    <w:rsid w:val="0042620C"/>
    <w:rsid w:val="00426245"/>
    <w:rsid w:val="00426291"/>
    <w:rsid w:val="00426733"/>
    <w:rsid w:val="004268E2"/>
    <w:rsid w:val="00426C40"/>
    <w:rsid w:val="004272E4"/>
    <w:rsid w:val="0042758A"/>
    <w:rsid w:val="004275A3"/>
    <w:rsid w:val="004276F6"/>
    <w:rsid w:val="004300CA"/>
    <w:rsid w:val="0043042D"/>
    <w:rsid w:val="00430928"/>
    <w:rsid w:val="00430CB0"/>
    <w:rsid w:val="00431098"/>
    <w:rsid w:val="004311FE"/>
    <w:rsid w:val="00431540"/>
    <w:rsid w:val="00431592"/>
    <w:rsid w:val="004317A7"/>
    <w:rsid w:val="00431E21"/>
    <w:rsid w:val="00432091"/>
    <w:rsid w:val="00432552"/>
    <w:rsid w:val="0043286D"/>
    <w:rsid w:val="00432F5D"/>
    <w:rsid w:val="00433553"/>
    <w:rsid w:val="004337DD"/>
    <w:rsid w:val="00433957"/>
    <w:rsid w:val="00433A62"/>
    <w:rsid w:val="004341E4"/>
    <w:rsid w:val="00434840"/>
    <w:rsid w:val="00434CC1"/>
    <w:rsid w:val="00434EA7"/>
    <w:rsid w:val="00435080"/>
    <w:rsid w:val="00435169"/>
    <w:rsid w:val="004352CB"/>
    <w:rsid w:val="004353B3"/>
    <w:rsid w:val="00435877"/>
    <w:rsid w:val="00435A72"/>
    <w:rsid w:val="00436026"/>
    <w:rsid w:val="00436297"/>
    <w:rsid w:val="004363C2"/>
    <w:rsid w:val="00436550"/>
    <w:rsid w:val="00436FE1"/>
    <w:rsid w:val="0043714A"/>
    <w:rsid w:val="004375CB"/>
    <w:rsid w:val="00437617"/>
    <w:rsid w:val="00437F6E"/>
    <w:rsid w:val="00437FB4"/>
    <w:rsid w:val="00437FF1"/>
    <w:rsid w:val="004407AF"/>
    <w:rsid w:val="00440F48"/>
    <w:rsid w:val="00441337"/>
    <w:rsid w:val="0044150D"/>
    <w:rsid w:val="004415C4"/>
    <w:rsid w:val="00441D5F"/>
    <w:rsid w:val="00441E03"/>
    <w:rsid w:val="00442037"/>
    <w:rsid w:val="00442361"/>
    <w:rsid w:val="00442366"/>
    <w:rsid w:val="00442393"/>
    <w:rsid w:val="00442733"/>
    <w:rsid w:val="00442B29"/>
    <w:rsid w:val="00442DA9"/>
    <w:rsid w:val="0044308D"/>
    <w:rsid w:val="00443096"/>
    <w:rsid w:val="0044314E"/>
    <w:rsid w:val="004431EC"/>
    <w:rsid w:val="004431F7"/>
    <w:rsid w:val="00443205"/>
    <w:rsid w:val="004437F9"/>
    <w:rsid w:val="00443BB2"/>
    <w:rsid w:val="00443BD3"/>
    <w:rsid w:val="00443D56"/>
    <w:rsid w:val="00443FB7"/>
    <w:rsid w:val="00444415"/>
    <w:rsid w:val="004448AE"/>
    <w:rsid w:val="004449D5"/>
    <w:rsid w:val="00445000"/>
    <w:rsid w:val="0044502D"/>
    <w:rsid w:val="004454FE"/>
    <w:rsid w:val="00445674"/>
    <w:rsid w:val="004456E9"/>
    <w:rsid w:val="00445AA3"/>
    <w:rsid w:val="004463F3"/>
    <w:rsid w:val="00446694"/>
    <w:rsid w:val="004467FD"/>
    <w:rsid w:val="004469B1"/>
    <w:rsid w:val="0044704D"/>
    <w:rsid w:val="0044730C"/>
    <w:rsid w:val="00447485"/>
    <w:rsid w:val="00447503"/>
    <w:rsid w:val="00450087"/>
    <w:rsid w:val="00450172"/>
    <w:rsid w:val="00450315"/>
    <w:rsid w:val="004503B9"/>
    <w:rsid w:val="004503E2"/>
    <w:rsid w:val="004507DF"/>
    <w:rsid w:val="004508A3"/>
    <w:rsid w:val="00450FA5"/>
    <w:rsid w:val="0045122F"/>
    <w:rsid w:val="00451245"/>
    <w:rsid w:val="00451357"/>
    <w:rsid w:val="00451428"/>
    <w:rsid w:val="004516AF"/>
    <w:rsid w:val="004518DD"/>
    <w:rsid w:val="0045197D"/>
    <w:rsid w:val="004519D0"/>
    <w:rsid w:val="00451B7C"/>
    <w:rsid w:val="00451F75"/>
    <w:rsid w:val="004520F9"/>
    <w:rsid w:val="0045220B"/>
    <w:rsid w:val="0045246A"/>
    <w:rsid w:val="004526F7"/>
    <w:rsid w:val="0045288B"/>
    <w:rsid w:val="00452C0C"/>
    <w:rsid w:val="00452D80"/>
    <w:rsid w:val="0045337C"/>
    <w:rsid w:val="00453493"/>
    <w:rsid w:val="004537F5"/>
    <w:rsid w:val="00453810"/>
    <w:rsid w:val="00453B6C"/>
    <w:rsid w:val="00453B8E"/>
    <w:rsid w:val="00453CB7"/>
    <w:rsid w:val="00453D26"/>
    <w:rsid w:val="00453DF6"/>
    <w:rsid w:val="00453FB6"/>
    <w:rsid w:val="004540B6"/>
    <w:rsid w:val="004540FA"/>
    <w:rsid w:val="004543A8"/>
    <w:rsid w:val="004543DA"/>
    <w:rsid w:val="00454670"/>
    <w:rsid w:val="004546A8"/>
    <w:rsid w:val="0045470B"/>
    <w:rsid w:val="00454740"/>
    <w:rsid w:val="004547BB"/>
    <w:rsid w:val="0045490F"/>
    <w:rsid w:val="0045494D"/>
    <w:rsid w:val="00454D46"/>
    <w:rsid w:val="00454DCE"/>
    <w:rsid w:val="004552E0"/>
    <w:rsid w:val="004554E3"/>
    <w:rsid w:val="0045580A"/>
    <w:rsid w:val="00455F81"/>
    <w:rsid w:val="00455F9C"/>
    <w:rsid w:val="004561B9"/>
    <w:rsid w:val="00456463"/>
    <w:rsid w:val="004565AC"/>
    <w:rsid w:val="004567CF"/>
    <w:rsid w:val="00456806"/>
    <w:rsid w:val="00456ADB"/>
    <w:rsid w:val="00456BE2"/>
    <w:rsid w:val="00457186"/>
    <w:rsid w:val="0045755A"/>
    <w:rsid w:val="0045771F"/>
    <w:rsid w:val="00457942"/>
    <w:rsid w:val="0046008C"/>
    <w:rsid w:val="00460457"/>
    <w:rsid w:val="004604D6"/>
    <w:rsid w:val="00460526"/>
    <w:rsid w:val="0046061C"/>
    <w:rsid w:val="0046071F"/>
    <w:rsid w:val="004608DA"/>
    <w:rsid w:val="004608F9"/>
    <w:rsid w:val="00460A8E"/>
    <w:rsid w:val="00460E49"/>
    <w:rsid w:val="00460EE4"/>
    <w:rsid w:val="00460F06"/>
    <w:rsid w:val="004616D5"/>
    <w:rsid w:val="004616DC"/>
    <w:rsid w:val="00461743"/>
    <w:rsid w:val="004618CB"/>
    <w:rsid w:val="00461BF1"/>
    <w:rsid w:val="00461DC6"/>
    <w:rsid w:val="00461E62"/>
    <w:rsid w:val="00461E75"/>
    <w:rsid w:val="00461F23"/>
    <w:rsid w:val="004623C5"/>
    <w:rsid w:val="00462656"/>
    <w:rsid w:val="00462692"/>
    <w:rsid w:val="0046289A"/>
    <w:rsid w:val="004628C9"/>
    <w:rsid w:val="00462BD5"/>
    <w:rsid w:val="00462C16"/>
    <w:rsid w:val="00463393"/>
    <w:rsid w:val="0046345C"/>
    <w:rsid w:val="0046373E"/>
    <w:rsid w:val="004637AE"/>
    <w:rsid w:val="004637CA"/>
    <w:rsid w:val="00463816"/>
    <w:rsid w:val="004639C1"/>
    <w:rsid w:val="00463C0A"/>
    <w:rsid w:val="00463CA6"/>
    <w:rsid w:val="00463DA9"/>
    <w:rsid w:val="0046414B"/>
    <w:rsid w:val="00464510"/>
    <w:rsid w:val="00464964"/>
    <w:rsid w:val="00464F4E"/>
    <w:rsid w:val="00465129"/>
    <w:rsid w:val="0046515B"/>
    <w:rsid w:val="0046548D"/>
    <w:rsid w:val="004655A7"/>
    <w:rsid w:val="00465709"/>
    <w:rsid w:val="00465964"/>
    <w:rsid w:val="00465E5C"/>
    <w:rsid w:val="00466542"/>
    <w:rsid w:val="0046685B"/>
    <w:rsid w:val="00466A63"/>
    <w:rsid w:val="004673FA"/>
    <w:rsid w:val="0046759F"/>
    <w:rsid w:val="0046779F"/>
    <w:rsid w:val="0046796F"/>
    <w:rsid w:val="00467B86"/>
    <w:rsid w:val="00467C13"/>
    <w:rsid w:val="0047004E"/>
    <w:rsid w:val="0047010A"/>
    <w:rsid w:val="00470259"/>
    <w:rsid w:val="00470308"/>
    <w:rsid w:val="004703E2"/>
    <w:rsid w:val="0047076B"/>
    <w:rsid w:val="00470819"/>
    <w:rsid w:val="00470986"/>
    <w:rsid w:val="00470B6D"/>
    <w:rsid w:val="004710A9"/>
    <w:rsid w:val="0047112F"/>
    <w:rsid w:val="004713B2"/>
    <w:rsid w:val="0047140B"/>
    <w:rsid w:val="00471AD5"/>
    <w:rsid w:val="00471E8D"/>
    <w:rsid w:val="004721BF"/>
    <w:rsid w:val="00472215"/>
    <w:rsid w:val="00472B5F"/>
    <w:rsid w:val="00472E47"/>
    <w:rsid w:val="00472F95"/>
    <w:rsid w:val="00472FC7"/>
    <w:rsid w:val="0047301D"/>
    <w:rsid w:val="0047310A"/>
    <w:rsid w:val="004738F1"/>
    <w:rsid w:val="00473B56"/>
    <w:rsid w:val="00473F3B"/>
    <w:rsid w:val="00474254"/>
    <w:rsid w:val="0047430E"/>
    <w:rsid w:val="004743F4"/>
    <w:rsid w:val="00474517"/>
    <w:rsid w:val="004746D2"/>
    <w:rsid w:val="00474851"/>
    <w:rsid w:val="00474A3C"/>
    <w:rsid w:val="00474B12"/>
    <w:rsid w:val="00474D87"/>
    <w:rsid w:val="00474EAB"/>
    <w:rsid w:val="004757BC"/>
    <w:rsid w:val="00475AD4"/>
    <w:rsid w:val="00475CAA"/>
    <w:rsid w:val="00475F74"/>
    <w:rsid w:val="00475FF8"/>
    <w:rsid w:val="00476F28"/>
    <w:rsid w:val="004770DB"/>
    <w:rsid w:val="0047713E"/>
    <w:rsid w:val="00477ACA"/>
    <w:rsid w:val="00477B04"/>
    <w:rsid w:val="0048015A"/>
    <w:rsid w:val="004804AD"/>
    <w:rsid w:val="00480E24"/>
    <w:rsid w:val="0048102C"/>
    <w:rsid w:val="00481C11"/>
    <w:rsid w:val="00481E23"/>
    <w:rsid w:val="0048202F"/>
    <w:rsid w:val="004820DD"/>
    <w:rsid w:val="0048248F"/>
    <w:rsid w:val="0048297B"/>
    <w:rsid w:val="00482BB4"/>
    <w:rsid w:val="00482E94"/>
    <w:rsid w:val="0048340B"/>
    <w:rsid w:val="004838F2"/>
    <w:rsid w:val="004839C0"/>
    <w:rsid w:val="00483AAF"/>
    <w:rsid w:val="00483DDA"/>
    <w:rsid w:val="00483E98"/>
    <w:rsid w:val="00483FFA"/>
    <w:rsid w:val="00484006"/>
    <w:rsid w:val="004840AA"/>
    <w:rsid w:val="004841AA"/>
    <w:rsid w:val="004844BB"/>
    <w:rsid w:val="00484826"/>
    <w:rsid w:val="004848D0"/>
    <w:rsid w:val="00484AD5"/>
    <w:rsid w:val="00484C8B"/>
    <w:rsid w:val="00484E6A"/>
    <w:rsid w:val="00485414"/>
    <w:rsid w:val="004855E0"/>
    <w:rsid w:val="004856E5"/>
    <w:rsid w:val="004858CF"/>
    <w:rsid w:val="00486726"/>
    <w:rsid w:val="00486986"/>
    <w:rsid w:val="00486B93"/>
    <w:rsid w:val="004873E5"/>
    <w:rsid w:val="00487848"/>
    <w:rsid w:val="00487A1D"/>
    <w:rsid w:val="004900C5"/>
    <w:rsid w:val="00490360"/>
    <w:rsid w:val="0049045F"/>
    <w:rsid w:val="004907B5"/>
    <w:rsid w:val="00490937"/>
    <w:rsid w:val="00490F2B"/>
    <w:rsid w:val="00491430"/>
    <w:rsid w:val="0049184F"/>
    <w:rsid w:val="00491D17"/>
    <w:rsid w:val="00491D83"/>
    <w:rsid w:val="00491E52"/>
    <w:rsid w:val="0049254E"/>
    <w:rsid w:val="004925E5"/>
    <w:rsid w:val="00492A43"/>
    <w:rsid w:val="00492D6A"/>
    <w:rsid w:val="00492D6E"/>
    <w:rsid w:val="0049323A"/>
    <w:rsid w:val="004939F1"/>
    <w:rsid w:val="00493C89"/>
    <w:rsid w:val="00493CC6"/>
    <w:rsid w:val="0049474E"/>
    <w:rsid w:val="00494EA0"/>
    <w:rsid w:val="00495777"/>
    <w:rsid w:val="004959B3"/>
    <w:rsid w:val="00495C83"/>
    <w:rsid w:val="00495F1C"/>
    <w:rsid w:val="00496007"/>
    <w:rsid w:val="00496421"/>
    <w:rsid w:val="00496439"/>
    <w:rsid w:val="00496E96"/>
    <w:rsid w:val="00496EE7"/>
    <w:rsid w:val="00496EF6"/>
    <w:rsid w:val="00497087"/>
    <w:rsid w:val="004975A4"/>
    <w:rsid w:val="00497626"/>
    <w:rsid w:val="00497769"/>
    <w:rsid w:val="00497793"/>
    <w:rsid w:val="00497978"/>
    <w:rsid w:val="00497AE5"/>
    <w:rsid w:val="00497BE3"/>
    <w:rsid w:val="00497C47"/>
    <w:rsid w:val="004A0118"/>
    <w:rsid w:val="004A0185"/>
    <w:rsid w:val="004A04AC"/>
    <w:rsid w:val="004A08B1"/>
    <w:rsid w:val="004A12F7"/>
    <w:rsid w:val="004A133A"/>
    <w:rsid w:val="004A1598"/>
    <w:rsid w:val="004A15B8"/>
    <w:rsid w:val="004A16D1"/>
    <w:rsid w:val="004A171B"/>
    <w:rsid w:val="004A19F1"/>
    <w:rsid w:val="004A1B6E"/>
    <w:rsid w:val="004A1C65"/>
    <w:rsid w:val="004A1C6A"/>
    <w:rsid w:val="004A1CF1"/>
    <w:rsid w:val="004A1D3E"/>
    <w:rsid w:val="004A1F7E"/>
    <w:rsid w:val="004A2133"/>
    <w:rsid w:val="004A2285"/>
    <w:rsid w:val="004A2325"/>
    <w:rsid w:val="004A238E"/>
    <w:rsid w:val="004A2F53"/>
    <w:rsid w:val="004A35CD"/>
    <w:rsid w:val="004A3929"/>
    <w:rsid w:val="004A3A0C"/>
    <w:rsid w:val="004A3EF8"/>
    <w:rsid w:val="004A3FDF"/>
    <w:rsid w:val="004A4006"/>
    <w:rsid w:val="004A4203"/>
    <w:rsid w:val="004A43FA"/>
    <w:rsid w:val="004A48B9"/>
    <w:rsid w:val="004A4A14"/>
    <w:rsid w:val="004A4C34"/>
    <w:rsid w:val="004A4EE9"/>
    <w:rsid w:val="004A5433"/>
    <w:rsid w:val="004A61ED"/>
    <w:rsid w:val="004A62C3"/>
    <w:rsid w:val="004A642A"/>
    <w:rsid w:val="004A6774"/>
    <w:rsid w:val="004A69D5"/>
    <w:rsid w:val="004A69EC"/>
    <w:rsid w:val="004A6A27"/>
    <w:rsid w:val="004A6A51"/>
    <w:rsid w:val="004A6B40"/>
    <w:rsid w:val="004A6DC7"/>
    <w:rsid w:val="004A6F9F"/>
    <w:rsid w:val="004A7053"/>
    <w:rsid w:val="004A77DD"/>
    <w:rsid w:val="004A7B17"/>
    <w:rsid w:val="004B0050"/>
    <w:rsid w:val="004B05F2"/>
    <w:rsid w:val="004B098A"/>
    <w:rsid w:val="004B0B28"/>
    <w:rsid w:val="004B0CB3"/>
    <w:rsid w:val="004B0D31"/>
    <w:rsid w:val="004B11CB"/>
    <w:rsid w:val="004B12D1"/>
    <w:rsid w:val="004B1484"/>
    <w:rsid w:val="004B1648"/>
    <w:rsid w:val="004B1E75"/>
    <w:rsid w:val="004B2096"/>
    <w:rsid w:val="004B20A3"/>
    <w:rsid w:val="004B20C1"/>
    <w:rsid w:val="004B2492"/>
    <w:rsid w:val="004B2957"/>
    <w:rsid w:val="004B2A5D"/>
    <w:rsid w:val="004B2B98"/>
    <w:rsid w:val="004B3850"/>
    <w:rsid w:val="004B3968"/>
    <w:rsid w:val="004B47BE"/>
    <w:rsid w:val="004B5048"/>
    <w:rsid w:val="004B515D"/>
    <w:rsid w:val="004B5371"/>
    <w:rsid w:val="004B5374"/>
    <w:rsid w:val="004B560D"/>
    <w:rsid w:val="004B5733"/>
    <w:rsid w:val="004B5BE1"/>
    <w:rsid w:val="004B60FC"/>
    <w:rsid w:val="004B6492"/>
    <w:rsid w:val="004B66C1"/>
    <w:rsid w:val="004B68C1"/>
    <w:rsid w:val="004B699B"/>
    <w:rsid w:val="004B6CC1"/>
    <w:rsid w:val="004B7280"/>
    <w:rsid w:val="004B7583"/>
    <w:rsid w:val="004B7664"/>
    <w:rsid w:val="004B78DF"/>
    <w:rsid w:val="004B7D39"/>
    <w:rsid w:val="004B7FEC"/>
    <w:rsid w:val="004C019D"/>
    <w:rsid w:val="004C05C1"/>
    <w:rsid w:val="004C090A"/>
    <w:rsid w:val="004C12FD"/>
    <w:rsid w:val="004C159E"/>
    <w:rsid w:val="004C18CF"/>
    <w:rsid w:val="004C1C33"/>
    <w:rsid w:val="004C1C5D"/>
    <w:rsid w:val="004C1C82"/>
    <w:rsid w:val="004C1DFF"/>
    <w:rsid w:val="004C1E13"/>
    <w:rsid w:val="004C1E9D"/>
    <w:rsid w:val="004C2831"/>
    <w:rsid w:val="004C3130"/>
    <w:rsid w:val="004C3171"/>
    <w:rsid w:val="004C3217"/>
    <w:rsid w:val="004C33BC"/>
    <w:rsid w:val="004C3946"/>
    <w:rsid w:val="004C3D09"/>
    <w:rsid w:val="004C3F7B"/>
    <w:rsid w:val="004C40ED"/>
    <w:rsid w:val="004C4753"/>
    <w:rsid w:val="004C4A66"/>
    <w:rsid w:val="004C4AA8"/>
    <w:rsid w:val="004C4BF6"/>
    <w:rsid w:val="004C5392"/>
    <w:rsid w:val="004C54CF"/>
    <w:rsid w:val="004C54DF"/>
    <w:rsid w:val="004C564C"/>
    <w:rsid w:val="004C5D86"/>
    <w:rsid w:val="004C6351"/>
    <w:rsid w:val="004C63A9"/>
    <w:rsid w:val="004C6912"/>
    <w:rsid w:val="004C6D03"/>
    <w:rsid w:val="004C6D4F"/>
    <w:rsid w:val="004C6F88"/>
    <w:rsid w:val="004C6FC7"/>
    <w:rsid w:val="004C7355"/>
    <w:rsid w:val="004C7684"/>
    <w:rsid w:val="004C77AD"/>
    <w:rsid w:val="004C7870"/>
    <w:rsid w:val="004D02AD"/>
    <w:rsid w:val="004D065B"/>
    <w:rsid w:val="004D085E"/>
    <w:rsid w:val="004D0883"/>
    <w:rsid w:val="004D0BDF"/>
    <w:rsid w:val="004D0CF1"/>
    <w:rsid w:val="004D0F88"/>
    <w:rsid w:val="004D1076"/>
    <w:rsid w:val="004D1585"/>
    <w:rsid w:val="004D15AB"/>
    <w:rsid w:val="004D1CF9"/>
    <w:rsid w:val="004D1DA1"/>
    <w:rsid w:val="004D1DC6"/>
    <w:rsid w:val="004D21C4"/>
    <w:rsid w:val="004D28A0"/>
    <w:rsid w:val="004D302F"/>
    <w:rsid w:val="004D30B6"/>
    <w:rsid w:val="004D3429"/>
    <w:rsid w:val="004D3444"/>
    <w:rsid w:val="004D37D9"/>
    <w:rsid w:val="004D4320"/>
    <w:rsid w:val="004D4B96"/>
    <w:rsid w:val="004D4BA3"/>
    <w:rsid w:val="004D4E8B"/>
    <w:rsid w:val="004D5349"/>
    <w:rsid w:val="004D55EF"/>
    <w:rsid w:val="004D5C53"/>
    <w:rsid w:val="004D5D47"/>
    <w:rsid w:val="004D6926"/>
    <w:rsid w:val="004D6EE7"/>
    <w:rsid w:val="004D7156"/>
    <w:rsid w:val="004D7332"/>
    <w:rsid w:val="004D7465"/>
    <w:rsid w:val="004D7596"/>
    <w:rsid w:val="004D7652"/>
    <w:rsid w:val="004D7B45"/>
    <w:rsid w:val="004E0583"/>
    <w:rsid w:val="004E0852"/>
    <w:rsid w:val="004E0A09"/>
    <w:rsid w:val="004E0CD5"/>
    <w:rsid w:val="004E0EB6"/>
    <w:rsid w:val="004E1633"/>
    <w:rsid w:val="004E1B38"/>
    <w:rsid w:val="004E2009"/>
    <w:rsid w:val="004E216D"/>
    <w:rsid w:val="004E220B"/>
    <w:rsid w:val="004E2294"/>
    <w:rsid w:val="004E2299"/>
    <w:rsid w:val="004E24C8"/>
    <w:rsid w:val="004E25D9"/>
    <w:rsid w:val="004E269F"/>
    <w:rsid w:val="004E298D"/>
    <w:rsid w:val="004E2ADB"/>
    <w:rsid w:val="004E2D85"/>
    <w:rsid w:val="004E333D"/>
    <w:rsid w:val="004E35F6"/>
    <w:rsid w:val="004E3D44"/>
    <w:rsid w:val="004E3F17"/>
    <w:rsid w:val="004E4026"/>
    <w:rsid w:val="004E416C"/>
    <w:rsid w:val="004E461B"/>
    <w:rsid w:val="004E4677"/>
    <w:rsid w:val="004E4DF2"/>
    <w:rsid w:val="004E4E90"/>
    <w:rsid w:val="004E538B"/>
    <w:rsid w:val="004E5598"/>
    <w:rsid w:val="004E55F7"/>
    <w:rsid w:val="004E5977"/>
    <w:rsid w:val="004E5991"/>
    <w:rsid w:val="004E5A86"/>
    <w:rsid w:val="004E5BB2"/>
    <w:rsid w:val="004E5FAB"/>
    <w:rsid w:val="004E630D"/>
    <w:rsid w:val="004E663C"/>
    <w:rsid w:val="004E693C"/>
    <w:rsid w:val="004E6E8A"/>
    <w:rsid w:val="004E7556"/>
    <w:rsid w:val="004E78B9"/>
    <w:rsid w:val="004E79E4"/>
    <w:rsid w:val="004E79ED"/>
    <w:rsid w:val="004F01A0"/>
    <w:rsid w:val="004F0354"/>
    <w:rsid w:val="004F063E"/>
    <w:rsid w:val="004F091F"/>
    <w:rsid w:val="004F0C18"/>
    <w:rsid w:val="004F0D04"/>
    <w:rsid w:val="004F0DFC"/>
    <w:rsid w:val="004F0F60"/>
    <w:rsid w:val="004F13EB"/>
    <w:rsid w:val="004F1917"/>
    <w:rsid w:val="004F1B48"/>
    <w:rsid w:val="004F1DE1"/>
    <w:rsid w:val="004F20D1"/>
    <w:rsid w:val="004F2279"/>
    <w:rsid w:val="004F269C"/>
    <w:rsid w:val="004F287A"/>
    <w:rsid w:val="004F2BCC"/>
    <w:rsid w:val="004F2D15"/>
    <w:rsid w:val="004F2EB4"/>
    <w:rsid w:val="004F3232"/>
    <w:rsid w:val="004F3269"/>
    <w:rsid w:val="004F335C"/>
    <w:rsid w:val="004F358B"/>
    <w:rsid w:val="004F37A2"/>
    <w:rsid w:val="004F38AE"/>
    <w:rsid w:val="004F3A9B"/>
    <w:rsid w:val="004F3B60"/>
    <w:rsid w:val="004F3C90"/>
    <w:rsid w:val="004F3D85"/>
    <w:rsid w:val="004F4150"/>
    <w:rsid w:val="004F4269"/>
    <w:rsid w:val="004F4DC6"/>
    <w:rsid w:val="004F4E84"/>
    <w:rsid w:val="004F547A"/>
    <w:rsid w:val="004F5801"/>
    <w:rsid w:val="004F5AB5"/>
    <w:rsid w:val="004F5D93"/>
    <w:rsid w:val="004F5E71"/>
    <w:rsid w:val="004F61AF"/>
    <w:rsid w:val="004F64E3"/>
    <w:rsid w:val="004F659C"/>
    <w:rsid w:val="004F659E"/>
    <w:rsid w:val="004F68B4"/>
    <w:rsid w:val="004F6A3F"/>
    <w:rsid w:val="004F6E7F"/>
    <w:rsid w:val="004F7190"/>
    <w:rsid w:val="004F72F6"/>
    <w:rsid w:val="004F732D"/>
    <w:rsid w:val="004F77A5"/>
    <w:rsid w:val="004F7833"/>
    <w:rsid w:val="004F7AE7"/>
    <w:rsid w:val="004F7B36"/>
    <w:rsid w:val="004F7FEC"/>
    <w:rsid w:val="00500751"/>
    <w:rsid w:val="00500D67"/>
    <w:rsid w:val="005014A1"/>
    <w:rsid w:val="005018E8"/>
    <w:rsid w:val="0050192B"/>
    <w:rsid w:val="005019B3"/>
    <w:rsid w:val="00501D8C"/>
    <w:rsid w:val="005024AD"/>
    <w:rsid w:val="005024B6"/>
    <w:rsid w:val="005029E1"/>
    <w:rsid w:val="00502F5D"/>
    <w:rsid w:val="00503ADB"/>
    <w:rsid w:val="005042E5"/>
    <w:rsid w:val="005047D4"/>
    <w:rsid w:val="005048AF"/>
    <w:rsid w:val="00504E07"/>
    <w:rsid w:val="005053D3"/>
    <w:rsid w:val="00505808"/>
    <w:rsid w:val="00505963"/>
    <w:rsid w:val="00505967"/>
    <w:rsid w:val="00505AD9"/>
    <w:rsid w:val="00505DB4"/>
    <w:rsid w:val="00506194"/>
    <w:rsid w:val="005062F8"/>
    <w:rsid w:val="00506417"/>
    <w:rsid w:val="00506B92"/>
    <w:rsid w:val="00506DA7"/>
    <w:rsid w:val="005071EF"/>
    <w:rsid w:val="0050737A"/>
    <w:rsid w:val="00507651"/>
    <w:rsid w:val="00507DBA"/>
    <w:rsid w:val="00507E1F"/>
    <w:rsid w:val="00507E2D"/>
    <w:rsid w:val="00507E7B"/>
    <w:rsid w:val="005106C4"/>
    <w:rsid w:val="00510AD4"/>
    <w:rsid w:val="00510B6B"/>
    <w:rsid w:val="00510B91"/>
    <w:rsid w:val="0051114A"/>
    <w:rsid w:val="005119DB"/>
    <w:rsid w:val="00511B42"/>
    <w:rsid w:val="00511C29"/>
    <w:rsid w:val="00511E6A"/>
    <w:rsid w:val="00512391"/>
    <w:rsid w:val="00512529"/>
    <w:rsid w:val="00512641"/>
    <w:rsid w:val="00512647"/>
    <w:rsid w:val="0051385C"/>
    <w:rsid w:val="005138BA"/>
    <w:rsid w:val="005138D4"/>
    <w:rsid w:val="00513D2D"/>
    <w:rsid w:val="00513D7C"/>
    <w:rsid w:val="00513EA1"/>
    <w:rsid w:val="0051447E"/>
    <w:rsid w:val="005145D5"/>
    <w:rsid w:val="0051489A"/>
    <w:rsid w:val="00514E79"/>
    <w:rsid w:val="00515079"/>
    <w:rsid w:val="005150B7"/>
    <w:rsid w:val="005154DF"/>
    <w:rsid w:val="005155A9"/>
    <w:rsid w:val="005157AC"/>
    <w:rsid w:val="00515800"/>
    <w:rsid w:val="0051594E"/>
    <w:rsid w:val="00515A2A"/>
    <w:rsid w:val="00515C33"/>
    <w:rsid w:val="00516278"/>
    <w:rsid w:val="005162C2"/>
    <w:rsid w:val="00516320"/>
    <w:rsid w:val="0051699C"/>
    <w:rsid w:val="00516E99"/>
    <w:rsid w:val="00517696"/>
    <w:rsid w:val="00517783"/>
    <w:rsid w:val="0051795C"/>
    <w:rsid w:val="00517B36"/>
    <w:rsid w:val="00517F2E"/>
    <w:rsid w:val="00517F43"/>
    <w:rsid w:val="0052121A"/>
    <w:rsid w:val="00521275"/>
    <w:rsid w:val="00521394"/>
    <w:rsid w:val="005219F9"/>
    <w:rsid w:val="00521B63"/>
    <w:rsid w:val="00521BB1"/>
    <w:rsid w:val="00521D41"/>
    <w:rsid w:val="00521E8C"/>
    <w:rsid w:val="0052227E"/>
    <w:rsid w:val="005227D7"/>
    <w:rsid w:val="00522B7B"/>
    <w:rsid w:val="00522C7D"/>
    <w:rsid w:val="00522EF9"/>
    <w:rsid w:val="005235F0"/>
    <w:rsid w:val="0052390D"/>
    <w:rsid w:val="00523B60"/>
    <w:rsid w:val="00523B68"/>
    <w:rsid w:val="00523D8C"/>
    <w:rsid w:val="00523FC2"/>
    <w:rsid w:val="005243F2"/>
    <w:rsid w:val="0052494B"/>
    <w:rsid w:val="00524AB8"/>
    <w:rsid w:val="00524C58"/>
    <w:rsid w:val="00524E08"/>
    <w:rsid w:val="00524E42"/>
    <w:rsid w:val="00524EE1"/>
    <w:rsid w:val="00524F03"/>
    <w:rsid w:val="00525501"/>
    <w:rsid w:val="00525675"/>
    <w:rsid w:val="00526046"/>
    <w:rsid w:val="0052683A"/>
    <w:rsid w:val="00526CFE"/>
    <w:rsid w:val="00526D38"/>
    <w:rsid w:val="00526E3A"/>
    <w:rsid w:val="0052713A"/>
    <w:rsid w:val="00527216"/>
    <w:rsid w:val="00527316"/>
    <w:rsid w:val="005279F0"/>
    <w:rsid w:val="00527A3C"/>
    <w:rsid w:val="0053041B"/>
    <w:rsid w:val="00530433"/>
    <w:rsid w:val="00530843"/>
    <w:rsid w:val="00530914"/>
    <w:rsid w:val="00530D0C"/>
    <w:rsid w:val="00531396"/>
    <w:rsid w:val="005315FC"/>
    <w:rsid w:val="0053161F"/>
    <w:rsid w:val="005316B4"/>
    <w:rsid w:val="00531F9F"/>
    <w:rsid w:val="005320F4"/>
    <w:rsid w:val="0053228A"/>
    <w:rsid w:val="005323E5"/>
    <w:rsid w:val="00532C24"/>
    <w:rsid w:val="00532D5E"/>
    <w:rsid w:val="00533350"/>
    <w:rsid w:val="00533440"/>
    <w:rsid w:val="00533D4A"/>
    <w:rsid w:val="00533F74"/>
    <w:rsid w:val="0053404C"/>
    <w:rsid w:val="005344FA"/>
    <w:rsid w:val="00534992"/>
    <w:rsid w:val="00534D37"/>
    <w:rsid w:val="00534ED6"/>
    <w:rsid w:val="00535633"/>
    <w:rsid w:val="005364AF"/>
    <w:rsid w:val="00536716"/>
    <w:rsid w:val="00536A93"/>
    <w:rsid w:val="00537056"/>
    <w:rsid w:val="0053742F"/>
    <w:rsid w:val="00537574"/>
    <w:rsid w:val="00537648"/>
    <w:rsid w:val="00537786"/>
    <w:rsid w:val="005378EE"/>
    <w:rsid w:val="005404C9"/>
    <w:rsid w:val="0054053E"/>
    <w:rsid w:val="005407A9"/>
    <w:rsid w:val="00540824"/>
    <w:rsid w:val="00540B5F"/>
    <w:rsid w:val="00540B9C"/>
    <w:rsid w:val="00540ED6"/>
    <w:rsid w:val="00541319"/>
    <w:rsid w:val="0054138C"/>
    <w:rsid w:val="005413E1"/>
    <w:rsid w:val="00541453"/>
    <w:rsid w:val="005416A9"/>
    <w:rsid w:val="00541E9C"/>
    <w:rsid w:val="005423F9"/>
    <w:rsid w:val="00542712"/>
    <w:rsid w:val="005428BD"/>
    <w:rsid w:val="00542A82"/>
    <w:rsid w:val="00542E3A"/>
    <w:rsid w:val="00542F19"/>
    <w:rsid w:val="00542F44"/>
    <w:rsid w:val="0054328C"/>
    <w:rsid w:val="0054360F"/>
    <w:rsid w:val="005439D9"/>
    <w:rsid w:val="00543AB9"/>
    <w:rsid w:val="00543AD2"/>
    <w:rsid w:val="00543B88"/>
    <w:rsid w:val="00543D5B"/>
    <w:rsid w:val="00544120"/>
    <w:rsid w:val="005442A2"/>
    <w:rsid w:val="0054444A"/>
    <w:rsid w:val="005448BC"/>
    <w:rsid w:val="00544D61"/>
    <w:rsid w:val="00545717"/>
    <w:rsid w:val="0054574B"/>
    <w:rsid w:val="005458A7"/>
    <w:rsid w:val="005458F0"/>
    <w:rsid w:val="00545BED"/>
    <w:rsid w:val="00546047"/>
    <w:rsid w:val="005462C6"/>
    <w:rsid w:val="005465B6"/>
    <w:rsid w:val="0054697A"/>
    <w:rsid w:val="0054699E"/>
    <w:rsid w:val="00546A14"/>
    <w:rsid w:val="00546A2C"/>
    <w:rsid w:val="00546F5D"/>
    <w:rsid w:val="00547B73"/>
    <w:rsid w:val="00547BFD"/>
    <w:rsid w:val="0055021C"/>
    <w:rsid w:val="0055036E"/>
    <w:rsid w:val="00550627"/>
    <w:rsid w:val="00551028"/>
    <w:rsid w:val="00551140"/>
    <w:rsid w:val="00551602"/>
    <w:rsid w:val="0055162F"/>
    <w:rsid w:val="00551872"/>
    <w:rsid w:val="005519DA"/>
    <w:rsid w:val="00551A8A"/>
    <w:rsid w:val="00551DC4"/>
    <w:rsid w:val="00552306"/>
    <w:rsid w:val="00552898"/>
    <w:rsid w:val="00552FA3"/>
    <w:rsid w:val="00553073"/>
    <w:rsid w:val="00553198"/>
    <w:rsid w:val="00553638"/>
    <w:rsid w:val="005536AD"/>
    <w:rsid w:val="00553707"/>
    <w:rsid w:val="00553BB0"/>
    <w:rsid w:val="00553D05"/>
    <w:rsid w:val="00553D7E"/>
    <w:rsid w:val="00554304"/>
    <w:rsid w:val="00554543"/>
    <w:rsid w:val="005546D2"/>
    <w:rsid w:val="005549BB"/>
    <w:rsid w:val="00554EE3"/>
    <w:rsid w:val="005557EE"/>
    <w:rsid w:val="00555AEA"/>
    <w:rsid w:val="00555F11"/>
    <w:rsid w:val="00555F15"/>
    <w:rsid w:val="0055638E"/>
    <w:rsid w:val="0055683A"/>
    <w:rsid w:val="00557087"/>
    <w:rsid w:val="00557868"/>
    <w:rsid w:val="00557C9A"/>
    <w:rsid w:val="00557D0D"/>
    <w:rsid w:val="00560178"/>
    <w:rsid w:val="00560720"/>
    <w:rsid w:val="00560932"/>
    <w:rsid w:val="00560A06"/>
    <w:rsid w:val="00560A3E"/>
    <w:rsid w:val="00560B44"/>
    <w:rsid w:val="00561327"/>
    <w:rsid w:val="00561574"/>
    <w:rsid w:val="0056165B"/>
    <w:rsid w:val="005618A8"/>
    <w:rsid w:val="0056202C"/>
    <w:rsid w:val="005620BF"/>
    <w:rsid w:val="005623FD"/>
    <w:rsid w:val="00562B0E"/>
    <w:rsid w:val="00562B29"/>
    <w:rsid w:val="00562DDD"/>
    <w:rsid w:val="00562E9F"/>
    <w:rsid w:val="00562EE0"/>
    <w:rsid w:val="00563044"/>
    <w:rsid w:val="00563107"/>
    <w:rsid w:val="005639E8"/>
    <w:rsid w:val="00563ACE"/>
    <w:rsid w:val="00563BD9"/>
    <w:rsid w:val="00563EA9"/>
    <w:rsid w:val="00563F07"/>
    <w:rsid w:val="0056433A"/>
    <w:rsid w:val="00564739"/>
    <w:rsid w:val="00564808"/>
    <w:rsid w:val="005648CD"/>
    <w:rsid w:val="00564B31"/>
    <w:rsid w:val="00564DB8"/>
    <w:rsid w:val="00564FD0"/>
    <w:rsid w:val="005650C1"/>
    <w:rsid w:val="0056558A"/>
    <w:rsid w:val="00565A8F"/>
    <w:rsid w:val="00565BF0"/>
    <w:rsid w:val="00565D16"/>
    <w:rsid w:val="00565E29"/>
    <w:rsid w:val="0056610A"/>
    <w:rsid w:val="005665FB"/>
    <w:rsid w:val="00566629"/>
    <w:rsid w:val="00566B48"/>
    <w:rsid w:val="00566B6F"/>
    <w:rsid w:val="00567805"/>
    <w:rsid w:val="00567ADF"/>
    <w:rsid w:val="00567D4C"/>
    <w:rsid w:val="00567EAD"/>
    <w:rsid w:val="00570138"/>
    <w:rsid w:val="00570288"/>
    <w:rsid w:val="005706B3"/>
    <w:rsid w:val="00570A50"/>
    <w:rsid w:val="00570AA4"/>
    <w:rsid w:val="00570FAA"/>
    <w:rsid w:val="00571342"/>
    <w:rsid w:val="00571539"/>
    <w:rsid w:val="005717F3"/>
    <w:rsid w:val="0057183C"/>
    <w:rsid w:val="00571BC9"/>
    <w:rsid w:val="00572342"/>
    <w:rsid w:val="005723A7"/>
    <w:rsid w:val="0057257B"/>
    <w:rsid w:val="00572820"/>
    <w:rsid w:val="005728CD"/>
    <w:rsid w:val="00572CDC"/>
    <w:rsid w:val="00572E63"/>
    <w:rsid w:val="00573488"/>
    <w:rsid w:val="0057384C"/>
    <w:rsid w:val="00573877"/>
    <w:rsid w:val="005738AA"/>
    <w:rsid w:val="0057396B"/>
    <w:rsid w:val="00573AF3"/>
    <w:rsid w:val="00573CEA"/>
    <w:rsid w:val="0057488F"/>
    <w:rsid w:val="00574CEA"/>
    <w:rsid w:val="00574DEE"/>
    <w:rsid w:val="00574F83"/>
    <w:rsid w:val="0057504D"/>
    <w:rsid w:val="005752F9"/>
    <w:rsid w:val="005754DC"/>
    <w:rsid w:val="00575534"/>
    <w:rsid w:val="00575BA6"/>
    <w:rsid w:val="0057620D"/>
    <w:rsid w:val="00576267"/>
    <w:rsid w:val="00576CFD"/>
    <w:rsid w:val="00576E13"/>
    <w:rsid w:val="00576E44"/>
    <w:rsid w:val="005772EA"/>
    <w:rsid w:val="0057740B"/>
    <w:rsid w:val="00577667"/>
    <w:rsid w:val="00577A4C"/>
    <w:rsid w:val="00577CD4"/>
    <w:rsid w:val="00577F03"/>
    <w:rsid w:val="00580905"/>
    <w:rsid w:val="00580E31"/>
    <w:rsid w:val="00580F44"/>
    <w:rsid w:val="005811DC"/>
    <w:rsid w:val="005811EF"/>
    <w:rsid w:val="00581462"/>
    <w:rsid w:val="00581B66"/>
    <w:rsid w:val="00581C53"/>
    <w:rsid w:val="00581D8E"/>
    <w:rsid w:val="00581F08"/>
    <w:rsid w:val="00581F24"/>
    <w:rsid w:val="00581F47"/>
    <w:rsid w:val="0058205F"/>
    <w:rsid w:val="00582266"/>
    <w:rsid w:val="0058237C"/>
    <w:rsid w:val="00582856"/>
    <w:rsid w:val="00582FA6"/>
    <w:rsid w:val="005830BB"/>
    <w:rsid w:val="005835C8"/>
    <w:rsid w:val="00583AA4"/>
    <w:rsid w:val="00583C84"/>
    <w:rsid w:val="00583D55"/>
    <w:rsid w:val="00584150"/>
    <w:rsid w:val="0058415C"/>
    <w:rsid w:val="005842B0"/>
    <w:rsid w:val="005845B5"/>
    <w:rsid w:val="005849EF"/>
    <w:rsid w:val="00584BE4"/>
    <w:rsid w:val="00584CED"/>
    <w:rsid w:val="00584D0C"/>
    <w:rsid w:val="0058509D"/>
    <w:rsid w:val="0058510F"/>
    <w:rsid w:val="00585756"/>
    <w:rsid w:val="00585A83"/>
    <w:rsid w:val="00585DC8"/>
    <w:rsid w:val="005860DD"/>
    <w:rsid w:val="0058617C"/>
    <w:rsid w:val="00586246"/>
    <w:rsid w:val="005863A3"/>
    <w:rsid w:val="00586785"/>
    <w:rsid w:val="005867AF"/>
    <w:rsid w:val="00586A4C"/>
    <w:rsid w:val="005870F5"/>
    <w:rsid w:val="00587393"/>
    <w:rsid w:val="0058769D"/>
    <w:rsid w:val="00587E38"/>
    <w:rsid w:val="00590192"/>
    <w:rsid w:val="00590263"/>
    <w:rsid w:val="00590883"/>
    <w:rsid w:val="00590BA0"/>
    <w:rsid w:val="00590F98"/>
    <w:rsid w:val="00591285"/>
    <w:rsid w:val="00591811"/>
    <w:rsid w:val="00591829"/>
    <w:rsid w:val="0059218C"/>
    <w:rsid w:val="005926AA"/>
    <w:rsid w:val="00592832"/>
    <w:rsid w:val="00592D69"/>
    <w:rsid w:val="00592F52"/>
    <w:rsid w:val="00592FB1"/>
    <w:rsid w:val="005930B5"/>
    <w:rsid w:val="00593249"/>
    <w:rsid w:val="005932C2"/>
    <w:rsid w:val="00593424"/>
    <w:rsid w:val="00593863"/>
    <w:rsid w:val="005938D5"/>
    <w:rsid w:val="00593A9D"/>
    <w:rsid w:val="00593B88"/>
    <w:rsid w:val="00593E01"/>
    <w:rsid w:val="005941C4"/>
    <w:rsid w:val="0059428E"/>
    <w:rsid w:val="005943A6"/>
    <w:rsid w:val="0059455A"/>
    <w:rsid w:val="005950B5"/>
    <w:rsid w:val="0059542C"/>
    <w:rsid w:val="00595504"/>
    <w:rsid w:val="00595891"/>
    <w:rsid w:val="00595E9B"/>
    <w:rsid w:val="00595F00"/>
    <w:rsid w:val="005967C0"/>
    <w:rsid w:val="005969EA"/>
    <w:rsid w:val="00596A64"/>
    <w:rsid w:val="00596A72"/>
    <w:rsid w:val="00596A7A"/>
    <w:rsid w:val="00597166"/>
    <w:rsid w:val="0059730B"/>
    <w:rsid w:val="00597323"/>
    <w:rsid w:val="00597AC8"/>
    <w:rsid w:val="00597C3E"/>
    <w:rsid w:val="00597D0C"/>
    <w:rsid w:val="005A019B"/>
    <w:rsid w:val="005A035C"/>
    <w:rsid w:val="005A080A"/>
    <w:rsid w:val="005A08C6"/>
    <w:rsid w:val="005A0A4D"/>
    <w:rsid w:val="005A0DB2"/>
    <w:rsid w:val="005A126D"/>
    <w:rsid w:val="005A176C"/>
    <w:rsid w:val="005A1ACC"/>
    <w:rsid w:val="005A1C16"/>
    <w:rsid w:val="005A224D"/>
    <w:rsid w:val="005A280B"/>
    <w:rsid w:val="005A2B73"/>
    <w:rsid w:val="005A352E"/>
    <w:rsid w:val="005A3BD8"/>
    <w:rsid w:val="005A4596"/>
    <w:rsid w:val="005A4A9E"/>
    <w:rsid w:val="005A4DD1"/>
    <w:rsid w:val="005A4EAD"/>
    <w:rsid w:val="005A5164"/>
    <w:rsid w:val="005A55B0"/>
    <w:rsid w:val="005A57AB"/>
    <w:rsid w:val="005A585B"/>
    <w:rsid w:val="005A585C"/>
    <w:rsid w:val="005A58FD"/>
    <w:rsid w:val="005A5BAF"/>
    <w:rsid w:val="005A5CA0"/>
    <w:rsid w:val="005A5CB5"/>
    <w:rsid w:val="005A5FB2"/>
    <w:rsid w:val="005A650F"/>
    <w:rsid w:val="005A66AB"/>
    <w:rsid w:val="005A66E2"/>
    <w:rsid w:val="005A6AB6"/>
    <w:rsid w:val="005A6DB5"/>
    <w:rsid w:val="005A7487"/>
    <w:rsid w:val="005A7584"/>
    <w:rsid w:val="005A7644"/>
    <w:rsid w:val="005A7693"/>
    <w:rsid w:val="005A78AC"/>
    <w:rsid w:val="005A792C"/>
    <w:rsid w:val="005A7AAB"/>
    <w:rsid w:val="005A7BCF"/>
    <w:rsid w:val="005A7C23"/>
    <w:rsid w:val="005B0018"/>
    <w:rsid w:val="005B0020"/>
    <w:rsid w:val="005B036C"/>
    <w:rsid w:val="005B0409"/>
    <w:rsid w:val="005B04A4"/>
    <w:rsid w:val="005B04F4"/>
    <w:rsid w:val="005B0554"/>
    <w:rsid w:val="005B0658"/>
    <w:rsid w:val="005B08A0"/>
    <w:rsid w:val="005B094D"/>
    <w:rsid w:val="005B0F17"/>
    <w:rsid w:val="005B12C7"/>
    <w:rsid w:val="005B1719"/>
    <w:rsid w:val="005B19A3"/>
    <w:rsid w:val="005B1E14"/>
    <w:rsid w:val="005B1E31"/>
    <w:rsid w:val="005B23D9"/>
    <w:rsid w:val="005B2B89"/>
    <w:rsid w:val="005B2E80"/>
    <w:rsid w:val="005B30EB"/>
    <w:rsid w:val="005B3203"/>
    <w:rsid w:val="005B3932"/>
    <w:rsid w:val="005B41D0"/>
    <w:rsid w:val="005B4BA0"/>
    <w:rsid w:val="005B4C0F"/>
    <w:rsid w:val="005B5962"/>
    <w:rsid w:val="005B6200"/>
    <w:rsid w:val="005B62E3"/>
    <w:rsid w:val="005B6615"/>
    <w:rsid w:val="005B69ED"/>
    <w:rsid w:val="005B6B77"/>
    <w:rsid w:val="005B7187"/>
    <w:rsid w:val="005B7287"/>
    <w:rsid w:val="005B7483"/>
    <w:rsid w:val="005B79E0"/>
    <w:rsid w:val="005B7FA6"/>
    <w:rsid w:val="005C0051"/>
    <w:rsid w:val="005C01DC"/>
    <w:rsid w:val="005C0207"/>
    <w:rsid w:val="005C0276"/>
    <w:rsid w:val="005C052A"/>
    <w:rsid w:val="005C09AD"/>
    <w:rsid w:val="005C0A05"/>
    <w:rsid w:val="005C0A6F"/>
    <w:rsid w:val="005C0B5F"/>
    <w:rsid w:val="005C1002"/>
    <w:rsid w:val="005C13A8"/>
    <w:rsid w:val="005C1450"/>
    <w:rsid w:val="005C14CC"/>
    <w:rsid w:val="005C14E4"/>
    <w:rsid w:val="005C170C"/>
    <w:rsid w:val="005C1936"/>
    <w:rsid w:val="005C1949"/>
    <w:rsid w:val="005C1AE4"/>
    <w:rsid w:val="005C1CAA"/>
    <w:rsid w:val="005C1F2C"/>
    <w:rsid w:val="005C1FAF"/>
    <w:rsid w:val="005C2220"/>
    <w:rsid w:val="005C23DD"/>
    <w:rsid w:val="005C2401"/>
    <w:rsid w:val="005C29DA"/>
    <w:rsid w:val="005C2FBA"/>
    <w:rsid w:val="005C305E"/>
    <w:rsid w:val="005C3109"/>
    <w:rsid w:val="005C3165"/>
    <w:rsid w:val="005C35B4"/>
    <w:rsid w:val="005C3BAB"/>
    <w:rsid w:val="005C3FBE"/>
    <w:rsid w:val="005C4509"/>
    <w:rsid w:val="005C46E4"/>
    <w:rsid w:val="005C4A34"/>
    <w:rsid w:val="005C4DD5"/>
    <w:rsid w:val="005C4EC3"/>
    <w:rsid w:val="005C4FD2"/>
    <w:rsid w:val="005C552B"/>
    <w:rsid w:val="005C57A4"/>
    <w:rsid w:val="005C58D0"/>
    <w:rsid w:val="005C5A4E"/>
    <w:rsid w:val="005C5E1D"/>
    <w:rsid w:val="005C6282"/>
    <w:rsid w:val="005C666D"/>
    <w:rsid w:val="005C6890"/>
    <w:rsid w:val="005C699C"/>
    <w:rsid w:val="005C6F21"/>
    <w:rsid w:val="005C705F"/>
    <w:rsid w:val="005C71FE"/>
    <w:rsid w:val="005C79F9"/>
    <w:rsid w:val="005C7C94"/>
    <w:rsid w:val="005C7EB7"/>
    <w:rsid w:val="005D027C"/>
    <w:rsid w:val="005D02A1"/>
    <w:rsid w:val="005D0E59"/>
    <w:rsid w:val="005D0F6F"/>
    <w:rsid w:val="005D10EA"/>
    <w:rsid w:val="005D1204"/>
    <w:rsid w:val="005D14F6"/>
    <w:rsid w:val="005D1539"/>
    <w:rsid w:val="005D18E1"/>
    <w:rsid w:val="005D1928"/>
    <w:rsid w:val="005D1A79"/>
    <w:rsid w:val="005D2126"/>
    <w:rsid w:val="005D238E"/>
    <w:rsid w:val="005D25BB"/>
    <w:rsid w:val="005D25D4"/>
    <w:rsid w:val="005D2D76"/>
    <w:rsid w:val="005D2DB9"/>
    <w:rsid w:val="005D3C75"/>
    <w:rsid w:val="005D3E24"/>
    <w:rsid w:val="005D3F14"/>
    <w:rsid w:val="005D42D5"/>
    <w:rsid w:val="005D4318"/>
    <w:rsid w:val="005D451F"/>
    <w:rsid w:val="005D4559"/>
    <w:rsid w:val="005D47BD"/>
    <w:rsid w:val="005D4865"/>
    <w:rsid w:val="005D4BE6"/>
    <w:rsid w:val="005D52B4"/>
    <w:rsid w:val="005D5970"/>
    <w:rsid w:val="005D5BAF"/>
    <w:rsid w:val="005D5CE8"/>
    <w:rsid w:val="005D5E35"/>
    <w:rsid w:val="005D5E4D"/>
    <w:rsid w:val="005D6A82"/>
    <w:rsid w:val="005D6B79"/>
    <w:rsid w:val="005D7053"/>
    <w:rsid w:val="005D73A5"/>
    <w:rsid w:val="005D741F"/>
    <w:rsid w:val="005D775C"/>
    <w:rsid w:val="005D7893"/>
    <w:rsid w:val="005E01C9"/>
    <w:rsid w:val="005E0212"/>
    <w:rsid w:val="005E02DC"/>
    <w:rsid w:val="005E030F"/>
    <w:rsid w:val="005E03A5"/>
    <w:rsid w:val="005E051E"/>
    <w:rsid w:val="005E0552"/>
    <w:rsid w:val="005E0685"/>
    <w:rsid w:val="005E07A0"/>
    <w:rsid w:val="005E07FA"/>
    <w:rsid w:val="005E0C8C"/>
    <w:rsid w:val="005E0CEA"/>
    <w:rsid w:val="005E0F99"/>
    <w:rsid w:val="005E0F9D"/>
    <w:rsid w:val="005E0FE1"/>
    <w:rsid w:val="005E10BB"/>
    <w:rsid w:val="005E1300"/>
    <w:rsid w:val="005E16A0"/>
    <w:rsid w:val="005E1747"/>
    <w:rsid w:val="005E1AA9"/>
    <w:rsid w:val="005E1F47"/>
    <w:rsid w:val="005E254A"/>
    <w:rsid w:val="005E27E5"/>
    <w:rsid w:val="005E3693"/>
    <w:rsid w:val="005E36D1"/>
    <w:rsid w:val="005E36DD"/>
    <w:rsid w:val="005E3AE8"/>
    <w:rsid w:val="005E3C7D"/>
    <w:rsid w:val="005E3D77"/>
    <w:rsid w:val="005E43F5"/>
    <w:rsid w:val="005E4BF8"/>
    <w:rsid w:val="005E4E23"/>
    <w:rsid w:val="005E50AC"/>
    <w:rsid w:val="005E5359"/>
    <w:rsid w:val="005E555B"/>
    <w:rsid w:val="005E5A57"/>
    <w:rsid w:val="005E6660"/>
    <w:rsid w:val="005E68BB"/>
    <w:rsid w:val="005E6953"/>
    <w:rsid w:val="005E71C4"/>
    <w:rsid w:val="005E7C6F"/>
    <w:rsid w:val="005F01F7"/>
    <w:rsid w:val="005F05DA"/>
    <w:rsid w:val="005F05E4"/>
    <w:rsid w:val="005F0D46"/>
    <w:rsid w:val="005F0E6B"/>
    <w:rsid w:val="005F1428"/>
    <w:rsid w:val="005F2587"/>
    <w:rsid w:val="005F26FC"/>
    <w:rsid w:val="005F280F"/>
    <w:rsid w:val="005F2BCA"/>
    <w:rsid w:val="005F300D"/>
    <w:rsid w:val="005F3147"/>
    <w:rsid w:val="005F362B"/>
    <w:rsid w:val="005F390A"/>
    <w:rsid w:val="005F3936"/>
    <w:rsid w:val="005F3B02"/>
    <w:rsid w:val="005F3E16"/>
    <w:rsid w:val="005F41D5"/>
    <w:rsid w:val="005F4E35"/>
    <w:rsid w:val="005F4EFF"/>
    <w:rsid w:val="005F501E"/>
    <w:rsid w:val="005F5D7F"/>
    <w:rsid w:val="005F685B"/>
    <w:rsid w:val="005F6AAE"/>
    <w:rsid w:val="005F6AFB"/>
    <w:rsid w:val="005F6C78"/>
    <w:rsid w:val="005F6D04"/>
    <w:rsid w:val="005F6E07"/>
    <w:rsid w:val="005F6FE6"/>
    <w:rsid w:val="005F7337"/>
    <w:rsid w:val="005F736D"/>
    <w:rsid w:val="005F73EE"/>
    <w:rsid w:val="005F76DD"/>
    <w:rsid w:val="00600390"/>
    <w:rsid w:val="00600454"/>
    <w:rsid w:val="006004A9"/>
    <w:rsid w:val="006004D2"/>
    <w:rsid w:val="006004DB"/>
    <w:rsid w:val="00600879"/>
    <w:rsid w:val="00600C76"/>
    <w:rsid w:val="00600DBB"/>
    <w:rsid w:val="006010CD"/>
    <w:rsid w:val="00601904"/>
    <w:rsid w:val="00601C8F"/>
    <w:rsid w:val="00601D02"/>
    <w:rsid w:val="00601F45"/>
    <w:rsid w:val="00601FD6"/>
    <w:rsid w:val="0060216F"/>
    <w:rsid w:val="006025BB"/>
    <w:rsid w:val="00602C57"/>
    <w:rsid w:val="00602D86"/>
    <w:rsid w:val="0060328C"/>
    <w:rsid w:val="006035E2"/>
    <w:rsid w:val="00603614"/>
    <w:rsid w:val="0060372D"/>
    <w:rsid w:val="0060389A"/>
    <w:rsid w:val="00603A75"/>
    <w:rsid w:val="00603AF6"/>
    <w:rsid w:val="00603D0A"/>
    <w:rsid w:val="00603DF4"/>
    <w:rsid w:val="00603F5C"/>
    <w:rsid w:val="006041A9"/>
    <w:rsid w:val="00604746"/>
    <w:rsid w:val="00604808"/>
    <w:rsid w:val="00604A22"/>
    <w:rsid w:val="00604C78"/>
    <w:rsid w:val="00604F8B"/>
    <w:rsid w:val="006050DD"/>
    <w:rsid w:val="006053B5"/>
    <w:rsid w:val="006054A3"/>
    <w:rsid w:val="006055AF"/>
    <w:rsid w:val="00605D91"/>
    <w:rsid w:val="00605F3B"/>
    <w:rsid w:val="006062FA"/>
    <w:rsid w:val="006063E4"/>
    <w:rsid w:val="0060699A"/>
    <w:rsid w:val="00606C78"/>
    <w:rsid w:val="00606CBD"/>
    <w:rsid w:val="00606D05"/>
    <w:rsid w:val="00606E0D"/>
    <w:rsid w:val="00606EA6"/>
    <w:rsid w:val="0060706C"/>
    <w:rsid w:val="006071B6"/>
    <w:rsid w:val="0060739F"/>
    <w:rsid w:val="0060759D"/>
    <w:rsid w:val="00607641"/>
    <w:rsid w:val="0060766D"/>
    <w:rsid w:val="0060771D"/>
    <w:rsid w:val="00607847"/>
    <w:rsid w:val="00607990"/>
    <w:rsid w:val="00607EF5"/>
    <w:rsid w:val="006100D7"/>
    <w:rsid w:val="006103D5"/>
    <w:rsid w:val="006108FD"/>
    <w:rsid w:val="00610A1F"/>
    <w:rsid w:val="00610FDF"/>
    <w:rsid w:val="00611119"/>
    <w:rsid w:val="00611356"/>
    <w:rsid w:val="0061155A"/>
    <w:rsid w:val="006115BE"/>
    <w:rsid w:val="006118F2"/>
    <w:rsid w:val="00611A16"/>
    <w:rsid w:val="00611BCC"/>
    <w:rsid w:val="00611FC5"/>
    <w:rsid w:val="00612127"/>
    <w:rsid w:val="00612380"/>
    <w:rsid w:val="006127CC"/>
    <w:rsid w:val="0061284B"/>
    <w:rsid w:val="00612C36"/>
    <w:rsid w:val="00612C85"/>
    <w:rsid w:val="00612CDA"/>
    <w:rsid w:val="006134A3"/>
    <w:rsid w:val="00613559"/>
    <w:rsid w:val="00613589"/>
    <w:rsid w:val="0061371C"/>
    <w:rsid w:val="00613766"/>
    <w:rsid w:val="00613CB4"/>
    <w:rsid w:val="006144EF"/>
    <w:rsid w:val="00614A43"/>
    <w:rsid w:val="00614B45"/>
    <w:rsid w:val="00614C61"/>
    <w:rsid w:val="00614D7A"/>
    <w:rsid w:val="00615045"/>
    <w:rsid w:val="00615571"/>
    <w:rsid w:val="006155F0"/>
    <w:rsid w:val="00615A8B"/>
    <w:rsid w:val="00615C76"/>
    <w:rsid w:val="006164C1"/>
    <w:rsid w:val="00616808"/>
    <w:rsid w:val="00616C9B"/>
    <w:rsid w:val="00616DEA"/>
    <w:rsid w:val="00616E81"/>
    <w:rsid w:val="0061767B"/>
    <w:rsid w:val="00617B1A"/>
    <w:rsid w:val="00617D38"/>
    <w:rsid w:val="00620084"/>
    <w:rsid w:val="00620151"/>
    <w:rsid w:val="00620331"/>
    <w:rsid w:val="00620CA2"/>
    <w:rsid w:val="006214F4"/>
    <w:rsid w:val="0062172A"/>
    <w:rsid w:val="00621809"/>
    <w:rsid w:val="00621A9D"/>
    <w:rsid w:val="00622201"/>
    <w:rsid w:val="006223B0"/>
    <w:rsid w:val="006223FF"/>
    <w:rsid w:val="00622528"/>
    <w:rsid w:val="00622759"/>
    <w:rsid w:val="00622E3A"/>
    <w:rsid w:val="0062323F"/>
    <w:rsid w:val="00623A30"/>
    <w:rsid w:val="00623DCA"/>
    <w:rsid w:val="00624113"/>
    <w:rsid w:val="006245D1"/>
    <w:rsid w:val="00624A17"/>
    <w:rsid w:val="00624A9A"/>
    <w:rsid w:val="00624C9E"/>
    <w:rsid w:val="00624D90"/>
    <w:rsid w:val="006252D3"/>
    <w:rsid w:val="006253DF"/>
    <w:rsid w:val="006255F2"/>
    <w:rsid w:val="00625623"/>
    <w:rsid w:val="00625859"/>
    <w:rsid w:val="006259A9"/>
    <w:rsid w:val="006264AC"/>
    <w:rsid w:val="00626606"/>
    <w:rsid w:val="006267BB"/>
    <w:rsid w:val="00626A38"/>
    <w:rsid w:val="00626F05"/>
    <w:rsid w:val="006275AF"/>
    <w:rsid w:val="006277BE"/>
    <w:rsid w:val="00627E9C"/>
    <w:rsid w:val="00630789"/>
    <w:rsid w:val="006308A4"/>
    <w:rsid w:val="006309B8"/>
    <w:rsid w:val="00630B0D"/>
    <w:rsid w:val="00630B80"/>
    <w:rsid w:val="006318ED"/>
    <w:rsid w:val="00631C0B"/>
    <w:rsid w:val="006322DE"/>
    <w:rsid w:val="00632B07"/>
    <w:rsid w:val="00632BF9"/>
    <w:rsid w:val="00632C05"/>
    <w:rsid w:val="00632E60"/>
    <w:rsid w:val="006330E4"/>
    <w:rsid w:val="006331E2"/>
    <w:rsid w:val="006334A3"/>
    <w:rsid w:val="00633568"/>
    <w:rsid w:val="00633887"/>
    <w:rsid w:val="00633E7F"/>
    <w:rsid w:val="00634053"/>
    <w:rsid w:val="00634116"/>
    <w:rsid w:val="00634278"/>
    <w:rsid w:val="006346DF"/>
    <w:rsid w:val="0063490B"/>
    <w:rsid w:val="00634960"/>
    <w:rsid w:val="00634E13"/>
    <w:rsid w:val="00634E2B"/>
    <w:rsid w:val="00635474"/>
    <w:rsid w:val="006355D0"/>
    <w:rsid w:val="006357AA"/>
    <w:rsid w:val="00635833"/>
    <w:rsid w:val="0063590B"/>
    <w:rsid w:val="00635EA7"/>
    <w:rsid w:val="00635F73"/>
    <w:rsid w:val="0063617A"/>
    <w:rsid w:val="00636353"/>
    <w:rsid w:val="00636407"/>
    <w:rsid w:val="006365DA"/>
    <w:rsid w:val="00636C05"/>
    <w:rsid w:val="00636DF9"/>
    <w:rsid w:val="00636FF6"/>
    <w:rsid w:val="00637055"/>
    <w:rsid w:val="0063733D"/>
    <w:rsid w:val="00637782"/>
    <w:rsid w:val="0063790C"/>
    <w:rsid w:val="006379AA"/>
    <w:rsid w:val="006400C3"/>
    <w:rsid w:val="00640106"/>
    <w:rsid w:val="00640345"/>
    <w:rsid w:val="0064081E"/>
    <w:rsid w:val="00640D01"/>
    <w:rsid w:val="00640E24"/>
    <w:rsid w:val="00640F89"/>
    <w:rsid w:val="006410C6"/>
    <w:rsid w:val="00641199"/>
    <w:rsid w:val="0064123F"/>
    <w:rsid w:val="006414CA"/>
    <w:rsid w:val="006415FF"/>
    <w:rsid w:val="00641893"/>
    <w:rsid w:val="006418A6"/>
    <w:rsid w:val="00641BC2"/>
    <w:rsid w:val="00641BD7"/>
    <w:rsid w:val="00641DD1"/>
    <w:rsid w:val="00641F1E"/>
    <w:rsid w:val="00641F66"/>
    <w:rsid w:val="00641FE0"/>
    <w:rsid w:val="00642358"/>
    <w:rsid w:val="00642913"/>
    <w:rsid w:val="006431F0"/>
    <w:rsid w:val="00643297"/>
    <w:rsid w:val="006435FF"/>
    <w:rsid w:val="00643807"/>
    <w:rsid w:val="00643874"/>
    <w:rsid w:val="00643C08"/>
    <w:rsid w:val="00643EC8"/>
    <w:rsid w:val="00643FFB"/>
    <w:rsid w:val="00644077"/>
    <w:rsid w:val="006443B1"/>
    <w:rsid w:val="00644475"/>
    <w:rsid w:val="00644520"/>
    <w:rsid w:val="0064493B"/>
    <w:rsid w:val="00644984"/>
    <w:rsid w:val="00644CE0"/>
    <w:rsid w:val="00645238"/>
    <w:rsid w:val="006454D4"/>
    <w:rsid w:val="00645548"/>
    <w:rsid w:val="00645D95"/>
    <w:rsid w:val="00646083"/>
    <w:rsid w:val="006462AA"/>
    <w:rsid w:val="00646317"/>
    <w:rsid w:val="0064633A"/>
    <w:rsid w:val="0064646C"/>
    <w:rsid w:val="00646791"/>
    <w:rsid w:val="00646B16"/>
    <w:rsid w:val="00646BD2"/>
    <w:rsid w:val="006470B5"/>
    <w:rsid w:val="006473FB"/>
    <w:rsid w:val="0064743F"/>
    <w:rsid w:val="00647632"/>
    <w:rsid w:val="0064768A"/>
    <w:rsid w:val="006479CA"/>
    <w:rsid w:val="00647B44"/>
    <w:rsid w:val="00647B78"/>
    <w:rsid w:val="00647B7A"/>
    <w:rsid w:val="0065036D"/>
    <w:rsid w:val="00650388"/>
    <w:rsid w:val="00650823"/>
    <w:rsid w:val="00650B6F"/>
    <w:rsid w:val="00650F66"/>
    <w:rsid w:val="0065115A"/>
    <w:rsid w:val="00651189"/>
    <w:rsid w:val="006511DE"/>
    <w:rsid w:val="00651940"/>
    <w:rsid w:val="00651C2B"/>
    <w:rsid w:val="00652082"/>
    <w:rsid w:val="0065218E"/>
    <w:rsid w:val="0065243B"/>
    <w:rsid w:val="006525A1"/>
    <w:rsid w:val="0065263E"/>
    <w:rsid w:val="006527AD"/>
    <w:rsid w:val="00652FC1"/>
    <w:rsid w:val="0065300B"/>
    <w:rsid w:val="00653316"/>
    <w:rsid w:val="00653486"/>
    <w:rsid w:val="0065380E"/>
    <w:rsid w:val="00653969"/>
    <w:rsid w:val="00653D2C"/>
    <w:rsid w:val="00653FFC"/>
    <w:rsid w:val="006540DA"/>
    <w:rsid w:val="00654622"/>
    <w:rsid w:val="006547E2"/>
    <w:rsid w:val="00654998"/>
    <w:rsid w:val="006549E9"/>
    <w:rsid w:val="00654BD5"/>
    <w:rsid w:val="00654C2D"/>
    <w:rsid w:val="00654EEE"/>
    <w:rsid w:val="006551B4"/>
    <w:rsid w:val="006557B1"/>
    <w:rsid w:val="00655A4E"/>
    <w:rsid w:val="00655FFE"/>
    <w:rsid w:val="00656077"/>
    <w:rsid w:val="00656232"/>
    <w:rsid w:val="00656255"/>
    <w:rsid w:val="006562E0"/>
    <w:rsid w:val="006568ED"/>
    <w:rsid w:val="00656A77"/>
    <w:rsid w:val="00656C01"/>
    <w:rsid w:val="0065708D"/>
    <w:rsid w:val="00657159"/>
    <w:rsid w:val="006571B8"/>
    <w:rsid w:val="00657265"/>
    <w:rsid w:val="0065727D"/>
    <w:rsid w:val="006575AC"/>
    <w:rsid w:val="00657B61"/>
    <w:rsid w:val="00657C96"/>
    <w:rsid w:val="00657DA7"/>
    <w:rsid w:val="00660101"/>
    <w:rsid w:val="006602A2"/>
    <w:rsid w:val="006602F6"/>
    <w:rsid w:val="006605C7"/>
    <w:rsid w:val="00660956"/>
    <w:rsid w:val="00660A9B"/>
    <w:rsid w:val="00660BCD"/>
    <w:rsid w:val="00660BF4"/>
    <w:rsid w:val="00660CDD"/>
    <w:rsid w:val="006612F1"/>
    <w:rsid w:val="006613EB"/>
    <w:rsid w:val="006618B1"/>
    <w:rsid w:val="006619B7"/>
    <w:rsid w:val="00661C98"/>
    <w:rsid w:val="00661CE8"/>
    <w:rsid w:val="00661D1A"/>
    <w:rsid w:val="00661F4E"/>
    <w:rsid w:val="00661F8E"/>
    <w:rsid w:val="00662218"/>
    <w:rsid w:val="006622BC"/>
    <w:rsid w:val="0066285D"/>
    <w:rsid w:val="00662FCE"/>
    <w:rsid w:val="0066323C"/>
    <w:rsid w:val="006632C9"/>
    <w:rsid w:val="00663449"/>
    <w:rsid w:val="006634E1"/>
    <w:rsid w:val="006635C0"/>
    <w:rsid w:val="00663DCA"/>
    <w:rsid w:val="00663F80"/>
    <w:rsid w:val="00663FED"/>
    <w:rsid w:val="0066424E"/>
    <w:rsid w:val="0066450F"/>
    <w:rsid w:val="006648C6"/>
    <w:rsid w:val="006648E1"/>
    <w:rsid w:val="00664C1D"/>
    <w:rsid w:val="0066558E"/>
    <w:rsid w:val="00665712"/>
    <w:rsid w:val="00665771"/>
    <w:rsid w:val="00665A4E"/>
    <w:rsid w:val="00665CA5"/>
    <w:rsid w:val="00665E54"/>
    <w:rsid w:val="006667F9"/>
    <w:rsid w:val="006669DE"/>
    <w:rsid w:val="00666ED8"/>
    <w:rsid w:val="006672BA"/>
    <w:rsid w:val="00667437"/>
    <w:rsid w:val="00667A75"/>
    <w:rsid w:val="00667A79"/>
    <w:rsid w:val="00667B17"/>
    <w:rsid w:val="00667D6F"/>
    <w:rsid w:val="00667E07"/>
    <w:rsid w:val="00670063"/>
    <w:rsid w:val="0067066B"/>
    <w:rsid w:val="00670C68"/>
    <w:rsid w:val="00670F30"/>
    <w:rsid w:val="00671279"/>
    <w:rsid w:val="00671620"/>
    <w:rsid w:val="00671DAB"/>
    <w:rsid w:val="00671DE1"/>
    <w:rsid w:val="00671E56"/>
    <w:rsid w:val="00671F81"/>
    <w:rsid w:val="00672531"/>
    <w:rsid w:val="0067278D"/>
    <w:rsid w:val="006727A5"/>
    <w:rsid w:val="006729F8"/>
    <w:rsid w:val="00672A23"/>
    <w:rsid w:val="00672BFC"/>
    <w:rsid w:val="0067322B"/>
    <w:rsid w:val="00673314"/>
    <w:rsid w:val="006735CF"/>
    <w:rsid w:val="00673902"/>
    <w:rsid w:val="00673CAF"/>
    <w:rsid w:val="006744EC"/>
    <w:rsid w:val="006747C9"/>
    <w:rsid w:val="00674A07"/>
    <w:rsid w:val="00674B4E"/>
    <w:rsid w:val="00674B73"/>
    <w:rsid w:val="00674D91"/>
    <w:rsid w:val="00674E25"/>
    <w:rsid w:val="0067504E"/>
    <w:rsid w:val="0067518B"/>
    <w:rsid w:val="006751A4"/>
    <w:rsid w:val="006753FE"/>
    <w:rsid w:val="00675805"/>
    <w:rsid w:val="00675A62"/>
    <w:rsid w:val="00675B34"/>
    <w:rsid w:val="00675C75"/>
    <w:rsid w:val="0067615A"/>
    <w:rsid w:val="00676456"/>
    <w:rsid w:val="006764FD"/>
    <w:rsid w:val="0067652D"/>
    <w:rsid w:val="006765B9"/>
    <w:rsid w:val="00676665"/>
    <w:rsid w:val="00676815"/>
    <w:rsid w:val="00676E50"/>
    <w:rsid w:val="006772BF"/>
    <w:rsid w:val="0067735D"/>
    <w:rsid w:val="00677BD4"/>
    <w:rsid w:val="00677C9B"/>
    <w:rsid w:val="00677F4A"/>
    <w:rsid w:val="006800EA"/>
    <w:rsid w:val="00680266"/>
    <w:rsid w:val="00680352"/>
    <w:rsid w:val="006808F3"/>
    <w:rsid w:val="00680CE2"/>
    <w:rsid w:val="00681362"/>
    <w:rsid w:val="006813E4"/>
    <w:rsid w:val="006817A8"/>
    <w:rsid w:val="006817BA"/>
    <w:rsid w:val="006817EA"/>
    <w:rsid w:val="0068190F"/>
    <w:rsid w:val="00681A68"/>
    <w:rsid w:val="00681BDA"/>
    <w:rsid w:val="00681CE6"/>
    <w:rsid w:val="00681DFB"/>
    <w:rsid w:val="0068208F"/>
    <w:rsid w:val="00682200"/>
    <w:rsid w:val="00682455"/>
    <w:rsid w:val="0068266A"/>
    <w:rsid w:val="00682797"/>
    <w:rsid w:val="006828EC"/>
    <w:rsid w:val="00682B5B"/>
    <w:rsid w:val="006831CE"/>
    <w:rsid w:val="0068332F"/>
    <w:rsid w:val="0068341F"/>
    <w:rsid w:val="006837A9"/>
    <w:rsid w:val="006838F7"/>
    <w:rsid w:val="00683ADE"/>
    <w:rsid w:val="00683C93"/>
    <w:rsid w:val="00683D12"/>
    <w:rsid w:val="00683EC0"/>
    <w:rsid w:val="00684088"/>
    <w:rsid w:val="006840E6"/>
    <w:rsid w:val="00684764"/>
    <w:rsid w:val="006855EC"/>
    <w:rsid w:val="0068574A"/>
    <w:rsid w:val="0068585E"/>
    <w:rsid w:val="006866A9"/>
    <w:rsid w:val="00686721"/>
    <w:rsid w:val="00686C41"/>
    <w:rsid w:val="00686E2D"/>
    <w:rsid w:val="00686EF1"/>
    <w:rsid w:val="00687069"/>
    <w:rsid w:val="00687156"/>
    <w:rsid w:val="006871D2"/>
    <w:rsid w:val="00687460"/>
    <w:rsid w:val="0068748E"/>
    <w:rsid w:val="0068776C"/>
    <w:rsid w:val="00687A14"/>
    <w:rsid w:val="00687CBE"/>
    <w:rsid w:val="00687E1D"/>
    <w:rsid w:val="006900AA"/>
    <w:rsid w:val="0069041D"/>
    <w:rsid w:val="0069044B"/>
    <w:rsid w:val="0069054E"/>
    <w:rsid w:val="00690AB0"/>
    <w:rsid w:val="00690DDB"/>
    <w:rsid w:val="00690F09"/>
    <w:rsid w:val="0069135F"/>
    <w:rsid w:val="0069151F"/>
    <w:rsid w:val="00691C61"/>
    <w:rsid w:val="00691C82"/>
    <w:rsid w:val="00691CA3"/>
    <w:rsid w:val="00691F4D"/>
    <w:rsid w:val="00692026"/>
    <w:rsid w:val="006924DF"/>
    <w:rsid w:val="006926D1"/>
    <w:rsid w:val="00692AEF"/>
    <w:rsid w:val="00692D33"/>
    <w:rsid w:val="00693313"/>
    <w:rsid w:val="0069359D"/>
    <w:rsid w:val="006935A2"/>
    <w:rsid w:val="0069372B"/>
    <w:rsid w:val="0069381B"/>
    <w:rsid w:val="00693B38"/>
    <w:rsid w:val="00693E20"/>
    <w:rsid w:val="00693F6F"/>
    <w:rsid w:val="00694129"/>
    <w:rsid w:val="0069413B"/>
    <w:rsid w:val="00694166"/>
    <w:rsid w:val="006943E7"/>
    <w:rsid w:val="00694A4C"/>
    <w:rsid w:val="00694DA2"/>
    <w:rsid w:val="00695009"/>
    <w:rsid w:val="0069549B"/>
    <w:rsid w:val="00695739"/>
    <w:rsid w:val="00695845"/>
    <w:rsid w:val="00695913"/>
    <w:rsid w:val="00695A65"/>
    <w:rsid w:val="00695ABA"/>
    <w:rsid w:val="00695B72"/>
    <w:rsid w:val="00695DEF"/>
    <w:rsid w:val="00695ECE"/>
    <w:rsid w:val="0069667A"/>
    <w:rsid w:val="00696797"/>
    <w:rsid w:val="006967D4"/>
    <w:rsid w:val="006967D8"/>
    <w:rsid w:val="00696C60"/>
    <w:rsid w:val="00697120"/>
    <w:rsid w:val="00697452"/>
    <w:rsid w:val="006974D1"/>
    <w:rsid w:val="00697E7B"/>
    <w:rsid w:val="006A0211"/>
    <w:rsid w:val="006A02EA"/>
    <w:rsid w:val="006A071B"/>
    <w:rsid w:val="006A0888"/>
    <w:rsid w:val="006A0C03"/>
    <w:rsid w:val="006A0E96"/>
    <w:rsid w:val="006A0F97"/>
    <w:rsid w:val="006A1049"/>
    <w:rsid w:val="006A10A6"/>
    <w:rsid w:val="006A11C8"/>
    <w:rsid w:val="006A15E4"/>
    <w:rsid w:val="006A1622"/>
    <w:rsid w:val="006A17BF"/>
    <w:rsid w:val="006A19F1"/>
    <w:rsid w:val="006A1D6B"/>
    <w:rsid w:val="006A22B6"/>
    <w:rsid w:val="006A2970"/>
    <w:rsid w:val="006A2978"/>
    <w:rsid w:val="006A2A78"/>
    <w:rsid w:val="006A2DCD"/>
    <w:rsid w:val="006A2F43"/>
    <w:rsid w:val="006A337E"/>
    <w:rsid w:val="006A36FB"/>
    <w:rsid w:val="006A3AE2"/>
    <w:rsid w:val="006A3C43"/>
    <w:rsid w:val="006A408E"/>
    <w:rsid w:val="006A414D"/>
    <w:rsid w:val="006A4373"/>
    <w:rsid w:val="006A4652"/>
    <w:rsid w:val="006A47BE"/>
    <w:rsid w:val="006A4AC4"/>
    <w:rsid w:val="006A4B43"/>
    <w:rsid w:val="006A4DA5"/>
    <w:rsid w:val="006A5222"/>
    <w:rsid w:val="006A53DD"/>
    <w:rsid w:val="006A58FE"/>
    <w:rsid w:val="006A5B4E"/>
    <w:rsid w:val="006A5C5C"/>
    <w:rsid w:val="006A5E23"/>
    <w:rsid w:val="006A5E71"/>
    <w:rsid w:val="006A613C"/>
    <w:rsid w:val="006A62FE"/>
    <w:rsid w:val="006A6519"/>
    <w:rsid w:val="006A696E"/>
    <w:rsid w:val="006A6A1D"/>
    <w:rsid w:val="006A6B54"/>
    <w:rsid w:val="006A6DEF"/>
    <w:rsid w:val="006A7036"/>
    <w:rsid w:val="006A73B5"/>
    <w:rsid w:val="006A74BE"/>
    <w:rsid w:val="006A78FA"/>
    <w:rsid w:val="006A7946"/>
    <w:rsid w:val="006A7AFC"/>
    <w:rsid w:val="006A7B1C"/>
    <w:rsid w:val="006A7C99"/>
    <w:rsid w:val="006A7CE5"/>
    <w:rsid w:val="006A7E7E"/>
    <w:rsid w:val="006B00CB"/>
    <w:rsid w:val="006B019C"/>
    <w:rsid w:val="006B01CE"/>
    <w:rsid w:val="006B07FC"/>
    <w:rsid w:val="006B08C6"/>
    <w:rsid w:val="006B0D54"/>
    <w:rsid w:val="006B0DB3"/>
    <w:rsid w:val="006B0EFA"/>
    <w:rsid w:val="006B0F35"/>
    <w:rsid w:val="006B1208"/>
    <w:rsid w:val="006B1260"/>
    <w:rsid w:val="006B1305"/>
    <w:rsid w:val="006B162C"/>
    <w:rsid w:val="006B2214"/>
    <w:rsid w:val="006B2248"/>
    <w:rsid w:val="006B2541"/>
    <w:rsid w:val="006B25BE"/>
    <w:rsid w:val="006B2757"/>
    <w:rsid w:val="006B2E87"/>
    <w:rsid w:val="006B3105"/>
    <w:rsid w:val="006B3220"/>
    <w:rsid w:val="006B33A3"/>
    <w:rsid w:val="006B34BA"/>
    <w:rsid w:val="006B35B7"/>
    <w:rsid w:val="006B4E68"/>
    <w:rsid w:val="006B545E"/>
    <w:rsid w:val="006B5B19"/>
    <w:rsid w:val="006B5CA7"/>
    <w:rsid w:val="006B5D17"/>
    <w:rsid w:val="006B5F68"/>
    <w:rsid w:val="006B6183"/>
    <w:rsid w:val="006B62C9"/>
    <w:rsid w:val="006B648A"/>
    <w:rsid w:val="006B64A1"/>
    <w:rsid w:val="006B656A"/>
    <w:rsid w:val="006B65B2"/>
    <w:rsid w:val="006B6C11"/>
    <w:rsid w:val="006B6CC2"/>
    <w:rsid w:val="006B6D58"/>
    <w:rsid w:val="006B6FAC"/>
    <w:rsid w:val="006B7044"/>
    <w:rsid w:val="006B72B7"/>
    <w:rsid w:val="006B7729"/>
    <w:rsid w:val="006B7C06"/>
    <w:rsid w:val="006B7D90"/>
    <w:rsid w:val="006C03ED"/>
    <w:rsid w:val="006C03EF"/>
    <w:rsid w:val="006C05D5"/>
    <w:rsid w:val="006C0628"/>
    <w:rsid w:val="006C0B2B"/>
    <w:rsid w:val="006C0EC6"/>
    <w:rsid w:val="006C0F01"/>
    <w:rsid w:val="006C1024"/>
    <w:rsid w:val="006C1172"/>
    <w:rsid w:val="006C12A5"/>
    <w:rsid w:val="006C14ED"/>
    <w:rsid w:val="006C1576"/>
    <w:rsid w:val="006C1803"/>
    <w:rsid w:val="006C192E"/>
    <w:rsid w:val="006C1A0A"/>
    <w:rsid w:val="006C1E55"/>
    <w:rsid w:val="006C1EED"/>
    <w:rsid w:val="006C2536"/>
    <w:rsid w:val="006C260C"/>
    <w:rsid w:val="006C26E1"/>
    <w:rsid w:val="006C2778"/>
    <w:rsid w:val="006C28F1"/>
    <w:rsid w:val="006C2C34"/>
    <w:rsid w:val="006C2F8F"/>
    <w:rsid w:val="006C3216"/>
    <w:rsid w:val="006C3764"/>
    <w:rsid w:val="006C38BB"/>
    <w:rsid w:val="006C406F"/>
    <w:rsid w:val="006C40DC"/>
    <w:rsid w:val="006C41DD"/>
    <w:rsid w:val="006C4A44"/>
    <w:rsid w:val="006C4BAB"/>
    <w:rsid w:val="006C5409"/>
    <w:rsid w:val="006C554C"/>
    <w:rsid w:val="006C56DB"/>
    <w:rsid w:val="006C56FB"/>
    <w:rsid w:val="006C5F0E"/>
    <w:rsid w:val="006C620D"/>
    <w:rsid w:val="006C62A4"/>
    <w:rsid w:val="006C6BF6"/>
    <w:rsid w:val="006C6C2C"/>
    <w:rsid w:val="006C6E99"/>
    <w:rsid w:val="006C6FA5"/>
    <w:rsid w:val="006C6FD7"/>
    <w:rsid w:val="006C70FB"/>
    <w:rsid w:val="006C783C"/>
    <w:rsid w:val="006C7C5E"/>
    <w:rsid w:val="006C7F6D"/>
    <w:rsid w:val="006D00DA"/>
    <w:rsid w:val="006D02B6"/>
    <w:rsid w:val="006D02C0"/>
    <w:rsid w:val="006D0B1F"/>
    <w:rsid w:val="006D0C90"/>
    <w:rsid w:val="006D0D8B"/>
    <w:rsid w:val="006D0F39"/>
    <w:rsid w:val="006D14F5"/>
    <w:rsid w:val="006D179E"/>
    <w:rsid w:val="006D180A"/>
    <w:rsid w:val="006D1D64"/>
    <w:rsid w:val="006D2469"/>
    <w:rsid w:val="006D24DD"/>
    <w:rsid w:val="006D2911"/>
    <w:rsid w:val="006D3206"/>
    <w:rsid w:val="006D32AD"/>
    <w:rsid w:val="006D385A"/>
    <w:rsid w:val="006D3895"/>
    <w:rsid w:val="006D394D"/>
    <w:rsid w:val="006D39E2"/>
    <w:rsid w:val="006D3F31"/>
    <w:rsid w:val="006D43BD"/>
    <w:rsid w:val="006D44DB"/>
    <w:rsid w:val="006D45D9"/>
    <w:rsid w:val="006D4A0E"/>
    <w:rsid w:val="006D4B78"/>
    <w:rsid w:val="006D4CF6"/>
    <w:rsid w:val="006D4D7E"/>
    <w:rsid w:val="006D5171"/>
    <w:rsid w:val="006D561B"/>
    <w:rsid w:val="006D5AEA"/>
    <w:rsid w:val="006D5C1A"/>
    <w:rsid w:val="006D5CC7"/>
    <w:rsid w:val="006D5EED"/>
    <w:rsid w:val="006D6040"/>
    <w:rsid w:val="006D61AF"/>
    <w:rsid w:val="006D651B"/>
    <w:rsid w:val="006D651E"/>
    <w:rsid w:val="006D69DC"/>
    <w:rsid w:val="006D6B38"/>
    <w:rsid w:val="006D6C04"/>
    <w:rsid w:val="006D6DDC"/>
    <w:rsid w:val="006D6EEE"/>
    <w:rsid w:val="006D71E7"/>
    <w:rsid w:val="006D737E"/>
    <w:rsid w:val="006D7614"/>
    <w:rsid w:val="006D7627"/>
    <w:rsid w:val="006D797A"/>
    <w:rsid w:val="006D7A0E"/>
    <w:rsid w:val="006D7B2E"/>
    <w:rsid w:val="006D7C47"/>
    <w:rsid w:val="006D7DD5"/>
    <w:rsid w:val="006E019E"/>
    <w:rsid w:val="006E04E1"/>
    <w:rsid w:val="006E06AE"/>
    <w:rsid w:val="006E083C"/>
    <w:rsid w:val="006E08C7"/>
    <w:rsid w:val="006E0B7D"/>
    <w:rsid w:val="006E0BD5"/>
    <w:rsid w:val="006E0C88"/>
    <w:rsid w:val="006E12D3"/>
    <w:rsid w:val="006E1E6A"/>
    <w:rsid w:val="006E1E90"/>
    <w:rsid w:val="006E214F"/>
    <w:rsid w:val="006E2203"/>
    <w:rsid w:val="006E2386"/>
    <w:rsid w:val="006E2531"/>
    <w:rsid w:val="006E29CB"/>
    <w:rsid w:val="006E2A6D"/>
    <w:rsid w:val="006E2EAD"/>
    <w:rsid w:val="006E3207"/>
    <w:rsid w:val="006E370E"/>
    <w:rsid w:val="006E3A86"/>
    <w:rsid w:val="006E4227"/>
    <w:rsid w:val="006E42C5"/>
    <w:rsid w:val="006E44ED"/>
    <w:rsid w:val="006E4D41"/>
    <w:rsid w:val="006E4F7E"/>
    <w:rsid w:val="006E5076"/>
    <w:rsid w:val="006E5426"/>
    <w:rsid w:val="006E59B9"/>
    <w:rsid w:val="006E59CD"/>
    <w:rsid w:val="006E5A56"/>
    <w:rsid w:val="006E5D47"/>
    <w:rsid w:val="006E6366"/>
    <w:rsid w:val="006E6692"/>
    <w:rsid w:val="006E6BFD"/>
    <w:rsid w:val="006E710F"/>
    <w:rsid w:val="006E711C"/>
    <w:rsid w:val="006E7264"/>
    <w:rsid w:val="006E73EB"/>
    <w:rsid w:val="006E7571"/>
    <w:rsid w:val="006E7742"/>
    <w:rsid w:val="006E7748"/>
    <w:rsid w:val="006E7DA2"/>
    <w:rsid w:val="006F020A"/>
    <w:rsid w:val="006F0681"/>
    <w:rsid w:val="006F0743"/>
    <w:rsid w:val="006F0771"/>
    <w:rsid w:val="006F07D3"/>
    <w:rsid w:val="006F085F"/>
    <w:rsid w:val="006F0BEB"/>
    <w:rsid w:val="006F0F8B"/>
    <w:rsid w:val="006F1328"/>
    <w:rsid w:val="006F13BE"/>
    <w:rsid w:val="006F1CCD"/>
    <w:rsid w:val="006F1F77"/>
    <w:rsid w:val="006F25C5"/>
    <w:rsid w:val="006F25FF"/>
    <w:rsid w:val="006F2800"/>
    <w:rsid w:val="006F283B"/>
    <w:rsid w:val="006F2C3A"/>
    <w:rsid w:val="006F2F4B"/>
    <w:rsid w:val="006F316D"/>
    <w:rsid w:val="006F3E03"/>
    <w:rsid w:val="006F4297"/>
    <w:rsid w:val="006F450F"/>
    <w:rsid w:val="006F4793"/>
    <w:rsid w:val="006F48E8"/>
    <w:rsid w:val="006F49A6"/>
    <w:rsid w:val="006F4EF7"/>
    <w:rsid w:val="006F4F99"/>
    <w:rsid w:val="006F50A8"/>
    <w:rsid w:val="006F54A5"/>
    <w:rsid w:val="006F558A"/>
    <w:rsid w:val="006F55A0"/>
    <w:rsid w:val="006F56DE"/>
    <w:rsid w:val="006F576F"/>
    <w:rsid w:val="006F58D9"/>
    <w:rsid w:val="006F5A82"/>
    <w:rsid w:val="006F5F22"/>
    <w:rsid w:val="006F64F3"/>
    <w:rsid w:val="006F6896"/>
    <w:rsid w:val="006F6BB1"/>
    <w:rsid w:val="006F6C05"/>
    <w:rsid w:val="006F709E"/>
    <w:rsid w:val="006F7234"/>
    <w:rsid w:val="006F7242"/>
    <w:rsid w:val="006F7288"/>
    <w:rsid w:val="006F72B0"/>
    <w:rsid w:val="006F752B"/>
    <w:rsid w:val="006F771D"/>
    <w:rsid w:val="006F77B5"/>
    <w:rsid w:val="006F780C"/>
    <w:rsid w:val="006F78DF"/>
    <w:rsid w:val="006F7DF5"/>
    <w:rsid w:val="006F7E1F"/>
    <w:rsid w:val="006F7F73"/>
    <w:rsid w:val="0070018C"/>
    <w:rsid w:val="00700B88"/>
    <w:rsid w:val="00700F7F"/>
    <w:rsid w:val="00700FDE"/>
    <w:rsid w:val="0070126B"/>
    <w:rsid w:val="00701437"/>
    <w:rsid w:val="00701AA1"/>
    <w:rsid w:val="00701AD3"/>
    <w:rsid w:val="00701E41"/>
    <w:rsid w:val="00701FCC"/>
    <w:rsid w:val="0070207F"/>
    <w:rsid w:val="00702117"/>
    <w:rsid w:val="0070259F"/>
    <w:rsid w:val="00702636"/>
    <w:rsid w:val="007026F7"/>
    <w:rsid w:val="007029D0"/>
    <w:rsid w:val="00702F20"/>
    <w:rsid w:val="00702F27"/>
    <w:rsid w:val="0070346B"/>
    <w:rsid w:val="007035E4"/>
    <w:rsid w:val="00703662"/>
    <w:rsid w:val="00703A73"/>
    <w:rsid w:val="00703A9B"/>
    <w:rsid w:val="00703EFB"/>
    <w:rsid w:val="00703F79"/>
    <w:rsid w:val="00704298"/>
    <w:rsid w:val="007043F0"/>
    <w:rsid w:val="00704AB6"/>
    <w:rsid w:val="00704D81"/>
    <w:rsid w:val="00704E9C"/>
    <w:rsid w:val="00705053"/>
    <w:rsid w:val="007050E1"/>
    <w:rsid w:val="007051ED"/>
    <w:rsid w:val="0070560A"/>
    <w:rsid w:val="0070563A"/>
    <w:rsid w:val="00705B3C"/>
    <w:rsid w:val="00706898"/>
    <w:rsid w:val="00706928"/>
    <w:rsid w:val="0070747C"/>
    <w:rsid w:val="0070778F"/>
    <w:rsid w:val="0070797D"/>
    <w:rsid w:val="00707BE3"/>
    <w:rsid w:val="00707F2D"/>
    <w:rsid w:val="007106FA"/>
    <w:rsid w:val="007112E5"/>
    <w:rsid w:val="0071146F"/>
    <w:rsid w:val="0071159E"/>
    <w:rsid w:val="007119E4"/>
    <w:rsid w:val="00711A23"/>
    <w:rsid w:val="00711F03"/>
    <w:rsid w:val="00711F17"/>
    <w:rsid w:val="007124AD"/>
    <w:rsid w:val="007128E8"/>
    <w:rsid w:val="00712AB2"/>
    <w:rsid w:val="00712C67"/>
    <w:rsid w:val="00713060"/>
    <w:rsid w:val="0071315E"/>
    <w:rsid w:val="00713295"/>
    <w:rsid w:val="0071362F"/>
    <w:rsid w:val="00713730"/>
    <w:rsid w:val="007137B1"/>
    <w:rsid w:val="007137F6"/>
    <w:rsid w:val="007139AB"/>
    <w:rsid w:val="00713C1E"/>
    <w:rsid w:val="00713DC4"/>
    <w:rsid w:val="00713F8B"/>
    <w:rsid w:val="00714065"/>
    <w:rsid w:val="007144B6"/>
    <w:rsid w:val="0071478E"/>
    <w:rsid w:val="00714AA3"/>
    <w:rsid w:val="00714B85"/>
    <w:rsid w:val="00714BBA"/>
    <w:rsid w:val="00714BC5"/>
    <w:rsid w:val="00714BF3"/>
    <w:rsid w:val="0071503B"/>
    <w:rsid w:val="0071568B"/>
    <w:rsid w:val="00715967"/>
    <w:rsid w:val="00715D81"/>
    <w:rsid w:val="007161CE"/>
    <w:rsid w:val="0071664A"/>
    <w:rsid w:val="007166BE"/>
    <w:rsid w:val="0071674F"/>
    <w:rsid w:val="007167B7"/>
    <w:rsid w:val="00716CA6"/>
    <w:rsid w:val="00716E1C"/>
    <w:rsid w:val="0071701E"/>
    <w:rsid w:val="00717390"/>
    <w:rsid w:val="00717774"/>
    <w:rsid w:val="007178DD"/>
    <w:rsid w:val="00717A6A"/>
    <w:rsid w:val="00717AAD"/>
    <w:rsid w:val="00717CD7"/>
    <w:rsid w:val="007202F2"/>
    <w:rsid w:val="007203FE"/>
    <w:rsid w:val="007204A8"/>
    <w:rsid w:val="00720910"/>
    <w:rsid w:val="007209A1"/>
    <w:rsid w:val="00720B97"/>
    <w:rsid w:val="00720E29"/>
    <w:rsid w:val="00720E5C"/>
    <w:rsid w:val="0072107B"/>
    <w:rsid w:val="007214F7"/>
    <w:rsid w:val="00721949"/>
    <w:rsid w:val="00721BC2"/>
    <w:rsid w:val="007220DA"/>
    <w:rsid w:val="0072236A"/>
    <w:rsid w:val="007224B6"/>
    <w:rsid w:val="007227FB"/>
    <w:rsid w:val="007229D4"/>
    <w:rsid w:val="00722CC7"/>
    <w:rsid w:val="00722EA2"/>
    <w:rsid w:val="007232E2"/>
    <w:rsid w:val="00723413"/>
    <w:rsid w:val="007239C2"/>
    <w:rsid w:val="00723A18"/>
    <w:rsid w:val="00723B3F"/>
    <w:rsid w:val="00723C5B"/>
    <w:rsid w:val="00723CD2"/>
    <w:rsid w:val="0072419C"/>
    <w:rsid w:val="007248DD"/>
    <w:rsid w:val="00724D72"/>
    <w:rsid w:val="007252CB"/>
    <w:rsid w:val="00725927"/>
    <w:rsid w:val="00725A50"/>
    <w:rsid w:val="00725CF0"/>
    <w:rsid w:val="00725FC0"/>
    <w:rsid w:val="007263D9"/>
    <w:rsid w:val="00726632"/>
    <w:rsid w:val="0072672A"/>
    <w:rsid w:val="00727094"/>
    <w:rsid w:val="007271DD"/>
    <w:rsid w:val="007272F2"/>
    <w:rsid w:val="00727D30"/>
    <w:rsid w:val="00727E6F"/>
    <w:rsid w:val="007301EA"/>
    <w:rsid w:val="00730205"/>
    <w:rsid w:val="007303F1"/>
    <w:rsid w:val="00730518"/>
    <w:rsid w:val="00730DAF"/>
    <w:rsid w:val="00731038"/>
    <w:rsid w:val="007311B5"/>
    <w:rsid w:val="00731341"/>
    <w:rsid w:val="007316D1"/>
    <w:rsid w:val="00731A1B"/>
    <w:rsid w:val="00731AD1"/>
    <w:rsid w:val="00731AFE"/>
    <w:rsid w:val="00731F46"/>
    <w:rsid w:val="00732526"/>
    <w:rsid w:val="007326F7"/>
    <w:rsid w:val="00732A10"/>
    <w:rsid w:val="00732A6D"/>
    <w:rsid w:val="00732CBF"/>
    <w:rsid w:val="00732F1B"/>
    <w:rsid w:val="0073306A"/>
    <w:rsid w:val="0073332D"/>
    <w:rsid w:val="00733351"/>
    <w:rsid w:val="007338D4"/>
    <w:rsid w:val="007338FB"/>
    <w:rsid w:val="00733969"/>
    <w:rsid w:val="00733C23"/>
    <w:rsid w:val="007340B7"/>
    <w:rsid w:val="00734140"/>
    <w:rsid w:val="0073447C"/>
    <w:rsid w:val="007344F3"/>
    <w:rsid w:val="0073488E"/>
    <w:rsid w:val="0073490A"/>
    <w:rsid w:val="0073491E"/>
    <w:rsid w:val="00734C1C"/>
    <w:rsid w:val="00734E53"/>
    <w:rsid w:val="00735125"/>
    <w:rsid w:val="0073547A"/>
    <w:rsid w:val="0073554C"/>
    <w:rsid w:val="007355BC"/>
    <w:rsid w:val="007357B0"/>
    <w:rsid w:val="0073581D"/>
    <w:rsid w:val="00735A96"/>
    <w:rsid w:val="00735C4B"/>
    <w:rsid w:val="00735C8C"/>
    <w:rsid w:val="00735EBB"/>
    <w:rsid w:val="007360BA"/>
    <w:rsid w:val="007363A4"/>
    <w:rsid w:val="0073675F"/>
    <w:rsid w:val="007369E2"/>
    <w:rsid w:val="00736CB4"/>
    <w:rsid w:val="007374ED"/>
    <w:rsid w:val="007379A1"/>
    <w:rsid w:val="00737D02"/>
    <w:rsid w:val="00737D22"/>
    <w:rsid w:val="00740808"/>
    <w:rsid w:val="00740942"/>
    <w:rsid w:val="00740950"/>
    <w:rsid w:val="00740A0B"/>
    <w:rsid w:val="00740E75"/>
    <w:rsid w:val="00741179"/>
    <w:rsid w:val="007411C9"/>
    <w:rsid w:val="00741382"/>
    <w:rsid w:val="007415BB"/>
    <w:rsid w:val="00741668"/>
    <w:rsid w:val="007417D2"/>
    <w:rsid w:val="0074194E"/>
    <w:rsid w:val="00741C0E"/>
    <w:rsid w:val="00741D0E"/>
    <w:rsid w:val="00741D6A"/>
    <w:rsid w:val="00741EF4"/>
    <w:rsid w:val="00741F89"/>
    <w:rsid w:val="00741FEA"/>
    <w:rsid w:val="007420BF"/>
    <w:rsid w:val="00742183"/>
    <w:rsid w:val="0074235B"/>
    <w:rsid w:val="0074245A"/>
    <w:rsid w:val="007425B7"/>
    <w:rsid w:val="007427D6"/>
    <w:rsid w:val="00742949"/>
    <w:rsid w:val="00742A09"/>
    <w:rsid w:val="00742D20"/>
    <w:rsid w:val="00742E4A"/>
    <w:rsid w:val="00742F23"/>
    <w:rsid w:val="00742F7A"/>
    <w:rsid w:val="007430A8"/>
    <w:rsid w:val="0074315F"/>
    <w:rsid w:val="00743207"/>
    <w:rsid w:val="007437A7"/>
    <w:rsid w:val="00743B44"/>
    <w:rsid w:val="00743C1B"/>
    <w:rsid w:val="00743D39"/>
    <w:rsid w:val="00743DBA"/>
    <w:rsid w:val="00743E59"/>
    <w:rsid w:val="00744041"/>
    <w:rsid w:val="00744260"/>
    <w:rsid w:val="00744857"/>
    <w:rsid w:val="00744AE9"/>
    <w:rsid w:val="00744B84"/>
    <w:rsid w:val="00744C85"/>
    <w:rsid w:val="00744F9D"/>
    <w:rsid w:val="007452B7"/>
    <w:rsid w:val="0074555F"/>
    <w:rsid w:val="00745A8B"/>
    <w:rsid w:val="00745B4F"/>
    <w:rsid w:val="00745E40"/>
    <w:rsid w:val="00746364"/>
    <w:rsid w:val="00746515"/>
    <w:rsid w:val="00746D1C"/>
    <w:rsid w:val="00746D31"/>
    <w:rsid w:val="00746D62"/>
    <w:rsid w:val="00746E20"/>
    <w:rsid w:val="00746F32"/>
    <w:rsid w:val="00747286"/>
    <w:rsid w:val="007475AF"/>
    <w:rsid w:val="007476F3"/>
    <w:rsid w:val="00747D11"/>
    <w:rsid w:val="00747E87"/>
    <w:rsid w:val="00750050"/>
    <w:rsid w:val="007506B1"/>
    <w:rsid w:val="00750781"/>
    <w:rsid w:val="007509B1"/>
    <w:rsid w:val="00750A51"/>
    <w:rsid w:val="00750B52"/>
    <w:rsid w:val="00750D8D"/>
    <w:rsid w:val="007513F0"/>
    <w:rsid w:val="007514B7"/>
    <w:rsid w:val="007516C0"/>
    <w:rsid w:val="00751BE2"/>
    <w:rsid w:val="00751EB5"/>
    <w:rsid w:val="007521D8"/>
    <w:rsid w:val="0075236E"/>
    <w:rsid w:val="007523D1"/>
    <w:rsid w:val="0075284F"/>
    <w:rsid w:val="007528DB"/>
    <w:rsid w:val="0075296C"/>
    <w:rsid w:val="00752A5A"/>
    <w:rsid w:val="00752ADB"/>
    <w:rsid w:val="007531C4"/>
    <w:rsid w:val="00753A7B"/>
    <w:rsid w:val="0075431A"/>
    <w:rsid w:val="00754483"/>
    <w:rsid w:val="00754A91"/>
    <w:rsid w:val="00754B66"/>
    <w:rsid w:val="00754C0B"/>
    <w:rsid w:val="007551BE"/>
    <w:rsid w:val="007556CD"/>
    <w:rsid w:val="007558C2"/>
    <w:rsid w:val="00755CAE"/>
    <w:rsid w:val="00755D19"/>
    <w:rsid w:val="00755E0D"/>
    <w:rsid w:val="00755F25"/>
    <w:rsid w:val="00756106"/>
    <w:rsid w:val="0075643C"/>
    <w:rsid w:val="0075651A"/>
    <w:rsid w:val="00756611"/>
    <w:rsid w:val="0075679F"/>
    <w:rsid w:val="007567E5"/>
    <w:rsid w:val="00756BF9"/>
    <w:rsid w:val="00756CF2"/>
    <w:rsid w:val="00757601"/>
    <w:rsid w:val="0075783F"/>
    <w:rsid w:val="00757C97"/>
    <w:rsid w:val="007607A5"/>
    <w:rsid w:val="00760959"/>
    <w:rsid w:val="00760A00"/>
    <w:rsid w:val="00760A32"/>
    <w:rsid w:val="00760AE6"/>
    <w:rsid w:val="00760BE4"/>
    <w:rsid w:val="00760C09"/>
    <w:rsid w:val="00760D42"/>
    <w:rsid w:val="00760E3F"/>
    <w:rsid w:val="00760E7E"/>
    <w:rsid w:val="007619D7"/>
    <w:rsid w:val="00761C24"/>
    <w:rsid w:val="00762153"/>
    <w:rsid w:val="007628C8"/>
    <w:rsid w:val="00762921"/>
    <w:rsid w:val="0076325F"/>
    <w:rsid w:val="00763277"/>
    <w:rsid w:val="00763605"/>
    <w:rsid w:val="007636B3"/>
    <w:rsid w:val="0076463F"/>
    <w:rsid w:val="0076484A"/>
    <w:rsid w:val="00764C7A"/>
    <w:rsid w:val="00764F64"/>
    <w:rsid w:val="00765532"/>
    <w:rsid w:val="007655E9"/>
    <w:rsid w:val="007657E1"/>
    <w:rsid w:val="00765961"/>
    <w:rsid w:val="00765996"/>
    <w:rsid w:val="00765A81"/>
    <w:rsid w:val="00765AB3"/>
    <w:rsid w:val="00765EF9"/>
    <w:rsid w:val="00765FAF"/>
    <w:rsid w:val="007663E5"/>
    <w:rsid w:val="00766AF4"/>
    <w:rsid w:val="00766CF5"/>
    <w:rsid w:val="00766D4A"/>
    <w:rsid w:val="00767001"/>
    <w:rsid w:val="0076715D"/>
    <w:rsid w:val="00767793"/>
    <w:rsid w:val="00767A1B"/>
    <w:rsid w:val="00767D3C"/>
    <w:rsid w:val="007701C3"/>
    <w:rsid w:val="00770388"/>
    <w:rsid w:val="007705DF"/>
    <w:rsid w:val="007706A3"/>
    <w:rsid w:val="00770B0F"/>
    <w:rsid w:val="00771435"/>
    <w:rsid w:val="007715E5"/>
    <w:rsid w:val="00771734"/>
    <w:rsid w:val="00771A73"/>
    <w:rsid w:val="00771AEF"/>
    <w:rsid w:val="00771BED"/>
    <w:rsid w:val="00771CB5"/>
    <w:rsid w:val="00771CF8"/>
    <w:rsid w:val="00771DF0"/>
    <w:rsid w:val="00771F37"/>
    <w:rsid w:val="0077203E"/>
    <w:rsid w:val="0077215B"/>
    <w:rsid w:val="007723E7"/>
    <w:rsid w:val="0077266F"/>
    <w:rsid w:val="00772D00"/>
    <w:rsid w:val="00772E04"/>
    <w:rsid w:val="00773980"/>
    <w:rsid w:val="00773993"/>
    <w:rsid w:val="007742FE"/>
    <w:rsid w:val="00774742"/>
    <w:rsid w:val="0077478E"/>
    <w:rsid w:val="007748B6"/>
    <w:rsid w:val="00774FAF"/>
    <w:rsid w:val="00775971"/>
    <w:rsid w:val="0077606D"/>
    <w:rsid w:val="007764AD"/>
    <w:rsid w:val="00776946"/>
    <w:rsid w:val="00776958"/>
    <w:rsid w:val="00776973"/>
    <w:rsid w:val="00776A25"/>
    <w:rsid w:val="00776C6E"/>
    <w:rsid w:val="00776E05"/>
    <w:rsid w:val="00776E2D"/>
    <w:rsid w:val="0077717B"/>
    <w:rsid w:val="00777B71"/>
    <w:rsid w:val="00777F85"/>
    <w:rsid w:val="00780187"/>
    <w:rsid w:val="00780511"/>
    <w:rsid w:val="007806D2"/>
    <w:rsid w:val="00780798"/>
    <w:rsid w:val="00780AE2"/>
    <w:rsid w:val="00780B1A"/>
    <w:rsid w:val="00780C8D"/>
    <w:rsid w:val="00780CA6"/>
    <w:rsid w:val="007814F0"/>
    <w:rsid w:val="007815D9"/>
    <w:rsid w:val="00781723"/>
    <w:rsid w:val="00781825"/>
    <w:rsid w:val="00781ADC"/>
    <w:rsid w:val="00782047"/>
    <w:rsid w:val="0078226E"/>
    <w:rsid w:val="00782333"/>
    <w:rsid w:val="00782A75"/>
    <w:rsid w:val="00782C00"/>
    <w:rsid w:val="00782F08"/>
    <w:rsid w:val="007831C0"/>
    <w:rsid w:val="007833EB"/>
    <w:rsid w:val="00783478"/>
    <w:rsid w:val="00783837"/>
    <w:rsid w:val="00783B63"/>
    <w:rsid w:val="00783C0C"/>
    <w:rsid w:val="00783F0C"/>
    <w:rsid w:val="00783FA6"/>
    <w:rsid w:val="0078409F"/>
    <w:rsid w:val="00784146"/>
    <w:rsid w:val="00784542"/>
    <w:rsid w:val="00784604"/>
    <w:rsid w:val="007846F5"/>
    <w:rsid w:val="00784702"/>
    <w:rsid w:val="00784895"/>
    <w:rsid w:val="00784A3B"/>
    <w:rsid w:val="00784A6D"/>
    <w:rsid w:val="00784F99"/>
    <w:rsid w:val="0078514E"/>
    <w:rsid w:val="0078543C"/>
    <w:rsid w:val="00785531"/>
    <w:rsid w:val="00785914"/>
    <w:rsid w:val="00785D05"/>
    <w:rsid w:val="007860A1"/>
    <w:rsid w:val="007865BD"/>
    <w:rsid w:val="007866CA"/>
    <w:rsid w:val="00786890"/>
    <w:rsid w:val="007868D8"/>
    <w:rsid w:val="00786A12"/>
    <w:rsid w:val="00786B48"/>
    <w:rsid w:val="00786C86"/>
    <w:rsid w:val="00786C9F"/>
    <w:rsid w:val="00786D98"/>
    <w:rsid w:val="0078726B"/>
    <w:rsid w:val="0078778D"/>
    <w:rsid w:val="0078779B"/>
    <w:rsid w:val="00787973"/>
    <w:rsid w:val="0078798B"/>
    <w:rsid w:val="00787A3B"/>
    <w:rsid w:val="00787AA7"/>
    <w:rsid w:val="00787B6E"/>
    <w:rsid w:val="007900D0"/>
    <w:rsid w:val="007902BE"/>
    <w:rsid w:val="00790794"/>
    <w:rsid w:val="00790E77"/>
    <w:rsid w:val="00791268"/>
    <w:rsid w:val="00791318"/>
    <w:rsid w:val="007917F9"/>
    <w:rsid w:val="00791DFD"/>
    <w:rsid w:val="00792591"/>
    <w:rsid w:val="00792B35"/>
    <w:rsid w:val="00792BA2"/>
    <w:rsid w:val="00792D25"/>
    <w:rsid w:val="00792E0E"/>
    <w:rsid w:val="00792F14"/>
    <w:rsid w:val="00792FFF"/>
    <w:rsid w:val="0079304D"/>
    <w:rsid w:val="007934C3"/>
    <w:rsid w:val="007938B2"/>
    <w:rsid w:val="00793937"/>
    <w:rsid w:val="007939DD"/>
    <w:rsid w:val="00793A3C"/>
    <w:rsid w:val="00793BBE"/>
    <w:rsid w:val="00793C9B"/>
    <w:rsid w:val="00793D6B"/>
    <w:rsid w:val="00793F83"/>
    <w:rsid w:val="007941FC"/>
    <w:rsid w:val="007943A9"/>
    <w:rsid w:val="00794489"/>
    <w:rsid w:val="0079451D"/>
    <w:rsid w:val="00794686"/>
    <w:rsid w:val="00794767"/>
    <w:rsid w:val="00794840"/>
    <w:rsid w:val="00794ACC"/>
    <w:rsid w:val="00794DF0"/>
    <w:rsid w:val="0079500C"/>
    <w:rsid w:val="007951AA"/>
    <w:rsid w:val="0079527B"/>
    <w:rsid w:val="00795497"/>
    <w:rsid w:val="007958B7"/>
    <w:rsid w:val="00795E1A"/>
    <w:rsid w:val="007962F0"/>
    <w:rsid w:val="0079652A"/>
    <w:rsid w:val="007969A3"/>
    <w:rsid w:val="007969B4"/>
    <w:rsid w:val="00796C54"/>
    <w:rsid w:val="007973B9"/>
    <w:rsid w:val="0079751F"/>
    <w:rsid w:val="00797FEC"/>
    <w:rsid w:val="00797FFC"/>
    <w:rsid w:val="007A0168"/>
    <w:rsid w:val="007A032F"/>
    <w:rsid w:val="007A05D1"/>
    <w:rsid w:val="007A05F7"/>
    <w:rsid w:val="007A072D"/>
    <w:rsid w:val="007A0A65"/>
    <w:rsid w:val="007A0ABC"/>
    <w:rsid w:val="007A0FF5"/>
    <w:rsid w:val="007A112A"/>
    <w:rsid w:val="007A115C"/>
    <w:rsid w:val="007A1347"/>
    <w:rsid w:val="007A15B0"/>
    <w:rsid w:val="007A160A"/>
    <w:rsid w:val="007A188C"/>
    <w:rsid w:val="007A1AA7"/>
    <w:rsid w:val="007A2603"/>
    <w:rsid w:val="007A28FF"/>
    <w:rsid w:val="007A2978"/>
    <w:rsid w:val="007A2AD5"/>
    <w:rsid w:val="007A2B3C"/>
    <w:rsid w:val="007A2CE7"/>
    <w:rsid w:val="007A2D6D"/>
    <w:rsid w:val="007A2FED"/>
    <w:rsid w:val="007A3309"/>
    <w:rsid w:val="007A3493"/>
    <w:rsid w:val="007A34C3"/>
    <w:rsid w:val="007A3B56"/>
    <w:rsid w:val="007A3DA4"/>
    <w:rsid w:val="007A3ECF"/>
    <w:rsid w:val="007A444A"/>
    <w:rsid w:val="007A44EC"/>
    <w:rsid w:val="007A455C"/>
    <w:rsid w:val="007A478A"/>
    <w:rsid w:val="007A4A01"/>
    <w:rsid w:val="007A4DFC"/>
    <w:rsid w:val="007A4E36"/>
    <w:rsid w:val="007A4FC5"/>
    <w:rsid w:val="007A4FFA"/>
    <w:rsid w:val="007A51C4"/>
    <w:rsid w:val="007A5279"/>
    <w:rsid w:val="007A528B"/>
    <w:rsid w:val="007A52C4"/>
    <w:rsid w:val="007A532A"/>
    <w:rsid w:val="007A551D"/>
    <w:rsid w:val="007A57BC"/>
    <w:rsid w:val="007A5E12"/>
    <w:rsid w:val="007A698D"/>
    <w:rsid w:val="007A6B3B"/>
    <w:rsid w:val="007A718C"/>
    <w:rsid w:val="007A73C5"/>
    <w:rsid w:val="007A7AEE"/>
    <w:rsid w:val="007A7B63"/>
    <w:rsid w:val="007A7E90"/>
    <w:rsid w:val="007B00D1"/>
    <w:rsid w:val="007B044D"/>
    <w:rsid w:val="007B04AE"/>
    <w:rsid w:val="007B04E4"/>
    <w:rsid w:val="007B067E"/>
    <w:rsid w:val="007B08C3"/>
    <w:rsid w:val="007B090E"/>
    <w:rsid w:val="007B0997"/>
    <w:rsid w:val="007B0A49"/>
    <w:rsid w:val="007B0BCB"/>
    <w:rsid w:val="007B102E"/>
    <w:rsid w:val="007B12AF"/>
    <w:rsid w:val="007B17C3"/>
    <w:rsid w:val="007B18F0"/>
    <w:rsid w:val="007B1D3C"/>
    <w:rsid w:val="007B1D71"/>
    <w:rsid w:val="007B1DA6"/>
    <w:rsid w:val="007B2B63"/>
    <w:rsid w:val="007B2EF8"/>
    <w:rsid w:val="007B3086"/>
    <w:rsid w:val="007B325F"/>
    <w:rsid w:val="007B342E"/>
    <w:rsid w:val="007B3449"/>
    <w:rsid w:val="007B345E"/>
    <w:rsid w:val="007B3613"/>
    <w:rsid w:val="007B3715"/>
    <w:rsid w:val="007B3793"/>
    <w:rsid w:val="007B3897"/>
    <w:rsid w:val="007B3B4F"/>
    <w:rsid w:val="007B3B7D"/>
    <w:rsid w:val="007B3CF5"/>
    <w:rsid w:val="007B3E2A"/>
    <w:rsid w:val="007B3EF7"/>
    <w:rsid w:val="007B4009"/>
    <w:rsid w:val="007B4573"/>
    <w:rsid w:val="007B465F"/>
    <w:rsid w:val="007B483C"/>
    <w:rsid w:val="007B4A8A"/>
    <w:rsid w:val="007B4CE6"/>
    <w:rsid w:val="007B587D"/>
    <w:rsid w:val="007B5889"/>
    <w:rsid w:val="007B5E7A"/>
    <w:rsid w:val="007B6013"/>
    <w:rsid w:val="007B601E"/>
    <w:rsid w:val="007B618E"/>
    <w:rsid w:val="007B6626"/>
    <w:rsid w:val="007B66F2"/>
    <w:rsid w:val="007B69E0"/>
    <w:rsid w:val="007B7189"/>
    <w:rsid w:val="007B7224"/>
    <w:rsid w:val="007B78CF"/>
    <w:rsid w:val="007B790F"/>
    <w:rsid w:val="007B793F"/>
    <w:rsid w:val="007B7941"/>
    <w:rsid w:val="007C0064"/>
    <w:rsid w:val="007C0287"/>
    <w:rsid w:val="007C0560"/>
    <w:rsid w:val="007C0796"/>
    <w:rsid w:val="007C0E32"/>
    <w:rsid w:val="007C1463"/>
    <w:rsid w:val="007C1A86"/>
    <w:rsid w:val="007C1BE9"/>
    <w:rsid w:val="007C1E88"/>
    <w:rsid w:val="007C20FD"/>
    <w:rsid w:val="007C236F"/>
    <w:rsid w:val="007C2766"/>
    <w:rsid w:val="007C27A9"/>
    <w:rsid w:val="007C2A81"/>
    <w:rsid w:val="007C2ACB"/>
    <w:rsid w:val="007C30FC"/>
    <w:rsid w:val="007C345A"/>
    <w:rsid w:val="007C38A8"/>
    <w:rsid w:val="007C3B5F"/>
    <w:rsid w:val="007C3D09"/>
    <w:rsid w:val="007C3D3B"/>
    <w:rsid w:val="007C3F70"/>
    <w:rsid w:val="007C40BD"/>
    <w:rsid w:val="007C410E"/>
    <w:rsid w:val="007C4170"/>
    <w:rsid w:val="007C4183"/>
    <w:rsid w:val="007C43CF"/>
    <w:rsid w:val="007C4947"/>
    <w:rsid w:val="007C4C73"/>
    <w:rsid w:val="007C4CB1"/>
    <w:rsid w:val="007C508E"/>
    <w:rsid w:val="007C60EB"/>
    <w:rsid w:val="007C613F"/>
    <w:rsid w:val="007C64B4"/>
    <w:rsid w:val="007C6B1C"/>
    <w:rsid w:val="007C6DF5"/>
    <w:rsid w:val="007C6F11"/>
    <w:rsid w:val="007C7124"/>
    <w:rsid w:val="007C7482"/>
    <w:rsid w:val="007C7811"/>
    <w:rsid w:val="007C79F5"/>
    <w:rsid w:val="007D014C"/>
    <w:rsid w:val="007D045E"/>
    <w:rsid w:val="007D0BDE"/>
    <w:rsid w:val="007D145E"/>
    <w:rsid w:val="007D1986"/>
    <w:rsid w:val="007D1BF2"/>
    <w:rsid w:val="007D1D4E"/>
    <w:rsid w:val="007D1F43"/>
    <w:rsid w:val="007D1F8A"/>
    <w:rsid w:val="007D2138"/>
    <w:rsid w:val="007D21C8"/>
    <w:rsid w:val="007D23F1"/>
    <w:rsid w:val="007D23FD"/>
    <w:rsid w:val="007D2E50"/>
    <w:rsid w:val="007D2FC9"/>
    <w:rsid w:val="007D32F2"/>
    <w:rsid w:val="007D348C"/>
    <w:rsid w:val="007D34CD"/>
    <w:rsid w:val="007D38CB"/>
    <w:rsid w:val="007D421A"/>
    <w:rsid w:val="007D45B7"/>
    <w:rsid w:val="007D463B"/>
    <w:rsid w:val="007D4735"/>
    <w:rsid w:val="007D47CA"/>
    <w:rsid w:val="007D4A88"/>
    <w:rsid w:val="007D52B1"/>
    <w:rsid w:val="007D5B80"/>
    <w:rsid w:val="007D6265"/>
    <w:rsid w:val="007D6378"/>
    <w:rsid w:val="007D6552"/>
    <w:rsid w:val="007D67ED"/>
    <w:rsid w:val="007D67F1"/>
    <w:rsid w:val="007D68B1"/>
    <w:rsid w:val="007D6A43"/>
    <w:rsid w:val="007D717A"/>
    <w:rsid w:val="007D7389"/>
    <w:rsid w:val="007D7545"/>
    <w:rsid w:val="007D764B"/>
    <w:rsid w:val="007D78B8"/>
    <w:rsid w:val="007D78C5"/>
    <w:rsid w:val="007D7FF0"/>
    <w:rsid w:val="007E0345"/>
    <w:rsid w:val="007E04CB"/>
    <w:rsid w:val="007E05C3"/>
    <w:rsid w:val="007E0A1B"/>
    <w:rsid w:val="007E0BDC"/>
    <w:rsid w:val="007E0D05"/>
    <w:rsid w:val="007E0D9E"/>
    <w:rsid w:val="007E0DBA"/>
    <w:rsid w:val="007E1196"/>
    <w:rsid w:val="007E11BD"/>
    <w:rsid w:val="007E1304"/>
    <w:rsid w:val="007E1520"/>
    <w:rsid w:val="007E15B6"/>
    <w:rsid w:val="007E1830"/>
    <w:rsid w:val="007E198D"/>
    <w:rsid w:val="007E1A42"/>
    <w:rsid w:val="007E1DC2"/>
    <w:rsid w:val="007E1F8A"/>
    <w:rsid w:val="007E1FEB"/>
    <w:rsid w:val="007E20B3"/>
    <w:rsid w:val="007E2146"/>
    <w:rsid w:val="007E241C"/>
    <w:rsid w:val="007E29B0"/>
    <w:rsid w:val="007E2CF7"/>
    <w:rsid w:val="007E2D57"/>
    <w:rsid w:val="007E2D8F"/>
    <w:rsid w:val="007E2DFD"/>
    <w:rsid w:val="007E316B"/>
    <w:rsid w:val="007E38C9"/>
    <w:rsid w:val="007E3B78"/>
    <w:rsid w:val="007E3DD4"/>
    <w:rsid w:val="007E4650"/>
    <w:rsid w:val="007E46EF"/>
    <w:rsid w:val="007E51F2"/>
    <w:rsid w:val="007E54BE"/>
    <w:rsid w:val="007E55E2"/>
    <w:rsid w:val="007E55F2"/>
    <w:rsid w:val="007E57F4"/>
    <w:rsid w:val="007E5F1E"/>
    <w:rsid w:val="007E5FAA"/>
    <w:rsid w:val="007E613D"/>
    <w:rsid w:val="007E67AE"/>
    <w:rsid w:val="007E6E1D"/>
    <w:rsid w:val="007E6F29"/>
    <w:rsid w:val="007E758D"/>
    <w:rsid w:val="007E75BD"/>
    <w:rsid w:val="007E75E2"/>
    <w:rsid w:val="007E7715"/>
    <w:rsid w:val="007E7752"/>
    <w:rsid w:val="007F01FA"/>
    <w:rsid w:val="007F0B57"/>
    <w:rsid w:val="007F0C1A"/>
    <w:rsid w:val="007F0EED"/>
    <w:rsid w:val="007F1292"/>
    <w:rsid w:val="007F14FB"/>
    <w:rsid w:val="007F172B"/>
    <w:rsid w:val="007F1763"/>
    <w:rsid w:val="007F1840"/>
    <w:rsid w:val="007F1AEC"/>
    <w:rsid w:val="007F1F6B"/>
    <w:rsid w:val="007F211D"/>
    <w:rsid w:val="007F2D48"/>
    <w:rsid w:val="007F2DF3"/>
    <w:rsid w:val="007F311A"/>
    <w:rsid w:val="007F32A7"/>
    <w:rsid w:val="007F33AD"/>
    <w:rsid w:val="007F34CA"/>
    <w:rsid w:val="007F35D6"/>
    <w:rsid w:val="007F36B3"/>
    <w:rsid w:val="007F38A0"/>
    <w:rsid w:val="007F38F1"/>
    <w:rsid w:val="007F3FF9"/>
    <w:rsid w:val="007F401E"/>
    <w:rsid w:val="007F403E"/>
    <w:rsid w:val="007F4145"/>
    <w:rsid w:val="007F41BB"/>
    <w:rsid w:val="007F43C2"/>
    <w:rsid w:val="007F452C"/>
    <w:rsid w:val="007F4CC3"/>
    <w:rsid w:val="007F4CE5"/>
    <w:rsid w:val="007F4D5A"/>
    <w:rsid w:val="007F50E7"/>
    <w:rsid w:val="007F53F1"/>
    <w:rsid w:val="007F551C"/>
    <w:rsid w:val="007F5664"/>
    <w:rsid w:val="007F5C77"/>
    <w:rsid w:val="007F6342"/>
    <w:rsid w:val="007F71F3"/>
    <w:rsid w:val="007F72D9"/>
    <w:rsid w:val="007F73A3"/>
    <w:rsid w:val="007F7470"/>
    <w:rsid w:val="007F78AD"/>
    <w:rsid w:val="007F7A8F"/>
    <w:rsid w:val="008006D5"/>
    <w:rsid w:val="00800990"/>
    <w:rsid w:val="00800F06"/>
    <w:rsid w:val="008010D9"/>
    <w:rsid w:val="0080159E"/>
    <w:rsid w:val="00801928"/>
    <w:rsid w:val="00801A6C"/>
    <w:rsid w:val="00802172"/>
    <w:rsid w:val="008026E0"/>
    <w:rsid w:val="00803A6B"/>
    <w:rsid w:val="00803AE6"/>
    <w:rsid w:val="00803B92"/>
    <w:rsid w:val="008043DE"/>
    <w:rsid w:val="0080440C"/>
    <w:rsid w:val="00804EFE"/>
    <w:rsid w:val="008050A6"/>
    <w:rsid w:val="008050D8"/>
    <w:rsid w:val="008050E1"/>
    <w:rsid w:val="00805391"/>
    <w:rsid w:val="00805499"/>
    <w:rsid w:val="0080592B"/>
    <w:rsid w:val="008059A9"/>
    <w:rsid w:val="00805A5F"/>
    <w:rsid w:val="00805CDC"/>
    <w:rsid w:val="00806248"/>
    <w:rsid w:val="0080627C"/>
    <w:rsid w:val="008062FA"/>
    <w:rsid w:val="0080630D"/>
    <w:rsid w:val="0080657B"/>
    <w:rsid w:val="00806604"/>
    <w:rsid w:val="00806AFB"/>
    <w:rsid w:val="00806B48"/>
    <w:rsid w:val="00806C7A"/>
    <w:rsid w:val="008072D2"/>
    <w:rsid w:val="0080743B"/>
    <w:rsid w:val="008076ED"/>
    <w:rsid w:val="008102A1"/>
    <w:rsid w:val="008103DF"/>
    <w:rsid w:val="00810499"/>
    <w:rsid w:val="00810646"/>
    <w:rsid w:val="008109D6"/>
    <w:rsid w:val="00810AC1"/>
    <w:rsid w:val="00810D23"/>
    <w:rsid w:val="00810DDF"/>
    <w:rsid w:val="00810E91"/>
    <w:rsid w:val="0081189C"/>
    <w:rsid w:val="00811AA6"/>
    <w:rsid w:val="00811C91"/>
    <w:rsid w:val="00811CAB"/>
    <w:rsid w:val="00811E8A"/>
    <w:rsid w:val="0081245C"/>
    <w:rsid w:val="008127A7"/>
    <w:rsid w:val="00812899"/>
    <w:rsid w:val="00812C1D"/>
    <w:rsid w:val="00812E89"/>
    <w:rsid w:val="00813083"/>
    <w:rsid w:val="00813194"/>
    <w:rsid w:val="008132E0"/>
    <w:rsid w:val="00813374"/>
    <w:rsid w:val="0081337B"/>
    <w:rsid w:val="008134E5"/>
    <w:rsid w:val="008138EF"/>
    <w:rsid w:val="0081391F"/>
    <w:rsid w:val="00813D86"/>
    <w:rsid w:val="00814412"/>
    <w:rsid w:val="00814445"/>
    <w:rsid w:val="00814BE1"/>
    <w:rsid w:val="00814E29"/>
    <w:rsid w:val="00814F6F"/>
    <w:rsid w:val="00815008"/>
    <w:rsid w:val="00815055"/>
    <w:rsid w:val="0081547A"/>
    <w:rsid w:val="0081585B"/>
    <w:rsid w:val="0081587F"/>
    <w:rsid w:val="00815A74"/>
    <w:rsid w:val="00815AE8"/>
    <w:rsid w:val="00815BFC"/>
    <w:rsid w:val="00815DCF"/>
    <w:rsid w:val="00816425"/>
    <w:rsid w:val="008165EF"/>
    <w:rsid w:val="008166BC"/>
    <w:rsid w:val="008167AB"/>
    <w:rsid w:val="008167C7"/>
    <w:rsid w:val="00816B11"/>
    <w:rsid w:val="00816CD0"/>
    <w:rsid w:val="00816FB0"/>
    <w:rsid w:val="008176E3"/>
    <w:rsid w:val="008179BC"/>
    <w:rsid w:val="00817DEB"/>
    <w:rsid w:val="00817EC9"/>
    <w:rsid w:val="008200ED"/>
    <w:rsid w:val="00820160"/>
    <w:rsid w:val="00820366"/>
    <w:rsid w:val="008203BE"/>
    <w:rsid w:val="008206BA"/>
    <w:rsid w:val="00820799"/>
    <w:rsid w:val="00820991"/>
    <w:rsid w:val="00820AB0"/>
    <w:rsid w:val="008210A4"/>
    <w:rsid w:val="008210E1"/>
    <w:rsid w:val="00821361"/>
    <w:rsid w:val="00821618"/>
    <w:rsid w:val="00821650"/>
    <w:rsid w:val="00821A57"/>
    <w:rsid w:val="00821AE2"/>
    <w:rsid w:val="00821DB8"/>
    <w:rsid w:val="00821E17"/>
    <w:rsid w:val="00821FED"/>
    <w:rsid w:val="0082229F"/>
    <w:rsid w:val="008227DE"/>
    <w:rsid w:val="0082295D"/>
    <w:rsid w:val="00822A37"/>
    <w:rsid w:val="00822B65"/>
    <w:rsid w:val="00822BC0"/>
    <w:rsid w:val="00822E1D"/>
    <w:rsid w:val="00822EFE"/>
    <w:rsid w:val="00822F14"/>
    <w:rsid w:val="008231E1"/>
    <w:rsid w:val="008235ED"/>
    <w:rsid w:val="00823D30"/>
    <w:rsid w:val="0082438A"/>
    <w:rsid w:val="00824610"/>
    <w:rsid w:val="00824619"/>
    <w:rsid w:val="008248B8"/>
    <w:rsid w:val="0082492D"/>
    <w:rsid w:val="00824BCB"/>
    <w:rsid w:val="00824C80"/>
    <w:rsid w:val="00824D52"/>
    <w:rsid w:val="00824E4B"/>
    <w:rsid w:val="00825658"/>
    <w:rsid w:val="0082572B"/>
    <w:rsid w:val="008259FC"/>
    <w:rsid w:val="00825C70"/>
    <w:rsid w:val="00825E7A"/>
    <w:rsid w:val="00826055"/>
    <w:rsid w:val="008263CF"/>
    <w:rsid w:val="008266AD"/>
    <w:rsid w:val="00826C19"/>
    <w:rsid w:val="00826C9D"/>
    <w:rsid w:val="008274AB"/>
    <w:rsid w:val="00827694"/>
    <w:rsid w:val="00827878"/>
    <w:rsid w:val="00827936"/>
    <w:rsid w:val="00827C0A"/>
    <w:rsid w:val="00827D3B"/>
    <w:rsid w:val="00830029"/>
    <w:rsid w:val="0083054E"/>
    <w:rsid w:val="00830598"/>
    <w:rsid w:val="008308A7"/>
    <w:rsid w:val="008309B7"/>
    <w:rsid w:val="00830A85"/>
    <w:rsid w:val="00830C38"/>
    <w:rsid w:val="00830C61"/>
    <w:rsid w:val="00830D86"/>
    <w:rsid w:val="008320E2"/>
    <w:rsid w:val="008325DC"/>
    <w:rsid w:val="00832BE3"/>
    <w:rsid w:val="00832BE4"/>
    <w:rsid w:val="00832D79"/>
    <w:rsid w:val="00832DFE"/>
    <w:rsid w:val="00832E2E"/>
    <w:rsid w:val="00832E90"/>
    <w:rsid w:val="00833253"/>
    <w:rsid w:val="008338D8"/>
    <w:rsid w:val="00833ADE"/>
    <w:rsid w:val="00833B65"/>
    <w:rsid w:val="00833E09"/>
    <w:rsid w:val="00833F3D"/>
    <w:rsid w:val="008340BA"/>
    <w:rsid w:val="00834110"/>
    <w:rsid w:val="00834276"/>
    <w:rsid w:val="00834C25"/>
    <w:rsid w:val="00834DA9"/>
    <w:rsid w:val="00835934"/>
    <w:rsid w:val="00835B9B"/>
    <w:rsid w:val="00836137"/>
    <w:rsid w:val="008366FD"/>
    <w:rsid w:val="00836830"/>
    <w:rsid w:val="00836D8F"/>
    <w:rsid w:val="00836E82"/>
    <w:rsid w:val="00837124"/>
    <w:rsid w:val="008373F2"/>
    <w:rsid w:val="00837674"/>
    <w:rsid w:val="0083791F"/>
    <w:rsid w:val="00837A0A"/>
    <w:rsid w:val="00837BBB"/>
    <w:rsid w:val="008405BA"/>
    <w:rsid w:val="00840945"/>
    <w:rsid w:val="00840D83"/>
    <w:rsid w:val="00841054"/>
    <w:rsid w:val="008413D0"/>
    <w:rsid w:val="0084152F"/>
    <w:rsid w:val="00841AE9"/>
    <w:rsid w:val="0084237D"/>
    <w:rsid w:val="008430FB"/>
    <w:rsid w:val="008434D4"/>
    <w:rsid w:val="008435FE"/>
    <w:rsid w:val="008437BD"/>
    <w:rsid w:val="00843999"/>
    <w:rsid w:val="008440BB"/>
    <w:rsid w:val="00844450"/>
    <w:rsid w:val="0084449F"/>
    <w:rsid w:val="0084461B"/>
    <w:rsid w:val="00844812"/>
    <w:rsid w:val="00844894"/>
    <w:rsid w:val="0084497E"/>
    <w:rsid w:val="00844B64"/>
    <w:rsid w:val="00844D87"/>
    <w:rsid w:val="00844F10"/>
    <w:rsid w:val="00845220"/>
    <w:rsid w:val="008454F7"/>
    <w:rsid w:val="00846194"/>
    <w:rsid w:val="008461A0"/>
    <w:rsid w:val="00846467"/>
    <w:rsid w:val="00846858"/>
    <w:rsid w:val="00846E15"/>
    <w:rsid w:val="00847244"/>
    <w:rsid w:val="008474A3"/>
    <w:rsid w:val="008476B7"/>
    <w:rsid w:val="0084789B"/>
    <w:rsid w:val="0084798E"/>
    <w:rsid w:val="00847AC8"/>
    <w:rsid w:val="00847B2C"/>
    <w:rsid w:val="00847BD3"/>
    <w:rsid w:val="00847BF7"/>
    <w:rsid w:val="00847E35"/>
    <w:rsid w:val="008501C4"/>
    <w:rsid w:val="008501F7"/>
    <w:rsid w:val="0085021D"/>
    <w:rsid w:val="008507D5"/>
    <w:rsid w:val="00850917"/>
    <w:rsid w:val="00850CAF"/>
    <w:rsid w:val="008512AB"/>
    <w:rsid w:val="0085131C"/>
    <w:rsid w:val="00851348"/>
    <w:rsid w:val="008517C0"/>
    <w:rsid w:val="00851A17"/>
    <w:rsid w:val="00851A56"/>
    <w:rsid w:val="00851B84"/>
    <w:rsid w:val="00851D69"/>
    <w:rsid w:val="00851FAB"/>
    <w:rsid w:val="0085222A"/>
    <w:rsid w:val="0085291D"/>
    <w:rsid w:val="00852C87"/>
    <w:rsid w:val="00852D45"/>
    <w:rsid w:val="008532C4"/>
    <w:rsid w:val="00853694"/>
    <w:rsid w:val="008537C9"/>
    <w:rsid w:val="00853CAA"/>
    <w:rsid w:val="00854145"/>
    <w:rsid w:val="008544A4"/>
    <w:rsid w:val="00854585"/>
    <w:rsid w:val="0085472A"/>
    <w:rsid w:val="008549FD"/>
    <w:rsid w:val="00854D9B"/>
    <w:rsid w:val="00854F1D"/>
    <w:rsid w:val="00854F65"/>
    <w:rsid w:val="00855193"/>
    <w:rsid w:val="00855272"/>
    <w:rsid w:val="008553AF"/>
    <w:rsid w:val="008553C6"/>
    <w:rsid w:val="00855406"/>
    <w:rsid w:val="008556C5"/>
    <w:rsid w:val="008558EA"/>
    <w:rsid w:val="00855BDA"/>
    <w:rsid w:val="00855E10"/>
    <w:rsid w:val="00855E3E"/>
    <w:rsid w:val="00855E51"/>
    <w:rsid w:val="00856232"/>
    <w:rsid w:val="008562E8"/>
    <w:rsid w:val="0085638A"/>
    <w:rsid w:val="00856677"/>
    <w:rsid w:val="00856E73"/>
    <w:rsid w:val="00857261"/>
    <w:rsid w:val="008572DB"/>
    <w:rsid w:val="00857322"/>
    <w:rsid w:val="008578A6"/>
    <w:rsid w:val="00857950"/>
    <w:rsid w:val="008579CA"/>
    <w:rsid w:val="00857CB3"/>
    <w:rsid w:val="00857E5A"/>
    <w:rsid w:val="00860339"/>
    <w:rsid w:val="00860895"/>
    <w:rsid w:val="008608CC"/>
    <w:rsid w:val="00860C44"/>
    <w:rsid w:val="008611D4"/>
    <w:rsid w:val="00861D43"/>
    <w:rsid w:val="00861DE6"/>
    <w:rsid w:val="00861FC3"/>
    <w:rsid w:val="00862144"/>
    <w:rsid w:val="008625BD"/>
    <w:rsid w:val="0086269F"/>
    <w:rsid w:val="00862704"/>
    <w:rsid w:val="00862798"/>
    <w:rsid w:val="00862979"/>
    <w:rsid w:val="00862BAE"/>
    <w:rsid w:val="00862D4A"/>
    <w:rsid w:val="00862E5D"/>
    <w:rsid w:val="00863497"/>
    <w:rsid w:val="008636B3"/>
    <w:rsid w:val="008637D1"/>
    <w:rsid w:val="00863E3D"/>
    <w:rsid w:val="00863FBE"/>
    <w:rsid w:val="00864610"/>
    <w:rsid w:val="0086476E"/>
    <w:rsid w:val="0086514C"/>
    <w:rsid w:val="008656DB"/>
    <w:rsid w:val="00865B4F"/>
    <w:rsid w:val="008662FD"/>
    <w:rsid w:val="00866F29"/>
    <w:rsid w:val="008670B6"/>
    <w:rsid w:val="008673F3"/>
    <w:rsid w:val="0086745A"/>
    <w:rsid w:val="00867531"/>
    <w:rsid w:val="008675C9"/>
    <w:rsid w:val="00867605"/>
    <w:rsid w:val="00867666"/>
    <w:rsid w:val="008679AC"/>
    <w:rsid w:val="00867B85"/>
    <w:rsid w:val="00867F73"/>
    <w:rsid w:val="0087021A"/>
    <w:rsid w:val="00870392"/>
    <w:rsid w:val="008703ED"/>
    <w:rsid w:val="00870A17"/>
    <w:rsid w:val="00870B03"/>
    <w:rsid w:val="00871269"/>
    <w:rsid w:val="008715BF"/>
    <w:rsid w:val="008723A3"/>
    <w:rsid w:val="00872731"/>
    <w:rsid w:val="008728C7"/>
    <w:rsid w:val="00872BDB"/>
    <w:rsid w:val="008732F3"/>
    <w:rsid w:val="008736DE"/>
    <w:rsid w:val="00873C41"/>
    <w:rsid w:val="00873EFC"/>
    <w:rsid w:val="008742DB"/>
    <w:rsid w:val="008744B4"/>
    <w:rsid w:val="008749BE"/>
    <w:rsid w:val="0087501D"/>
    <w:rsid w:val="0087540D"/>
    <w:rsid w:val="00875BDA"/>
    <w:rsid w:val="00875FC1"/>
    <w:rsid w:val="0087613F"/>
    <w:rsid w:val="00876685"/>
    <w:rsid w:val="0087688D"/>
    <w:rsid w:val="00876B4F"/>
    <w:rsid w:val="00876E9C"/>
    <w:rsid w:val="008775E3"/>
    <w:rsid w:val="0087771C"/>
    <w:rsid w:val="008777D6"/>
    <w:rsid w:val="00877BA4"/>
    <w:rsid w:val="00877C14"/>
    <w:rsid w:val="00877C4E"/>
    <w:rsid w:val="00877DCD"/>
    <w:rsid w:val="00877E6E"/>
    <w:rsid w:val="00880408"/>
    <w:rsid w:val="00880838"/>
    <w:rsid w:val="0088170C"/>
    <w:rsid w:val="00881E3A"/>
    <w:rsid w:val="008821B7"/>
    <w:rsid w:val="00882390"/>
    <w:rsid w:val="00882819"/>
    <w:rsid w:val="00882D14"/>
    <w:rsid w:val="00882DEC"/>
    <w:rsid w:val="0088328B"/>
    <w:rsid w:val="008839FA"/>
    <w:rsid w:val="00883AF5"/>
    <w:rsid w:val="00883BE4"/>
    <w:rsid w:val="00883C39"/>
    <w:rsid w:val="00883C48"/>
    <w:rsid w:val="00883D40"/>
    <w:rsid w:val="00883DFE"/>
    <w:rsid w:val="00883F1C"/>
    <w:rsid w:val="00884490"/>
    <w:rsid w:val="008848A2"/>
    <w:rsid w:val="00884FBB"/>
    <w:rsid w:val="00885182"/>
    <w:rsid w:val="0088525B"/>
    <w:rsid w:val="00885878"/>
    <w:rsid w:val="00885984"/>
    <w:rsid w:val="00885AEF"/>
    <w:rsid w:val="00885CE3"/>
    <w:rsid w:val="00885DE5"/>
    <w:rsid w:val="00886179"/>
    <w:rsid w:val="00886180"/>
    <w:rsid w:val="008862C5"/>
    <w:rsid w:val="008866BE"/>
    <w:rsid w:val="00886AF7"/>
    <w:rsid w:val="00886CB7"/>
    <w:rsid w:val="00887BEF"/>
    <w:rsid w:val="00887DAC"/>
    <w:rsid w:val="00887F15"/>
    <w:rsid w:val="00887F5A"/>
    <w:rsid w:val="00890120"/>
    <w:rsid w:val="0089065A"/>
    <w:rsid w:val="008906DF"/>
    <w:rsid w:val="00890D8F"/>
    <w:rsid w:val="008911CE"/>
    <w:rsid w:val="008917DD"/>
    <w:rsid w:val="008918F7"/>
    <w:rsid w:val="00891E86"/>
    <w:rsid w:val="00891F93"/>
    <w:rsid w:val="00891FC2"/>
    <w:rsid w:val="0089219D"/>
    <w:rsid w:val="0089223B"/>
    <w:rsid w:val="00892F46"/>
    <w:rsid w:val="0089315B"/>
    <w:rsid w:val="00893409"/>
    <w:rsid w:val="0089362D"/>
    <w:rsid w:val="0089383B"/>
    <w:rsid w:val="008939DD"/>
    <w:rsid w:val="00893A46"/>
    <w:rsid w:val="00893AF4"/>
    <w:rsid w:val="00893B6B"/>
    <w:rsid w:val="00893BA5"/>
    <w:rsid w:val="00893C5A"/>
    <w:rsid w:val="00893D9B"/>
    <w:rsid w:val="00893DFE"/>
    <w:rsid w:val="00893E34"/>
    <w:rsid w:val="0089406B"/>
    <w:rsid w:val="008940BB"/>
    <w:rsid w:val="0089456F"/>
    <w:rsid w:val="00894BF5"/>
    <w:rsid w:val="00895107"/>
    <w:rsid w:val="008952BD"/>
    <w:rsid w:val="00895810"/>
    <w:rsid w:val="00895843"/>
    <w:rsid w:val="00895DCE"/>
    <w:rsid w:val="008961E5"/>
    <w:rsid w:val="00896D85"/>
    <w:rsid w:val="00896ED2"/>
    <w:rsid w:val="00896FBF"/>
    <w:rsid w:val="0089738A"/>
    <w:rsid w:val="00897434"/>
    <w:rsid w:val="00897445"/>
    <w:rsid w:val="00897485"/>
    <w:rsid w:val="00897ADE"/>
    <w:rsid w:val="00897AEB"/>
    <w:rsid w:val="00897BC9"/>
    <w:rsid w:val="008A0314"/>
    <w:rsid w:val="008A0B65"/>
    <w:rsid w:val="008A0CB0"/>
    <w:rsid w:val="008A1888"/>
    <w:rsid w:val="008A1A00"/>
    <w:rsid w:val="008A1CB2"/>
    <w:rsid w:val="008A1DC7"/>
    <w:rsid w:val="008A1DCF"/>
    <w:rsid w:val="008A1DF7"/>
    <w:rsid w:val="008A23E6"/>
    <w:rsid w:val="008A2498"/>
    <w:rsid w:val="008A2588"/>
    <w:rsid w:val="008A2AD0"/>
    <w:rsid w:val="008A2AE6"/>
    <w:rsid w:val="008A2D2A"/>
    <w:rsid w:val="008A3152"/>
    <w:rsid w:val="008A3456"/>
    <w:rsid w:val="008A3A87"/>
    <w:rsid w:val="008A3C8B"/>
    <w:rsid w:val="008A417F"/>
    <w:rsid w:val="008A4456"/>
    <w:rsid w:val="008A48BB"/>
    <w:rsid w:val="008A49B7"/>
    <w:rsid w:val="008A4B35"/>
    <w:rsid w:val="008A4D64"/>
    <w:rsid w:val="008A4FA6"/>
    <w:rsid w:val="008A50FD"/>
    <w:rsid w:val="008A54D5"/>
    <w:rsid w:val="008A5AB7"/>
    <w:rsid w:val="008A5D26"/>
    <w:rsid w:val="008A617C"/>
    <w:rsid w:val="008A66E6"/>
    <w:rsid w:val="008A691B"/>
    <w:rsid w:val="008A6BED"/>
    <w:rsid w:val="008A6DD6"/>
    <w:rsid w:val="008A7091"/>
    <w:rsid w:val="008A7115"/>
    <w:rsid w:val="008A713B"/>
    <w:rsid w:val="008A715E"/>
    <w:rsid w:val="008A7460"/>
    <w:rsid w:val="008A7472"/>
    <w:rsid w:val="008B00FE"/>
    <w:rsid w:val="008B01A4"/>
    <w:rsid w:val="008B0872"/>
    <w:rsid w:val="008B0C73"/>
    <w:rsid w:val="008B0D04"/>
    <w:rsid w:val="008B0FA9"/>
    <w:rsid w:val="008B12BE"/>
    <w:rsid w:val="008B16C2"/>
    <w:rsid w:val="008B1BB7"/>
    <w:rsid w:val="008B1E2E"/>
    <w:rsid w:val="008B1E44"/>
    <w:rsid w:val="008B24F3"/>
    <w:rsid w:val="008B2736"/>
    <w:rsid w:val="008B2A45"/>
    <w:rsid w:val="008B2ADE"/>
    <w:rsid w:val="008B2B8C"/>
    <w:rsid w:val="008B2BF3"/>
    <w:rsid w:val="008B2EA9"/>
    <w:rsid w:val="008B2EE2"/>
    <w:rsid w:val="008B344E"/>
    <w:rsid w:val="008B3473"/>
    <w:rsid w:val="008B369D"/>
    <w:rsid w:val="008B3AB3"/>
    <w:rsid w:val="008B4791"/>
    <w:rsid w:val="008B490D"/>
    <w:rsid w:val="008B4CFE"/>
    <w:rsid w:val="008B4E92"/>
    <w:rsid w:val="008B4EF0"/>
    <w:rsid w:val="008B5043"/>
    <w:rsid w:val="008B53B9"/>
    <w:rsid w:val="008B56DA"/>
    <w:rsid w:val="008B58EF"/>
    <w:rsid w:val="008B59CC"/>
    <w:rsid w:val="008B5D40"/>
    <w:rsid w:val="008B606D"/>
    <w:rsid w:val="008B6178"/>
    <w:rsid w:val="008B65F4"/>
    <w:rsid w:val="008B692D"/>
    <w:rsid w:val="008B6A0B"/>
    <w:rsid w:val="008B6A3C"/>
    <w:rsid w:val="008B6F34"/>
    <w:rsid w:val="008B6F35"/>
    <w:rsid w:val="008B730B"/>
    <w:rsid w:val="008B756F"/>
    <w:rsid w:val="008B76FB"/>
    <w:rsid w:val="008B778D"/>
    <w:rsid w:val="008B7C7C"/>
    <w:rsid w:val="008C0489"/>
    <w:rsid w:val="008C0859"/>
    <w:rsid w:val="008C088F"/>
    <w:rsid w:val="008C11C8"/>
    <w:rsid w:val="008C12E1"/>
    <w:rsid w:val="008C155C"/>
    <w:rsid w:val="008C1588"/>
    <w:rsid w:val="008C1840"/>
    <w:rsid w:val="008C1DC3"/>
    <w:rsid w:val="008C1F9E"/>
    <w:rsid w:val="008C2467"/>
    <w:rsid w:val="008C28D8"/>
    <w:rsid w:val="008C2B0B"/>
    <w:rsid w:val="008C2D01"/>
    <w:rsid w:val="008C2DB0"/>
    <w:rsid w:val="008C2E4F"/>
    <w:rsid w:val="008C3028"/>
    <w:rsid w:val="008C311C"/>
    <w:rsid w:val="008C32E3"/>
    <w:rsid w:val="008C32F6"/>
    <w:rsid w:val="008C36F1"/>
    <w:rsid w:val="008C372F"/>
    <w:rsid w:val="008C3D7A"/>
    <w:rsid w:val="008C415B"/>
    <w:rsid w:val="008C42C0"/>
    <w:rsid w:val="008C45AA"/>
    <w:rsid w:val="008C45BB"/>
    <w:rsid w:val="008C4622"/>
    <w:rsid w:val="008C4B80"/>
    <w:rsid w:val="008C4C22"/>
    <w:rsid w:val="008C4DD2"/>
    <w:rsid w:val="008C4EFE"/>
    <w:rsid w:val="008C53E2"/>
    <w:rsid w:val="008C568D"/>
    <w:rsid w:val="008C5969"/>
    <w:rsid w:val="008C5ACE"/>
    <w:rsid w:val="008C5B6D"/>
    <w:rsid w:val="008C5BF9"/>
    <w:rsid w:val="008C5E72"/>
    <w:rsid w:val="008C6517"/>
    <w:rsid w:val="008C65C8"/>
    <w:rsid w:val="008C6855"/>
    <w:rsid w:val="008C6C10"/>
    <w:rsid w:val="008C6C36"/>
    <w:rsid w:val="008C6D2F"/>
    <w:rsid w:val="008C6D9D"/>
    <w:rsid w:val="008C7095"/>
    <w:rsid w:val="008C71B0"/>
    <w:rsid w:val="008C75A8"/>
    <w:rsid w:val="008C7993"/>
    <w:rsid w:val="008C7B0D"/>
    <w:rsid w:val="008C7B46"/>
    <w:rsid w:val="008C7CEA"/>
    <w:rsid w:val="008C7D5A"/>
    <w:rsid w:val="008C7D9A"/>
    <w:rsid w:val="008D0919"/>
    <w:rsid w:val="008D0C48"/>
    <w:rsid w:val="008D0DC7"/>
    <w:rsid w:val="008D0DCA"/>
    <w:rsid w:val="008D1223"/>
    <w:rsid w:val="008D13D6"/>
    <w:rsid w:val="008D197A"/>
    <w:rsid w:val="008D2085"/>
    <w:rsid w:val="008D2391"/>
    <w:rsid w:val="008D331B"/>
    <w:rsid w:val="008D355A"/>
    <w:rsid w:val="008D3750"/>
    <w:rsid w:val="008D3C20"/>
    <w:rsid w:val="008D43EE"/>
    <w:rsid w:val="008D46AE"/>
    <w:rsid w:val="008D47A9"/>
    <w:rsid w:val="008D47D2"/>
    <w:rsid w:val="008D4BBF"/>
    <w:rsid w:val="008D4FDA"/>
    <w:rsid w:val="008D5100"/>
    <w:rsid w:val="008D522A"/>
    <w:rsid w:val="008D52DF"/>
    <w:rsid w:val="008D5590"/>
    <w:rsid w:val="008D56A7"/>
    <w:rsid w:val="008D578E"/>
    <w:rsid w:val="008D5AA9"/>
    <w:rsid w:val="008D5ABC"/>
    <w:rsid w:val="008D61A5"/>
    <w:rsid w:val="008D62BC"/>
    <w:rsid w:val="008D69C3"/>
    <w:rsid w:val="008D6E0B"/>
    <w:rsid w:val="008D7754"/>
    <w:rsid w:val="008D7C44"/>
    <w:rsid w:val="008E0058"/>
    <w:rsid w:val="008E0279"/>
    <w:rsid w:val="008E0311"/>
    <w:rsid w:val="008E03D9"/>
    <w:rsid w:val="008E0D55"/>
    <w:rsid w:val="008E138D"/>
    <w:rsid w:val="008E1440"/>
    <w:rsid w:val="008E178D"/>
    <w:rsid w:val="008E191F"/>
    <w:rsid w:val="008E245A"/>
    <w:rsid w:val="008E2E90"/>
    <w:rsid w:val="008E3563"/>
    <w:rsid w:val="008E3820"/>
    <w:rsid w:val="008E3D11"/>
    <w:rsid w:val="008E3F41"/>
    <w:rsid w:val="008E3F56"/>
    <w:rsid w:val="008E4D31"/>
    <w:rsid w:val="008E4DED"/>
    <w:rsid w:val="008E521C"/>
    <w:rsid w:val="008E567E"/>
    <w:rsid w:val="008E58FD"/>
    <w:rsid w:val="008E5CD9"/>
    <w:rsid w:val="008E5F47"/>
    <w:rsid w:val="008E6460"/>
    <w:rsid w:val="008E65D7"/>
    <w:rsid w:val="008E67EF"/>
    <w:rsid w:val="008E6E58"/>
    <w:rsid w:val="008E70CD"/>
    <w:rsid w:val="008E758B"/>
    <w:rsid w:val="008F0496"/>
    <w:rsid w:val="008F051C"/>
    <w:rsid w:val="008F05DA"/>
    <w:rsid w:val="008F0664"/>
    <w:rsid w:val="008F085C"/>
    <w:rsid w:val="008F0AE9"/>
    <w:rsid w:val="008F0DB8"/>
    <w:rsid w:val="008F0E62"/>
    <w:rsid w:val="008F0F18"/>
    <w:rsid w:val="008F11DA"/>
    <w:rsid w:val="008F132B"/>
    <w:rsid w:val="008F1870"/>
    <w:rsid w:val="008F1A0B"/>
    <w:rsid w:val="008F22B0"/>
    <w:rsid w:val="008F259B"/>
    <w:rsid w:val="008F2666"/>
    <w:rsid w:val="008F266B"/>
    <w:rsid w:val="008F2C4A"/>
    <w:rsid w:val="008F2FC2"/>
    <w:rsid w:val="008F3175"/>
    <w:rsid w:val="008F3473"/>
    <w:rsid w:val="008F3517"/>
    <w:rsid w:val="008F3C77"/>
    <w:rsid w:val="008F47D9"/>
    <w:rsid w:val="008F47F2"/>
    <w:rsid w:val="008F4B56"/>
    <w:rsid w:val="008F4DF3"/>
    <w:rsid w:val="008F5445"/>
    <w:rsid w:val="008F55A7"/>
    <w:rsid w:val="008F5895"/>
    <w:rsid w:val="008F61B6"/>
    <w:rsid w:val="008F67A6"/>
    <w:rsid w:val="008F6973"/>
    <w:rsid w:val="008F6B10"/>
    <w:rsid w:val="008F6D29"/>
    <w:rsid w:val="008F6D6D"/>
    <w:rsid w:val="008F7501"/>
    <w:rsid w:val="008F758E"/>
    <w:rsid w:val="008F762B"/>
    <w:rsid w:val="008F7EC4"/>
    <w:rsid w:val="009003B5"/>
    <w:rsid w:val="0090096C"/>
    <w:rsid w:val="00900977"/>
    <w:rsid w:val="00900A06"/>
    <w:rsid w:val="00900A2E"/>
    <w:rsid w:val="00900BAD"/>
    <w:rsid w:val="00901254"/>
    <w:rsid w:val="00901309"/>
    <w:rsid w:val="00902168"/>
    <w:rsid w:val="00902234"/>
    <w:rsid w:val="0090225D"/>
    <w:rsid w:val="00902540"/>
    <w:rsid w:val="009025CD"/>
    <w:rsid w:val="009029F7"/>
    <w:rsid w:val="00902BC8"/>
    <w:rsid w:val="00902DBC"/>
    <w:rsid w:val="00902FA2"/>
    <w:rsid w:val="00903046"/>
    <w:rsid w:val="00903224"/>
    <w:rsid w:val="00903603"/>
    <w:rsid w:val="0090377D"/>
    <w:rsid w:val="00903C2A"/>
    <w:rsid w:val="00903DCA"/>
    <w:rsid w:val="00903EF6"/>
    <w:rsid w:val="009040CB"/>
    <w:rsid w:val="009045D5"/>
    <w:rsid w:val="009045F6"/>
    <w:rsid w:val="009046FC"/>
    <w:rsid w:val="00904AFE"/>
    <w:rsid w:val="00904D27"/>
    <w:rsid w:val="0090512B"/>
    <w:rsid w:val="009053A1"/>
    <w:rsid w:val="009056E1"/>
    <w:rsid w:val="00905A3D"/>
    <w:rsid w:val="00905C6C"/>
    <w:rsid w:val="00905C95"/>
    <w:rsid w:val="00905D99"/>
    <w:rsid w:val="00905DCA"/>
    <w:rsid w:val="00905E1B"/>
    <w:rsid w:val="00905EA4"/>
    <w:rsid w:val="00905FAA"/>
    <w:rsid w:val="00906184"/>
    <w:rsid w:val="009062CC"/>
    <w:rsid w:val="0090637C"/>
    <w:rsid w:val="00906459"/>
    <w:rsid w:val="0090645E"/>
    <w:rsid w:val="00906490"/>
    <w:rsid w:val="00906938"/>
    <w:rsid w:val="00906951"/>
    <w:rsid w:val="00906B92"/>
    <w:rsid w:val="00906C14"/>
    <w:rsid w:val="00907099"/>
    <w:rsid w:val="009070FC"/>
    <w:rsid w:val="0090721F"/>
    <w:rsid w:val="00907606"/>
    <w:rsid w:val="009077A3"/>
    <w:rsid w:val="009077C5"/>
    <w:rsid w:val="00907871"/>
    <w:rsid w:val="009079F7"/>
    <w:rsid w:val="00907DEC"/>
    <w:rsid w:val="00910167"/>
    <w:rsid w:val="00910213"/>
    <w:rsid w:val="00910455"/>
    <w:rsid w:val="0091066B"/>
    <w:rsid w:val="009106CC"/>
    <w:rsid w:val="00910755"/>
    <w:rsid w:val="009108AF"/>
    <w:rsid w:val="00910E77"/>
    <w:rsid w:val="00910ED5"/>
    <w:rsid w:val="009116A5"/>
    <w:rsid w:val="00911891"/>
    <w:rsid w:val="009118EF"/>
    <w:rsid w:val="00911D00"/>
    <w:rsid w:val="009120CC"/>
    <w:rsid w:val="0091220E"/>
    <w:rsid w:val="009123A4"/>
    <w:rsid w:val="00912750"/>
    <w:rsid w:val="0091287B"/>
    <w:rsid w:val="00912B54"/>
    <w:rsid w:val="00912D32"/>
    <w:rsid w:val="00912D5B"/>
    <w:rsid w:val="0091329B"/>
    <w:rsid w:val="009135B4"/>
    <w:rsid w:val="00913AA7"/>
    <w:rsid w:val="00913CFD"/>
    <w:rsid w:val="009145FD"/>
    <w:rsid w:val="00914658"/>
    <w:rsid w:val="0091472E"/>
    <w:rsid w:val="009147F6"/>
    <w:rsid w:val="0091482B"/>
    <w:rsid w:val="00914A1D"/>
    <w:rsid w:val="00914CC0"/>
    <w:rsid w:val="00915207"/>
    <w:rsid w:val="0091550C"/>
    <w:rsid w:val="00915A61"/>
    <w:rsid w:val="00915DE8"/>
    <w:rsid w:val="00915E38"/>
    <w:rsid w:val="0091619F"/>
    <w:rsid w:val="00916545"/>
    <w:rsid w:val="00917115"/>
    <w:rsid w:val="009172CB"/>
    <w:rsid w:val="00917565"/>
    <w:rsid w:val="0091777F"/>
    <w:rsid w:val="00917959"/>
    <w:rsid w:val="00917AE5"/>
    <w:rsid w:val="00917AF8"/>
    <w:rsid w:val="00920663"/>
    <w:rsid w:val="00920978"/>
    <w:rsid w:val="00920A67"/>
    <w:rsid w:val="00920B59"/>
    <w:rsid w:val="00920FD6"/>
    <w:rsid w:val="0092111A"/>
    <w:rsid w:val="00921264"/>
    <w:rsid w:val="00921293"/>
    <w:rsid w:val="009217DA"/>
    <w:rsid w:val="0092194D"/>
    <w:rsid w:val="0092216F"/>
    <w:rsid w:val="0092228A"/>
    <w:rsid w:val="0092235A"/>
    <w:rsid w:val="00922365"/>
    <w:rsid w:val="00922550"/>
    <w:rsid w:val="009227BD"/>
    <w:rsid w:val="009228F5"/>
    <w:rsid w:val="00922A1C"/>
    <w:rsid w:val="00923174"/>
    <w:rsid w:val="009236C4"/>
    <w:rsid w:val="009236EE"/>
    <w:rsid w:val="00923858"/>
    <w:rsid w:val="00923EEC"/>
    <w:rsid w:val="00923F8E"/>
    <w:rsid w:val="009246B7"/>
    <w:rsid w:val="00924C55"/>
    <w:rsid w:val="00924E63"/>
    <w:rsid w:val="00924F09"/>
    <w:rsid w:val="009251C4"/>
    <w:rsid w:val="00925BB5"/>
    <w:rsid w:val="00925D6E"/>
    <w:rsid w:val="00925E31"/>
    <w:rsid w:val="00925F88"/>
    <w:rsid w:val="00926089"/>
    <w:rsid w:val="00926252"/>
    <w:rsid w:val="00926356"/>
    <w:rsid w:val="00926516"/>
    <w:rsid w:val="00926617"/>
    <w:rsid w:val="009267F6"/>
    <w:rsid w:val="00926C2C"/>
    <w:rsid w:val="0092708B"/>
    <w:rsid w:val="00927403"/>
    <w:rsid w:val="009275FC"/>
    <w:rsid w:val="009276B2"/>
    <w:rsid w:val="009279D7"/>
    <w:rsid w:val="00927C2F"/>
    <w:rsid w:val="00927C8D"/>
    <w:rsid w:val="00930082"/>
    <w:rsid w:val="00930233"/>
    <w:rsid w:val="009313DB"/>
    <w:rsid w:val="009314FC"/>
    <w:rsid w:val="00931DC6"/>
    <w:rsid w:val="00931E89"/>
    <w:rsid w:val="00931FD2"/>
    <w:rsid w:val="00932274"/>
    <w:rsid w:val="009325A6"/>
    <w:rsid w:val="00932628"/>
    <w:rsid w:val="0093283C"/>
    <w:rsid w:val="00932C40"/>
    <w:rsid w:val="00933591"/>
    <w:rsid w:val="009335A6"/>
    <w:rsid w:val="00933762"/>
    <w:rsid w:val="00933F42"/>
    <w:rsid w:val="00934243"/>
    <w:rsid w:val="0093430F"/>
    <w:rsid w:val="00934341"/>
    <w:rsid w:val="009343C3"/>
    <w:rsid w:val="00934802"/>
    <w:rsid w:val="0093482B"/>
    <w:rsid w:val="009349CC"/>
    <w:rsid w:val="009349E6"/>
    <w:rsid w:val="00934A73"/>
    <w:rsid w:val="00934A7C"/>
    <w:rsid w:val="009351B8"/>
    <w:rsid w:val="00935396"/>
    <w:rsid w:val="00935470"/>
    <w:rsid w:val="009356CC"/>
    <w:rsid w:val="009357F4"/>
    <w:rsid w:val="00935A76"/>
    <w:rsid w:val="00935D92"/>
    <w:rsid w:val="00935EC2"/>
    <w:rsid w:val="00935F24"/>
    <w:rsid w:val="00936224"/>
    <w:rsid w:val="00936419"/>
    <w:rsid w:val="009364BB"/>
    <w:rsid w:val="00936829"/>
    <w:rsid w:val="0093690D"/>
    <w:rsid w:val="00936AD8"/>
    <w:rsid w:val="00936D06"/>
    <w:rsid w:val="00936D94"/>
    <w:rsid w:val="0093730A"/>
    <w:rsid w:val="009375AB"/>
    <w:rsid w:val="00937708"/>
    <w:rsid w:val="009377E6"/>
    <w:rsid w:val="009378ED"/>
    <w:rsid w:val="009400DC"/>
    <w:rsid w:val="00940153"/>
    <w:rsid w:val="0094030C"/>
    <w:rsid w:val="00940D79"/>
    <w:rsid w:val="0094121A"/>
    <w:rsid w:val="0094131D"/>
    <w:rsid w:val="0094186E"/>
    <w:rsid w:val="009418E0"/>
    <w:rsid w:val="00941CD7"/>
    <w:rsid w:val="00941DAD"/>
    <w:rsid w:val="00941EB2"/>
    <w:rsid w:val="00941EF2"/>
    <w:rsid w:val="0094219B"/>
    <w:rsid w:val="0094223A"/>
    <w:rsid w:val="00942442"/>
    <w:rsid w:val="009424C6"/>
    <w:rsid w:val="00942576"/>
    <w:rsid w:val="009425C9"/>
    <w:rsid w:val="0094283E"/>
    <w:rsid w:val="00942883"/>
    <w:rsid w:val="00942962"/>
    <w:rsid w:val="00942C03"/>
    <w:rsid w:val="00942FA2"/>
    <w:rsid w:val="00943C60"/>
    <w:rsid w:val="00943F2E"/>
    <w:rsid w:val="009442B9"/>
    <w:rsid w:val="009443E2"/>
    <w:rsid w:val="00944605"/>
    <w:rsid w:val="0094475B"/>
    <w:rsid w:val="0094478C"/>
    <w:rsid w:val="00944C50"/>
    <w:rsid w:val="009450CC"/>
    <w:rsid w:val="00945544"/>
    <w:rsid w:val="00945577"/>
    <w:rsid w:val="009455E9"/>
    <w:rsid w:val="009459BC"/>
    <w:rsid w:val="00945E10"/>
    <w:rsid w:val="009460B7"/>
    <w:rsid w:val="009460FB"/>
    <w:rsid w:val="0094616E"/>
    <w:rsid w:val="009462CE"/>
    <w:rsid w:val="00946AF4"/>
    <w:rsid w:val="00946E23"/>
    <w:rsid w:val="00946EFD"/>
    <w:rsid w:val="009471E7"/>
    <w:rsid w:val="00947892"/>
    <w:rsid w:val="00947B3E"/>
    <w:rsid w:val="0095001E"/>
    <w:rsid w:val="00950664"/>
    <w:rsid w:val="00950889"/>
    <w:rsid w:val="009509FB"/>
    <w:rsid w:val="00950AE6"/>
    <w:rsid w:val="00950AF2"/>
    <w:rsid w:val="009513B3"/>
    <w:rsid w:val="009514C9"/>
    <w:rsid w:val="009517B3"/>
    <w:rsid w:val="00951806"/>
    <w:rsid w:val="009519DA"/>
    <w:rsid w:val="00951C20"/>
    <w:rsid w:val="00951E47"/>
    <w:rsid w:val="009526F3"/>
    <w:rsid w:val="009528D6"/>
    <w:rsid w:val="00952D1F"/>
    <w:rsid w:val="009530A9"/>
    <w:rsid w:val="00953121"/>
    <w:rsid w:val="0095312B"/>
    <w:rsid w:val="00953861"/>
    <w:rsid w:val="00953C13"/>
    <w:rsid w:val="009541A1"/>
    <w:rsid w:val="009544F2"/>
    <w:rsid w:val="00954723"/>
    <w:rsid w:val="0095486A"/>
    <w:rsid w:val="009548BE"/>
    <w:rsid w:val="009549DE"/>
    <w:rsid w:val="00954A7F"/>
    <w:rsid w:val="00954AF2"/>
    <w:rsid w:val="00954B88"/>
    <w:rsid w:val="00954C10"/>
    <w:rsid w:val="00955145"/>
    <w:rsid w:val="00955924"/>
    <w:rsid w:val="00955A8B"/>
    <w:rsid w:val="00955AAE"/>
    <w:rsid w:val="00955B3D"/>
    <w:rsid w:val="00955C1B"/>
    <w:rsid w:val="009562E2"/>
    <w:rsid w:val="009564F2"/>
    <w:rsid w:val="00956518"/>
    <w:rsid w:val="00956530"/>
    <w:rsid w:val="0095679C"/>
    <w:rsid w:val="00956AC3"/>
    <w:rsid w:val="00956C92"/>
    <w:rsid w:val="00956ED8"/>
    <w:rsid w:val="00957394"/>
    <w:rsid w:val="009575E8"/>
    <w:rsid w:val="009577BC"/>
    <w:rsid w:val="009579BC"/>
    <w:rsid w:val="00957D81"/>
    <w:rsid w:val="00960293"/>
    <w:rsid w:val="00960442"/>
    <w:rsid w:val="0096095C"/>
    <w:rsid w:val="00960B71"/>
    <w:rsid w:val="00960E06"/>
    <w:rsid w:val="00960EA0"/>
    <w:rsid w:val="00961096"/>
    <w:rsid w:val="009615A2"/>
    <w:rsid w:val="009619BB"/>
    <w:rsid w:val="00961E9D"/>
    <w:rsid w:val="00961ED0"/>
    <w:rsid w:val="00962153"/>
    <w:rsid w:val="009624BF"/>
    <w:rsid w:val="00962C3C"/>
    <w:rsid w:val="00962DA2"/>
    <w:rsid w:val="00962FA6"/>
    <w:rsid w:val="00963293"/>
    <w:rsid w:val="009638D4"/>
    <w:rsid w:val="009639B5"/>
    <w:rsid w:val="009639E2"/>
    <w:rsid w:val="00963CB3"/>
    <w:rsid w:val="00964521"/>
    <w:rsid w:val="00964749"/>
    <w:rsid w:val="0096478F"/>
    <w:rsid w:val="00964BB9"/>
    <w:rsid w:val="00964CAC"/>
    <w:rsid w:val="00964E9A"/>
    <w:rsid w:val="00964FA8"/>
    <w:rsid w:val="00965153"/>
    <w:rsid w:val="0096568E"/>
    <w:rsid w:val="0096572D"/>
    <w:rsid w:val="009659A7"/>
    <w:rsid w:val="00965E52"/>
    <w:rsid w:val="00966001"/>
    <w:rsid w:val="0096677C"/>
    <w:rsid w:val="00966B2B"/>
    <w:rsid w:val="009670EE"/>
    <w:rsid w:val="0096731E"/>
    <w:rsid w:val="009676E6"/>
    <w:rsid w:val="0096773B"/>
    <w:rsid w:val="00967975"/>
    <w:rsid w:val="00967BFE"/>
    <w:rsid w:val="00967CFC"/>
    <w:rsid w:val="00967D27"/>
    <w:rsid w:val="00967D28"/>
    <w:rsid w:val="00967EB1"/>
    <w:rsid w:val="00967F49"/>
    <w:rsid w:val="0097051F"/>
    <w:rsid w:val="009705E3"/>
    <w:rsid w:val="00970E04"/>
    <w:rsid w:val="00971011"/>
    <w:rsid w:val="009712FD"/>
    <w:rsid w:val="009714E0"/>
    <w:rsid w:val="0097158A"/>
    <w:rsid w:val="009716AA"/>
    <w:rsid w:val="00971C72"/>
    <w:rsid w:val="0097200E"/>
    <w:rsid w:val="009723EC"/>
    <w:rsid w:val="0097249D"/>
    <w:rsid w:val="0097276D"/>
    <w:rsid w:val="0097291E"/>
    <w:rsid w:val="00972C37"/>
    <w:rsid w:val="009730BE"/>
    <w:rsid w:val="00973129"/>
    <w:rsid w:val="009732C0"/>
    <w:rsid w:val="0097349E"/>
    <w:rsid w:val="009735A8"/>
    <w:rsid w:val="00973EB2"/>
    <w:rsid w:val="00973F35"/>
    <w:rsid w:val="00973F49"/>
    <w:rsid w:val="00974035"/>
    <w:rsid w:val="0097428F"/>
    <w:rsid w:val="00974401"/>
    <w:rsid w:val="00975448"/>
    <w:rsid w:val="009759FF"/>
    <w:rsid w:val="00975B46"/>
    <w:rsid w:val="00975BBC"/>
    <w:rsid w:val="00975ECC"/>
    <w:rsid w:val="009760C4"/>
    <w:rsid w:val="0097647B"/>
    <w:rsid w:val="0097689B"/>
    <w:rsid w:val="009769F5"/>
    <w:rsid w:val="00976E83"/>
    <w:rsid w:val="009773A9"/>
    <w:rsid w:val="0097772D"/>
    <w:rsid w:val="0097774D"/>
    <w:rsid w:val="0097796A"/>
    <w:rsid w:val="00977A71"/>
    <w:rsid w:val="00977EA0"/>
    <w:rsid w:val="009800AC"/>
    <w:rsid w:val="00980DD1"/>
    <w:rsid w:val="00981082"/>
    <w:rsid w:val="00981304"/>
    <w:rsid w:val="00981612"/>
    <w:rsid w:val="00981833"/>
    <w:rsid w:val="00981B4A"/>
    <w:rsid w:val="00981BF4"/>
    <w:rsid w:val="00981CE9"/>
    <w:rsid w:val="009820C0"/>
    <w:rsid w:val="00982257"/>
    <w:rsid w:val="00982950"/>
    <w:rsid w:val="00982B09"/>
    <w:rsid w:val="00983061"/>
    <w:rsid w:val="009831C2"/>
    <w:rsid w:val="00983375"/>
    <w:rsid w:val="009833BA"/>
    <w:rsid w:val="009837F1"/>
    <w:rsid w:val="0098382B"/>
    <w:rsid w:val="00984083"/>
    <w:rsid w:val="00984B52"/>
    <w:rsid w:val="00984C07"/>
    <w:rsid w:val="00984FCB"/>
    <w:rsid w:val="0098541E"/>
    <w:rsid w:val="00985493"/>
    <w:rsid w:val="00985759"/>
    <w:rsid w:val="00985BDD"/>
    <w:rsid w:val="00985F83"/>
    <w:rsid w:val="0098622B"/>
    <w:rsid w:val="0098637C"/>
    <w:rsid w:val="009864B4"/>
    <w:rsid w:val="00986685"/>
    <w:rsid w:val="00986E81"/>
    <w:rsid w:val="00987367"/>
    <w:rsid w:val="009875ED"/>
    <w:rsid w:val="00987688"/>
    <w:rsid w:val="00987FA4"/>
    <w:rsid w:val="0099001C"/>
    <w:rsid w:val="0099083E"/>
    <w:rsid w:val="0099103A"/>
    <w:rsid w:val="00991092"/>
    <w:rsid w:val="0099192D"/>
    <w:rsid w:val="00991E1B"/>
    <w:rsid w:val="00992191"/>
    <w:rsid w:val="009921D7"/>
    <w:rsid w:val="00992350"/>
    <w:rsid w:val="009924CF"/>
    <w:rsid w:val="0099256F"/>
    <w:rsid w:val="00992F22"/>
    <w:rsid w:val="0099321A"/>
    <w:rsid w:val="009934DE"/>
    <w:rsid w:val="00993830"/>
    <w:rsid w:val="00993DFD"/>
    <w:rsid w:val="0099431D"/>
    <w:rsid w:val="0099452F"/>
    <w:rsid w:val="00994883"/>
    <w:rsid w:val="00994C5B"/>
    <w:rsid w:val="00994CBD"/>
    <w:rsid w:val="00994F36"/>
    <w:rsid w:val="00994F89"/>
    <w:rsid w:val="00995283"/>
    <w:rsid w:val="0099542B"/>
    <w:rsid w:val="00995622"/>
    <w:rsid w:val="00995B30"/>
    <w:rsid w:val="00995FA7"/>
    <w:rsid w:val="0099671D"/>
    <w:rsid w:val="0099688D"/>
    <w:rsid w:val="009969F3"/>
    <w:rsid w:val="00996A29"/>
    <w:rsid w:val="00996A39"/>
    <w:rsid w:val="00996D93"/>
    <w:rsid w:val="00996E58"/>
    <w:rsid w:val="009972A2"/>
    <w:rsid w:val="00997825"/>
    <w:rsid w:val="009A03CA"/>
    <w:rsid w:val="009A0558"/>
    <w:rsid w:val="009A05DC"/>
    <w:rsid w:val="009A0908"/>
    <w:rsid w:val="009A1195"/>
    <w:rsid w:val="009A15B2"/>
    <w:rsid w:val="009A1C56"/>
    <w:rsid w:val="009A1E27"/>
    <w:rsid w:val="009A20B4"/>
    <w:rsid w:val="009A211D"/>
    <w:rsid w:val="009A2261"/>
    <w:rsid w:val="009A22DB"/>
    <w:rsid w:val="009A23A2"/>
    <w:rsid w:val="009A26A9"/>
    <w:rsid w:val="009A2AA7"/>
    <w:rsid w:val="009A2C49"/>
    <w:rsid w:val="009A2D77"/>
    <w:rsid w:val="009A33E7"/>
    <w:rsid w:val="009A34AC"/>
    <w:rsid w:val="009A361C"/>
    <w:rsid w:val="009A36D3"/>
    <w:rsid w:val="009A4260"/>
    <w:rsid w:val="009A4525"/>
    <w:rsid w:val="009A45F2"/>
    <w:rsid w:val="009A47C8"/>
    <w:rsid w:val="009A48F7"/>
    <w:rsid w:val="009A49AC"/>
    <w:rsid w:val="009A4A0B"/>
    <w:rsid w:val="009A4AB9"/>
    <w:rsid w:val="009A4D5D"/>
    <w:rsid w:val="009A4EFA"/>
    <w:rsid w:val="009A5B97"/>
    <w:rsid w:val="009A5CEA"/>
    <w:rsid w:val="009A5D8B"/>
    <w:rsid w:val="009A623C"/>
    <w:rsid w:val="009A6308"/>
    <w:rsid w:val="009A637E"/>
    <w:rsid w:val="009A6CCB"/>
    <w:rsid w:val="009A6EC6"/>
    <w:rsid w:val="009A702E"/>
    <w:rsid w:val="009A72E7"/>
    <w:rsid w:val="009A7419"/>
    <w:rsid w:val="009A76BE"/>
    <w:rsid w:val="009A78C4"/>
    <w:rsid w:val="009A7A10"/>
    <w:rsid w:val="009A7DF7"/>
    <w:rsid w:val="009B0089"/>
    <w:rsid w:val="009B05F8"/>
    <w:rsid w:val="009B09BA"/>
    <w:rsid w:val="009B0CF7"/>
    <w:rsid w:val="009B0D7D"/>
    <w:rsid w:val="009B0DA0"/>
    <w:rsid w:val="009B1063"/>
    <w:rsid w:val="009B124F"/>
    <w:rsid w:val="009B1468"/>
    <w:rsid w:val="009B23EA"/>
    <w:rsid w:val="009B2A84"/>
    <w:rsid w:val="009B2C6E"/>
    <w:rsid w:val="009B3139"/>
    <w:rsid w:val="009B3278"/>
    <w:rsid w:val="009B3669"/>
    <w:rsid w:val="009B3934"/>
    <w:rsid w:val="009B425F"/>
    <w:rsid w:val="009B4267"/>
    <w:rsid w:val="009B4509"/>
    <w:rsid w:val="009B47F3"/>
    <w:rsid w:val="009B4A39"/>
    <w:rsid w:val="009B5422"/>
    <w:rsid w:val="009B55BF"/>
    <w:rsid w:val="009B5673"/>
    <w:rsid w:val="009B56DB"/>
    <w:rsid w:val="009B5E67"/>
    <w:rsid w:val="009B5EBB"/>
    <w:rsid w:val="009B5F56"/>
    <w:rsid w:val="009B6276"/>
    <w:rsid w:val="009B62DA"/>
    <w:rsid w:val="009B636B"/>
    <w:rsid w:val="009B64C1"/>
    <w:rsid w:val="009B65AF"/>
    <w:rsid w:val="009B6667"/>
    <w:rsid w:val="009B6E75"/>
    <w:rsid w:val="009B7053"/>
    <w:rsid w:val="009B7264"/>
    <w:rsid w:val="009B729D"/>
    <w:rsid w:val="009B7663"/>
    <w:rsid w:val="009B7909"/>
    <w:rsid w:val="009C04B5"/>
    <w:rsid w:val="009C0524"/>
    <w:rsid w:val="009C0C52"/>
    <w:rsid w:val="009C1038"/>
    <w:rsid w:val="009C1353"/>
    <w:rsid w:val="009C1458"/>
    <w:rsid w:val="009C1648"/>
    <w:rsid w:val="009C1D9C"/>
    <w:rsid w:val="009C1F28"/>
    <w:rsid w:val="009C2365"/>
    <w:rsid w:val="009C23AF"/>
    <w:rsid w:val="009C28E3"/>
    <w:rsid w:val="009C3062"/>
    <w:rsid w:val="009C3167"/>
    <w:rsid w:val="009C324C"/>
    <w:rsid w:val="009C337C"/>
    <w:rsid w:val="009C3A1F"/>
    <w:rsid w:val="009C3EC0"/>
    <w:rsid w:val="009C3FC8"/>
    <w:rsid w:val="009C4351"/>
    <w:rsid w:val="009C4508"/>
    <w:rsid w:val="009C52B1"/>
    <w:rsid w:val="009C5336"/>
    <w:rsid w:val="009C5540"/>
    <w:rsid w:val="009C55B2"/>
    <w:rsid w:val="009C55F5"/>
    <w:rsid w:val="009C59FC"/>
    <w:rsid w:val="009C5A2D"/>
    <w:rsid w:val="009C609C"/>
    <w:rsid w:val="009C64DC"/>
    <w:rsid w:val="009C660C"/>
    <w:rsid w:val="009C6889"/>
    <w:rsid w:val="009C6CFE"/>
    <w:rsid w:val="009C6D87"/>
    <w:rsid w:val="009C6E57"/>
    <w:rsid w:val="009C760C"/>
    <w:rsid w:val="009C7720"/>
    <w:rsid w:val="009C782F"/>
    <w:rsid w:val="009C7A2F"/>
    <w:rsid w:val="009C7F24"/>
    <w:rsid w:val="009C7F59"/>
    <w:rsid w:val="009D06B0"/>
    <w:rsid w:val="009D0BDE"/>
    <w:rsid w:val="009D0C92"/>
    <w:rsid w:val="009D0D55"/>
    <w:rsid w:val="009D1A3E"/>
    <w:rsid w:val="009D2506"/>
    <w:rsid w:val="009D29E1"/>
    <w:rsid w:val="009D2F11"/>
    <w:rsid w:val="009D2F68"/>
    <w:rsid w:val="009D3244"/>
    <w:rsid w:val="009D3392"/>
    <w:rsid w:val="009D3545"/>
    <w:rsid w:val="009D3586"/>
    <w:rsid w:val="009D368C"/>
    <w:rsid w:val="009D3959"/>
    <w:rsid w:val="009D3B86"/>
    <w:rsid w:val="009D4212"/>
    <w:rsid w:val="009D43AF"/>
    <w:rsid w:val="009D48F2"/>
    <w:rsid w:val="009D4EB4"/>
    <w:rsid w:val="009D51CC"/>
    <w:rsid w:val="009D573F"/>
    <w:rsid w:val="009D5C7D"/>
    <w:rsid w:val="009D5E33"/>
    <w:rsid w:val="009D5E65"/>
    <w:rsid w:val="009D63C5"/>
    <w:rsid w:val="009D650A"/>
    <w:rsid w:val="009D650D"/>
    <w:rsid w:val="009D679B"/>
    <w:rsid w:val="009D6BF5"/>
    <w:rsid w:val="009D6F67"/>
    <w:rsid w:val="009D721A"/>
    <w:rsid w:val="009D72C8"/>
    <w:rsid w:val="009D731C"/>
    <w:rsid w:val="009D7B43"/>
    <w:rsid w:val="009D7D47"/>
    <w:rsid w:val="009D7FB0"/>
    <w:rsid w:val="009E0373"/>
    <w:rsid w:val="009E07BF"/>
    <w:rsid w:val="009E098F"/>
    <w:rsid w:val="009E136E"/>
    <w:rsid w:val="009E1A6C"/>
    <w:rsid w:val="009E1B07"/>
    <w:rsid w:val="009E1CBC"/>
    <w:rsid w:val="009E2317"/>
    <w:rsid w:val="009E2AAD"/>
    <w:rsid w:val="009E2B27"/>
    <w:rsid w:val="009E2B72"/>
    <w:rsid w:val="009E329D"/>
    <w:rsid w:val="009E3354"/>
    <w:rsid w:val="009E338B"/>
    <w:rsid w:val="009E35CA"/>
    <w:rsid w:val="009E3717"/>
    <w:rsid w:val="009E3AE8"/>
    <w:rsid w:val="009E3B27"/>
    <w:rsid w:val="009E3BCA"/>
    <w:rsid w:val="009E3C16"/>
    <w:rsid w:val="009E3CF2"/>
    <w:rsid w:val="009E3F24"/>
    <w:rsid w:val="009E3F3F"/>
    <w:rsid w:val="009E47B5"/>
    <w:rsid w:val="009E4A95"/>
    <w:rsid w:val="009E4C66"/>
    <w:rsid w:val="009E4C97"/>
    <w:rsid w:val="009E4CC5"/>
    <w:rsid w:val="009E5097"/>
    <w:rsid w:val="009E58C8"/>
    <w:rsid w:val="009E5AC5"/>
    <w:rsid w:val="009E5C9A"/>
    <w:rsid w:val="009E5CCD"/>
    <w:rsid w:val="009E5E60"/>
    <w:rsid w:val="009E5EB3"/>
    <w:rsid w:val="009E6070"/>
    <w:rsid w:val="009E641F"/>
    <w:rsid w:val="009E6671"/>
    <w:rsid w:val="009E67D6"/>
    <w:rsid w:val="009E687D"/>
    <w:rsid w:val="009E690B"/>
    <w:rsid w:val="009E6E69"/>
    <w:rsid w:val="009E6F1F"/>
    <w:rsid w:val="009E7131"/>
    <w:rsid w:val="009E7621"/>
    <w:rsid w:val="009E7766"/>
    <w:rsid w:val="009E7925"/>
    <w:rsid w:val="009E79FD"/>
    <w:rsid w:val="009F02A3"/>
    <w:rsid w:val="009F03A6"/>
    <w:rsid w:val="009F0567"/>
    <w:rsid w:val="009F068B"/>
    <w:rsid w:val="009F07B9"/>
    <w:rsid w:val="009F09FC"/>
    <w:rsid w:val="009F0A57"/>
    <w:rsid w:val="009F0BBC"/>
    <w:rsid w:val="009F0C71"/>
    <w:rsid w:val="009F0E3C"/>
    <w:rsid w:val="009F0FAF"/>
    <w:rsid w:val="009F1194"/>
    <w:rsid w:val="009F148E"/>
    <w:rsid w:val="009F1D50"/>
    <w:rsid w:val="009F1E60"/>
    <w:rsid w:val="009F2678"/>
    <w:rsid w:val="009F293A"/>
    <w:rsid w:val="009F2ED3"/>
    <w:rsid w:val="009F3A4A"/>
    <w:rsid w:val="009F3D20"/>
    <w:rsid w:val="009F4661"/>
    <w:rsid w:val="009F47FD"/>
    <w:rsid w:val="009F48AC"/>
    <w:rsid w:val="009F4A17"/>
    <w:rsid w:val="009F4A32"/>
    <w:rsid w:val="009F4B46"/>
    <w:rsid w:val="009F4FE3"/>
    <w:rsid w:val="009F5184"/>
    <w:rsid w:val="009F51C6"/>
    <w:rsid w:val="009F57F2"/>
    <w:rsid w:val="009F58EA"/>
    <w:rsid w:val="009F5AFA"/>
    <w:rsid w:val="009F5B4A"/>
    <w:rsid w:val="009F629A"/>
    <w:rsid w:val="009F6771"/>
    <w:rsid w:val="009F6AE6"/>
    <w:rsid w:val="009F6CCB"/>
    <w:rsid w:val="009F78B1"/>
    <w:rsid w:val="009F7970"/>
    <w:rsid w:val="009F7C7D"/>
    <w:rsid w:val="009F7EB0"/>
    <w:rsid w:val="00A00637"/>
    <w:rsid w:val="00A00869"/>
    <w:rsid w:val="00A008C4"/>
    <w:rsid w:val="00A00954"/>
    <w:rsid w:val="00A00A65"/>
    <w:rsid w:val="00A00BCF"/>
    <w:rsid w:val="00A011E1"/>
    <w:rsid w:val="00A013AE"/>
    <w:rsid w:val="00A01402"/>
    <w:rsid w:val="00A01594"/>
    <w:rsid w:val="00A02596"/>
    <w:rsid w:val="00A027FB"/>
    <w:rsid w:val="00A02B3D"/>
    <w:rsid w:val="00A02BC4"/>
    <w:rsid w:val="00A02BDA"/>
    <w:rsid w:val="00A02E97"/>
    <w:rsid w:val="00A02EE1"/>
    <w:rsid w:val="00A030A8"/>
    <w:rsid w:val="00A03559"/>
    <w:rsid w:val="00A037FE"/>
    <w:rsid w:val="00A03B0A"/>
    <w:rsid w:val="00A03DCB"/>
    <w:rsid w:val="00A03E32"/>
    <w:rsid w:val="00A03F82"/>
    <w:rsid w:val="00A043E2"/>
    <w:rsid w:val="00A04482"/>
    <w:rsid w:val="00A04A0E"/>
    <w:rsid w:val="00A04D10"/>
    <w:rsid w:val="00A0505E"/>
    <w:rsid w:val="00A052FA"/>
    <w:rsid w:val="00A053BE"/>
    <w:rsid w:val="00A053C3"/>
    <w:rsid w:val="00A056E2"/>
    <w:rsid w:val="00A058C0"/>
    <w:rsid w:val="00A05B11"/>
    <w:rsid w:val="00A05D0C"/>
    <w:rsid w:val="00A061D3"/>
    <w:rsid w:val="00A0637E"/>
    <w:rsid w:val="00A0643B"/>
    <w:rsid w:val="00A0668F"/>
    <w:rsid w:val="00A06ABD"/>
    <w:rsid w:val="00A06B0A"/>
    <w:rsid w:val="00A06C87"/>
    <w:rsid w:val="00A06EB4"/>
    <w:rsid w:val="00A0718C"/>
    <w:rsid w:val="00A07908"/>
    <w:rsid w:val="00A07ADF"/>
    <w:rsid w:val="00A07DC3"/>
    <w:rsid w:val="00A1043E"/>
    <w:rsid w:val="00A1043F"/>
    <w:rsid w:val="00A10537"/>
    <w:rsid w:val="00A107EB"/>
    <w:rsid w:val="00A1084A"/>
    <w:rsid w:val="00A10C9D"/>
    <w:rsid w:val="00A10F68"/>
    <w:rsid w:val="00A10F76"/>
    <w:rsid w:val="00A111E0"/>
    <w:rsid w:val="00A1135F"/>
    <w:rsid w:val="00A115DE"/>
    <w:rsid w:val="00A1171B"/>
    <w:rsid w:val="00A11728"/>
    <w:rsid w:val="00A11729"/>
    <w:rsid w:val="00A1180C"/>
    <w:rsid w:val="00A118EF"/>
    <w:rsid w:val="00A11BE9"/>
    <w:rsid w:val="00A11CE8"/>
    <w:rsid w:val="00A11F8F"/>
    <w:rsid w:val="00A120DE"/>
    <w:rsid w:val="00A12320"/>
    <w:rsid w:val="00A12411"/>
    <w:rsid w:val="00A12E0C"/>
    <w:rsid w:val="00A13048"/>
    <w:rsid w:val="00A134B1"/>
    <w:rsid w:val="00A13629"/>
    <w:rsid w:val="00A137C1"/>
    <w:rsid w:val="00A139A5"/>
    <w:rsid w:val="00A13A75"/>
    <w:rsid w:val="00A13FAB"/>
    <w:rsid w:val="00A14059"/>
    <w:rsid w:val="00A14284"/>
    <w:rsid w:val="00A14396"/>
    <w:rsid w:val="00A14427"/>
    <w:rsid w:val="00A14B3B"/>
    <w:rsid w:val="00A14C58"/>
    <w:rsid w:val="00A14F95"/>
    <w:rsid w:val="00A150B5"/>
    <w:rsid w:val="00A151B2"/>
    <w:rsid w:val="00A1544C"/>
    <w:rsid w:val="00A1591A"/>
    <w:rsid w:val="00A159D0"/>
    <w:rsid w:val="00A15B3F"/>
    <w:rsid w:val="00A15B86"/>
    <w:rsid w:val="00A15EC4"/>
    <w:rsid w:val="00A168F9"/>
    <w:rsid w:val="00A16CA0"/>
    <w:rsid w:val="00A16CBD"/>
    <w:rsid w:val="00A16E81"/>
    <w:rsid w:val="00A170BE"/>
    <w:rsid w:val="00A17195"/>
    <w:rsid w:val="00A1792E"/>
    <w:rsid w:val="00A17B94"/>
    <w:rsid w:val="00A17C0A"/>
    <w:rsid w:val="00A20158"/>
    <w:rsid w:val="00A20301"/>
    <w:rsid w:val="00A207EF"/>
    <w:rsid w:val="00A20988"/>
    <w:rsid w:val="00A2098C"/>
    <w:rsid w:val="00A20C6F"/>
    <w:rsid w:val="00A20D1A"/>
    <w:rsid w:val="00A20E8F"/>
    <w:rsid w:val="00A20EB0"/>
    <w:rsid w:val="00A20F12"/>
    <w:rsid w:val="00A21109"/>
    <w:rsid w:val="00A211B4"/>
    <w:rsid w:val="00A21340"/>
    <w:rsid w:val="00A21649"/>
    <w:rsid w:val="00A21C69"/>
    <w:rsid w:val="00A21D62"/>
    <w:rsid w:val="00A21EFE"/>
    <w:rsid w:val="00A2225A"/>
    <w:rsid w:val="00A222F8"/>
    <w:rsid w:val="00A2238A"/>
    <w:rsid w:val="00A22447"/>
    <w:rsid w:val="00A22480"/>
    <w:rsid w:val="00A22500"/>
    <w:rsid w:val="00A2266F"/>
    <w:rsid w:val="00A2295E"/>
    <w:rsid w:val="00A22B04"/>
    <w:rsid w:val="00A22B26"/>
    <w:rsid w:val="00A22CDF"/>
    <w:rsid w:val="00A22D95"/>
    <w:rsid w:val="00A237CC"/>
    <w:rsid w:val="00A23C0F"/>
    <w:rsid w:val="00A23F1D"/>
    <w:rsid w:val="00A245EE"/>
    <w:rsid w:val="00A24715"/>
    <w:rsid w:val="00A24944"/>
    <w:rsid w:val="00A24DFD"/>
    <w:rsid w:val="00A24ED0"/>
    <w:rsid w:val="00A25299"/>
    <w:rsid w:val="00A25358"/>
    <w:rsid w:val="00A2584F"/>
    <w:rsid w:val="00A25D64"/>
    <w:rsid w:val="00A25F94"/>
    <w:rsid w:val="00A25F97"/>
    <w:rsid w:val="00A2621D"/>
    <w:rsid w:val="00A26370"/>
    <w:rsid w:val="00A267B7"/>
    <w:rsid w:val="00A267CF"/>
    <w:rsid w:val="00A2685A"/>
    <w:rsid w:val="00A26949"/>
    <w:rsid w:val="00A26E00"/>
    <w:rsid w:val="00A273FE"/>
    <w:rsid w:val="00A27517"/>
    <w:rsid w:val="00A27554"/>
    <w:rsid w:val="00A277A6"/>
    <w:rsid w:val="00A278A6"/>
    <w:rsid w:val="00A27936"/>
    <w:rsid w:val="00A2796B"/>
    <w:rsid w:val="00A27F95"/>
    <w:rsid w:val="00A27F9C"/>
    <w:rsid w:val="00A27F9D"/>
    <w:rsid w:val="00A27FC3"/>
    <w:rsid w:val="00A3002D"/>
    <w:rsid w:val="00A302BD"/>
    <w:rsid w:val="00A3065D"/>
    <w:rsid w:val="00A306AE"/>
    <w:rsid w:val="00A30907"/>
    <w:rsid w:val="00A30929"/>
    <w:rsid w:val="00A30950"/>
    <w:rsid w:val="00A3106C"/>
    <w:rsid w:val="00A31744"/>
    <w:rsid w:val="00A317D6"/>
    <w:rsid w:val="00A31CA6"/>
    <w:rsid w:val="00A32103"/>
    <w:rsid w:val="00A32167"/>
    <w:rsid w:val="00A32252"/>
    <w:rsid w:val="00A322E0"/>
    <w:rsid w:val="00A32367"/>
    <w:rsid w:val="00A32503"/>
    <w:rsid w:val="00A325FE"/>
    <w:rsid w:val="00A32B7E"/>
    <w:rsid w:val="00A32C20"/>
    <w:rsid w:val="00A32EA2"/>
    <w:rsid w:val="00A33338"/>
    <w:rsid w:val="00A33620"/>
    <w:rsid w:val="00A33EB1"/>
    <w:rsid w:val="00A34915"/>
    <w:rsid w:val="00A34966"/>
    <w:rsid w:val="00A3569D"/>
    <w:rsid w:val="00A35CCA"/>
    <w:rsid w:val="00A362DF"/>
    <w:rsid w:val="00A368D3"/>
    <w:rsid w:val="00A36BAB"/>
    <w:rsid w:val="00A36BB7"/>
    <w:rsid w:val="00A36F2F"/>
    <w:rsid w:val="00A37385"/>
    <w:rsid w:val="00A37A36"/>
    <w:rsid w:val="00A37E86"/>
    <w:rsid w:val="00A40035"/>
    <w:rsid w:val="00A40A6C"/>
    <w:rsid w:val="00A40B87"/>
    <w:rsid w:val="00A40D24"/>
    <w:rsid w:val="00A40D6D"/>
    <w:rsid w:val="00A40F89"/>
    <w:rsid w:val="00A41216"/>
    <w:rsid w:val="00A41441"/>
    <w:rsid w:val="00A4163B"/>
    <w:rsid w:val="00A41732"/>
    <w:rsid w:val="00A417BD"/>
    <w:rsid w:val="00A41F76"/>
    <w:rsid w:val="00A41FAF"/>
    <w:rsid w:val="00A4207C"/>
    <w:rsid w:val="00A421B4"/>
    <w:rsid w:val="00A421FD"/>
    <w:rsid w:val="00A42365"/>
    <w:rsid w:val="00A42889"/>
    <w:rsid w:val="00A42AF9"/>
    <w:rsid w:val="00A42B0A"/>
    <w:rsid w:val="00A42B4B"/>
    <w:rsid w:val="00A42BF8"/>
    <w:rsid w:val="00A42FF4"/>
    <w:rsid w:val="00A432FD"/>
    <w:rsid w:val="00A43397"/>
    <w:rsid w:val="00A43497"/>
    <w:rsid w:val="00A434BF"/>
    <w:rsid w:val="00A43531"/>
    <w:rsid w:val="00A43697"/>
    <w:rsid w:val="00A43AA9"/>
    <w:rsid w:val="00A44730"/>
    <w:rsid w:val="00A449F6"/>
    <w:rsid w:val="00A44C9D"/>
    <w:rsid w:val="00A44F8B"/>
    <w:rsid w:val="00A44F9E"/>
    <w:rsid w:val="00A4511E"/>
    <w:rsid w:val="00A451CB"/>
    <w:rsid w:val="00A45360"/>
    <w:rsid w:val="00A4594D"/>
    <w:rsid w:val="00A459AF"/>
    <w:rsid w:val="00A45D52"/>
    <w:rsid w:val="00A460AA"/>
    <w:rsid w:val="00A461A5"/>
    <w:rsid w:val="00A4624D"/>
    <w:rsid w:val="00A46462"/>
    <w:rsid w:val="00A4655B"/>
    <w:rsid w:val="00A46915"/>
    <w:rsid w:val="00A46A97"/>
    <w:rsid w:val="00A46D4E"/>
    <w:rsid w:val="00A46DC5"/>
    <w:rsid w:val="00A470AD"/>
    <w:rsid w:val="00A472C4"/>
    <w:rsid w:val="00A473DC"/>
    <w:rsid w:val="00A47854"/>
    <w:rsid w:val="00A479A1"/>
    <w:rsid w:val="00A47B05"/>
    <w:rsid w:val="00A50125"/>
    <w:rsid w:val="00A5045F"/>
    <w:rsid w:val="00A50612"/>
    <w:rsid w:val="00A50C02"/>
    <w:rsid w:val="00A50CC4"/>
    <w:rsid w:val="00A50CD1"/>
    <w:rsid w:val="00A50DB9"/>
    <w:rsid w:val="00A510BB"/>
    <w:rsid w:val="00A51574"/>
    <w:rsid w:val="00A51FBF"/>
    <w:rsid w:val="00A51FD5"/>
    <w:rsid w:val="00A521AF"/>
    <w:rsid w:val="00A526AD"/>
    <w:rsid w:val="00A52891"/>
    <w:rsid w:val="00A52E59"/>
    <w:rsid w:val="00A5307C"/>
    <w:rsid w:val="00A53216"/>
    <w:rsid w:val="00A53950"/>
    <w:rsid w:val="00A539CB"/>
    <w:rsid w:val="00A54442"/>
    <w:rsid w:val="00A54C3A"/>
    <w:rsid w:val="00A54CE1"/>
    <w:rsid w:val="00A54F93"/>
    <w:rsid w:val="00A553D1"/>
    <w:rsid w:val="00A55740"/>
    <w:rsid w:val="00A55AF3"/>
    <w:rsid w:val="00A55BCE"/>
    <w:rsid w:val="00A565B0"/>
    <w:rsid w:val="00A568B5"/>
    <w:rsid w:val="00A56946"/>
    <w:rsid w:val="00A56A7F"/>
    <w:rsid w:val="00A56DC7"/>
    <w:rsid w:val="00A573E9"/>
    <w:rsid w:val="00A6004D"/>
    <w:rsid w:val="00A60221"/>
    <w:rsid w:val="00A603D3"/>
    <w:rsid w:val="00A604EE"/>
    <w:rsid w:val="00A60A15"/>
    <w:rsid w:val="00A60FE1"/>
    <w:rsid w:val="00A61141"/>
    <w:rsid w:val="00A61193"/>
    <w:rsid w:val="00A61445"/>
    <w:rsid w:val="00A618BE"/>
    <w:rsid w:val="00A61996"/>
    <w:rsid w:val="00A61C0C"/>
    <w:rsid w:val="00A61E30"/>
    <w:rsid w:val="00A61ECB"/>
    <w:rsid w:val="00A62181"/>
    <w:rsid w:val="00A62604"/>
    <w:rsid w:val="00A6262B"/>
    <w:rsid w:val="00A626C7"/>
    <w:rsid w:val="00A62BF3"/>
    <w:rsid w:val="00A62EB4"/>
    <w:rsid w:val="00A62F93"/>
    <w:rsid w:val="00A635C0"/>
    <w:rsid w:val="00A63874"/>
    <w:rsid w:val="00A63AF6"/>
    <w:rsid w:val="00A63C0B"/>
    <w:rsid w:val="00A63C28"/>
    <w:rsid w:val="00A63C5D"/>
    <w:rsid w:val="00A63E47"/>
    <w:rsid w:val="00A63EA9"/>
    <w:rsid w:val="00A64104"/>
    <w:rsid w:val="00A643D6"/>
    <w:rsid w:val="00A64617"/>
    <w:rsid w:val="00A647A8"/>
    <w:rsid w:val="00A64BC2"/>
    <w:rsid w:val="00A64C7C"/>
    <w:rsid w:val="00A64CC2"/>
    <w:rsid w:val="00A64DDD"/>
    <w:rsid w:val="00A6521C"/>
    <w:rsid w:val="00A6548D"/>
    <w:rsid w:val="00A65ACF"/>
    <w:rsid w:val="00A65AEF"/>
    <w:rsid w:val="00A65D92"/>
    <w:rsid w:val="00A65FA2"/>
    <w:rsid w:val="00A66625"/>
    <w:rsid w:val="00A66C70"/>
    <w:rsid w:val="00A66EE8"/>
    <w:rsid w:val="00A6729A"/>
    <w:rsid w:val="00A67437"/>
    <w:rsid w:val="00A67499"/>
    <w:rsid w:val="00A676CB"/>
    <w:rsid w:val="00A67939"/>
    <w:rsid w:val="00A7019D"/>
    <w:rsid w:val="00A70AF4"/>
    <w:rsid w:val="00A70B52"/>
    <w:rsid w:val="00A7116B"/>
    <w:rsid w:val="00A712C2"/>
    <w:rsid w:val="00A71937"/>
    <w:rsid w:val="00A719D7"/>
    <w:rsid w:val="00A71B18"/>
    <w:rsid w:val="00A71DFA"/>
    <w:rsid w:val="00A71E03"/>
    <w:rsid w:val="00A72654"/>
    <w:rsid w:val="00A728CB"/>
    <w:rsid w:val="00A72995"/>
    <w:rsid w:val="00A72AFB"/>
    <w:rsid w:val="00A72B85"/>
    <w:rsid w:val="00A733F7"/>
    <w:rsid w:val="00A7340F"/>
    <w:rsid w:val="00A73552"/>
    <w:rsid w:val="00A7399D"/>
    <w:rsid w:val="00A73BA8"/>
    <w:rsid w:val="00A73C4B"/>
    <w:rsid w:val="00A73CD4"/>
    <w:rsid w:val="00A73EE0"/>
    <w:rsid w:val="00A73F87"/>
    <w:rsid w:val="00A743CC"/>
    <w:rsid w:val="00A745A3"/>
    <w:rsid w:val="00A74A44"/>
    <w:rsid w:val="00A759C9"/>
    <w:rsid w:val="00A75B27"/>
    <w:rsid w:val="00A7608F"/>
    <w:rsid w:val="00A76397"/>
    <w:rsid w:val="00A76DA7"/>
    <w:rsid w:val="00A77274"/>
    <w:rsid w:val="00A7745B"/>
    <w:rsid w:val="00A7746D"/>
    <w:rsid w:val="00A7754C"/>
    <w:rsid w:val="00A77C5C"/>
    <w:rsid w:val="00A77D14"/>
    <w:rsid w:val="00A77DA1"/>
    <w:rsid w:val="00A77FA8"/>
    <w:rsid w:val="00A80107"/>
    <w:rsid w:val="00A80339"/>
    <w:rsid w:val="00A80641"/>
    <w:rsid w:val="00A80855"/>
    <w:rsid w:val="00A808DE"/>
    <w:rsid w:val="00A80AF7"/>
    <w:rsid w:val="00A814D4"/>
    <w:rsid w:val="00A816A5"/>
    <w:rsid w:val="00A82179"/>
    <w:rsid w:val="00A82383"/>
    <w:rsid w:val="00A824E6"/>
    <w:rsid w:val="00A82880"/>
    <w:rsid w:val="00A82889"/>
    <w:rsid w:val="00A828CE"/>
    <w:rsid w:val="00A832EE"/>
    <w:rsid w:val="00A8362D"/>
    <w:rsid w:val="00A836BB"/>
    <w:rsid w:val="00A83753"/>
    <w:rsid w:val="00A837ED"/>
    <w:rsid w:val="00A83836"/>
    <w:rsid w:val="00A838FD"/>
    <w:rsid w:val="00A83AC9"/>
    <w:rsid w:val="00A83D28"/>
    <w:rsid w:val="00A83EE9"/>
    <w:rsid w:val="00A83F10"/>
    <w:rsid w:val="00A8410B"/>
    <w:rsid w:val="00A84116"/>
    <w:rsid w:val="00A843A1"/>
    <w:rsid w:val="00A845D0"/>
    <w:rsid w:val="00A8468E"/>
    <w:rsid w:val="00A848A8"/>
    <w:rsid w:val="00A8498B"/>
    <w:rsid w:val="00A84EDF"/>
    <w:rsid w:val="00A851ED"/>
    <w:rsid w:val="00A8522E"/>
    <w:rsid w:val="00A85254"/>
    <w:rsid w:val="00A85445"/>
    <w:rsid w:val="00A8556C"/>
    <w:rsid w:val="00A855F6"/>
    <w:rsid w:val="00A861B3"/>
    <w:rsid w:val="00A863CD"/>
    <w:rsid w:val="00A86934"/>
    <w:rsid w:val="00A86BFE"/>
    <w:rsid w:val="00A86DE3"/>
    <w:rsid w:val="00A86EA6"/>
    <w:rsid w:val="00A873D1"/>
    <w:rsid w:val="00A87410"/>
    <w:rsid w:val="00A90041"/>
    <w:rsid w:val="00A903AF"/>
    <w:rsid w:val="00A905D0"/>
    <w:rsid w:val="00A91771"/>
    <w:rsid w:val="00A918DE"/>
    <w:rsid w:val="00A91977"/>
    <w:rsid w:val="00A91981"/>
    <w:rsid w:val="00A91AB0"/>
    <w:rsid w:val="00A921B2"/>
    <w:rsid w:val="00A92BA9"/>
    <w:rsid w:val="00A92E87"/>
    <w:rsid w:val="00A92F6C"/>
    <w:rsid w:val="00A92F6D"/>
    <w:rsid w:val="00A931D6"/>
    <w:rsid w:val="00A934B6"/>
    <w:rsid w:val="00A93A7B"/>
    <w:rsid w:val="00A94092"/>
    <w:rsid w:val="00A94122"/>
    <w:rsid w:val="00A94232"/>
    <w:rsid w:val="00A94553"/>
    <w:rsid w:val="00A94898"/>
    <w:rsid w:val="00A94B87"/>
    <w:rsid w:val="00A94D3A"/>
    <w:rsid w:val="00A94DDF"/>
    <w:rsid w:val="00A94F6B"/>
    <w:rsid w:val="00A956F8"/>
    <w:rsid w:val="00A959AC"/>
    <w:rsid w:val="00A95A55"/>
    <w:rsid w:val="00A96125"/>
    <w:rsid w:val="00A961F3"/>
    <w:rsid w:val="00A9636B"/>
    <w:rsid w:val="00A964D6"/>
    <w:rsid w:val="00A965A7"/>
    <w:rsid w:val="00A966AE"/>
    <w:rsid w:val="00A96B8A"/>
    <w:rsid w:val="00A96E31"/>
    <w:rsid w:val="00A96F72"/>
    <w:rsid w:val="00A97AFA"/>
    <w:rsid w:val="00A97B0A"/>
    <w:rsid w:val="00A97DF3"/>
    <w:rsid w:val="00A97F05"/>
    <w:rsid w:val="00AA0103"/>
    <w:rsid w:val="00AA0172"/>
    <w:rsid w:val="00AA04A6"/>
    <w:rsid w:val="00AA0787"/>
    <w:rsid w:val="00AA0810"/>
    <w:rsid w:val="00AA0A14"/>
    <w:rsid w:val="00AA0AC5"/>
    <w:rsid w:val="00AA0E75"/>
    <w:rsid w:val="00AA1363"/>
    <w:rsid w:val="00AA1440"/>
    <w:rsid w:val="00AA14BD"/>
    <w:rsid w:val="00AA1C4F"/>
    <w:rsid w:val="00AA1D28"/>
    <w:rsid w:val="00AA1E5D"/>
    <w:rsid w:val="00AA21DE"/>
    <w:rsid w:val="00AA231D"/>
    <w:rsid w:val="00AA278F"/>
    <w:rsid w:val="00AA27D7"/>
    <w:rsid w:val="00AA289A"/>
    <w:rsid w:val="00AA2A8E"/>
    <w:rsid w:val="00AA2F76"/>
    <w:rsid w:val="00AA313D"/>
    <w:rsid w:val="00AA3299"/>
    <w:rsid w:val="00AA394D"/>
    <w:rsid w:val="00AA3C1B"/>
    <w:rsid w:val="00AA3C5B"/>
    <w:rsid w:val="00AA407A"/>
    <w:rsid w:val="00AA438B"/>
    <w:rsid w:val="00AA43DC"/>
    <w:rsid w:val="00AA45FB"/>
    <w:rsid w:val="00AA4685"/>
    <w:rsid w:val="00AA4AD7"/>
    <w:rsid w:val="00AA4B24"/>
    <w:rsid w:val="00AA4B49"/>
    <w:rsid w:val="00AA4DAE"/>
    <w:rsid w:val="00AA508E"/>
    <w:rsid w:val="00AA514B"/>
    <w:rsid w:val="00AA5B05"/>
    <w:rsid w:val="00AA6358"/>
    <w:rsid w:val="00AA66BC"/>
    <w:rsid w:val="00AA6FC6"/>
    <w:rsid w:val="00AA7103"/>
    <w:rsid w:val="00AA7507"/>
    <w:rsid w:val="00AA7597"/>
    <w:rsid w:val="00AA7B4D"/>
    <w:rsid w:val="00AB057F"/>
    <w:rsid w:val="00AB0937"/>
    <w:rsid w:val="00AB0DFA"/>
    <w:rsid w:val="00AB0ED5"/>
    <w:rsid w:val="00AB1184"/>
    <w:rsid w:val="00AB15E3"/>
    <w:rsid w:val="00AB1643"/>
    <w:rsid w:val="00AB1BAC"/>
    <w:rsid w:val="00AB1D0B"/>
    <w:rsid w:val="00AB227C"/>
    <w:rsid w:val="00AB2582"/>
    <w:rsid w:val="00AB2F05"/>
    <w:rsid w:val="00AB2F99"/>
    <w:rsid w:val="00AB3059"/>
    <w:rsid w:val="00AB32A1"/>
    <w:rsid w:val="00AB34C9"/>
    <w:rsid w:val="00AB3514"/>
    <w:rsid w:val="00AB3B0C"/>
    <w:rsid w:val="00AB3C20"/>
    <w:rsid w:val="00AB3D4B"/>
    <w:rsid w:val="00AB3D5B"/>
    <w:rsid w:val="00AB40F0"/>
    <w:rsid w:val="00AB4507"/>
    <w:rsid w:val="00AB48C9"/>
    <w:rsid w:val="00AB4C43"/>
    <w:rsid w:val="00AB509E"/>
    <w:rsid w:val="00AB50FC"/>
    <w:rsid w:val="00AB51EA"/>
    <w:rsid w:val="00AB546F"/>
    <w:rsid w:val="00AB548C"/>
    <w:rsid w:val="00AB5623"/>
    <w:rsid w:val="00AB572C"/>
    <w:rsid w:val="00AB61BA"/>
    <w:rsid w:val="00AB6D09"/>
    <w:rsid w:val="00AB6E83"/>
    <w:rsid w:val="00AB6EE5"/>
    <w:rsid w:val="00AB744E"/>
    <w:rsid w:val="00AB7CA4"/>
    <w:rsid w:val="00AC098A"/>
    <w:rsid w:val="00AC0FDA"/>
    <w:rsid w:val="00AC1135"/>
    <w:rsid w:val="00AC12DE"/>
    <w:rsid w:val="00AC1386"/>
    <w:rsid w:val="00AC18C7"/>
    <w:rsid w:val="00AC1AA5"/>
    <w:rsid w:val="00AC1ADC"/>
    <w:rsid w:val="00AC1C12"/>
    <w:rsid w:val="00AC2027"/>
    <w:rsid w:val="00AC2229"/>
    <w:rsid w:val="00AC2593"/>
    <w:rsid w:val="00AC2682"/>
    <w:rsid w:val="00AC2A38"/>
    <w:rsid w:val="00AC2C14"/>
    <w:rsid w:val="00AC3056"/>
    <w:rsid w:val="00AC37F4"/>
    <w:rsid w:val="00AC3A5A"/>
    <w:rsid w:val="00AC3DBB"/>
    <w:rsid w:val="00AC4106"/>
    <w:rsid w:val="00AC43C6"/>
    <w:rsid w:val="00AC49A4"/>
    <w:rsid w:val="00AC4A91"/>
    <w:rsid w:val="00AC4D04"/>
    <w:rsid w:val="00AC4F96"/>
    <w:rsid w:val="00AC4FC0"/>
    <w:rsid w:val="00AC54D0"/>
    <w:rsid w:val="00AC5628"/>
    <w:rsid w:val="00AC5A96"/>
    <w:rsid w:val="00AC5F97"/>
    <w:rsid w:val="00AC60CD"/>
    <w:rsid w:val="00AC61A3"/>
    <w:rsid w:val="00AC62F6"/>
    <w:rsid w:val="00AC63D7"/>
    <w:rsid w:val="00AC660A"/>
    <w:rsid w:val="00AC67E6"/>
    <w:rsid w:val="00AC681E"/>
    <w:rsid w:val="00AC6B06"/>
    <w:rsid w:val="00AC6C6F"/>
    <w:rsid w:val="00AC6CB2"/>
    <w:rsid w:val="00AC6CE1"/>
    <w:rsid w:val="00AC6FEB"/>
    <w:rsid w:val="00AC700E"/>
    <w:rsid w:val="00AC759E"/>
    <w:rsid w:val="00AC75A4"/>
    <w:rsid w:val="00AC7AE2"/>
    <w:rsid w:val="00AC7C4C"/>
    <w:rsid w:val="00AC7CAF"/>
    <w:rsid w:val="00AC7DB1"/>
    <w:rsid w:val="00AD0056"/>
    <w:rsid w:val="00AD171B"/>
    <w:rsid w:val="00AD1A9A"/>
    <w:rsid w:val="00AD1B48"/>
    <w:rsid w:val="00AD1BA3"/>
    <w:rsid w:val="00AD237F"/>
    <w:rsid w:val="00AD24B5"/>
    <w:rsid w:val="00AD283A"/>
    <w:rsid w:val="00AD28B5"/>
    <w:rsid w:val="00AD2D71"/>
    <w:rsid w:val="00AD3083"/>
    <w:rsid w:val="00AD30E1"/>
    <w:rsid w:val="00AD34B5"/>
    <w:rsid w:val="00AD37CA"/>
    <w:rsid w:val="00AD3C0B"/>
    <w:rsid w:val="00AD4154"/>
    <w:rsid w:val="00AD4313"/>
    <w:rsid w:val="00AD4A7B"/>
    <w:rsid w:val="00AD4AB1"/>
    <w:rsid w:val="00AD514D"/>
    <w:rsid w:val="00AD534E"/>
    <w:rsid w:val="00AD5585"/>
    <w:rsid w:val="00AD67F8"/>
    <w:rsid w:val="00AD6AE1"/>
    <w:rsid w:val="00AD6AFC"/>
    <w:rsid w:val="00AD6DCD"/>
    <w:rsid w:val="00AD6F56"/>
    <w:rsid w:val="00AD706E"/>
    <w:rsid w:val="00AD7143"/>
    <w:rsid w:val="00AD71B8"/>
    <w:rsid w:val="00AD72BB"/>
    <w:rsid w:val="00AD793A"/>
    <w:rsid w:val="00AD7A19"/>
    <w:rsid w:val="00AD7D76"/>
    <w:rsid w:val="00AD7DFF"/>
    <w:rsid w:val="00AD7F3D"/>
    <w:rsid w:val="00AD7F65"/>
    <w:rsid w:val="00AE003E"/>
    <w:rsid w:val="00AE017F"/>
    <w:rsid w:val="00AE04A2"/>
    <w:rsid w:val="00AE0AFA"/>
    <w:rsid w:val="00AE118B"/>
    <w:rsid w:val="00AE12D8"/>
    <w:rsid w:val="00AE1328"/>
    <w:rsid w:val="00AE184F"/>
    <w:rsid w:val="00AE1C1D"/>
    <w:rsid w:val="00AE1DB8"/>
    <w:rsid w:val="00AE1DD1"/>
    <w:rsid w:val="00AE2382"/>
    <w:rsid w:val="00AE2ACD"/>
    <w:rsid w:val="00AE30AB"/>
    <w:rsid w:val="00AE33C4"/>
    <w:rsid w:val="00AE33F7"/>
    <w:rsid w:val="00AE35E5"/>
    <w:rsid w:val="00AE3F68"/>
    <w:rsid w:val="00AE4287"/>
    <w:rsid w:val="00AE43D4"/>
    <w:rsid w:val="00AE4511"/>
    <w:rsid w:val="00AE4870"/>
    <w:rsid w:val="00AE4AA0"/>
    <w:rsid w:val="00AE5239"/>
    <w:rsid w:val="00AE5444"/>
    <w:rsid w:val="00AE5490"/>
    <w:rsid w:val="00AE57EB"/>
    <w:rsid w:val="00AE59C3"/>
    <w:rsid w:val="00AE5C53"/>
    <w:rsid w:val="00AE60F9"/>
    <w:rsid w:val="00AE741D"/>
    <w:rsid w:val="00AE798D"/>
    <w:rsid w:val="00AE7AB8"/>
    <w:rsid w:val="00AE7B6B"/>
    <w:rsid w:val="00AF0522"/>
    <w:rsid w:val="00AF0B39"/>
    <w:rsid w:val="00AF0D71"/>
    <w:rsid w:val="00AF0F57"/>
    <w:rsid w:val="00AF1026"/>
    <w:rsid w:val="00AF12AC"/>
    <w:rsid w:val="00AF146B"/>
    <w:rsid w:val="00AF178E"/>
    <w:rsid w:val="00AF1B97"/>
    <w:rsid w:val="00AF1C16"/>
    <w:rsid w:val="00AF1DC3"/>
    <w:rsid w:val="00AF1E23"/>
    <w:rsid w:val="00AF1FB6"/>
    <w:rsid w:val="00AF1FD1"/>
    <w:rsid w:val="00AF22C4"/>
    <w:rsid w:val="00AF24E8"/>
    <w:rsid w:val="00AF2A14"/>
    <w:rsid w:val="00AF2B12"/>
    <w:rsid w:val="00AF2BE2"/>
    <w:rsid w:val="00AF2CA3"/>
    <w:rsid w:val="00AF2E4A"/>
    <w:rsid w:val="00AF332B"/>
    <w:rsid w:val="00AF33C6"/>
    <w:rsid w:val="00AF3407"/>
    <w:rsid w:val="00AF36E0"/>
    <w:rsid w:val="00AF39FB"/>
    <w:rsid w:val="00AF3E7A"/>
    <w:rsid w:val="00AF4427"/>
    <w:rsid w:val="00AF4BC0"/>
    <w:rsid w:val="00AF4E48"/>
    <w:rsid w:val="00AF50A1"/>
    <w:rsid w:val="00AF5AC8"/>
    <w:rsid w:val="00AF635A"/>
    <w:rsid w:val="00AF655A"/>
    <w:rsid w:val="00AF6B53"/>
    <w:rsid w:val="00AF7618"/>
    <w:rsid w:val="00AF7A0F"/>
    <w:rsid w:val="00AF7CC9"/>
    <w:rsid w:val="00B003B0"/>
    <w:rsid w:val="00B00919"/>
    <w:rsid w:val="00B00C49"/>
    <w:rsid w:val="00B00DB2"/>
    <w:rsid w:val="00B00FB8"/>
    <w:rsid w:val="00B01106"/>
    <w:rsid w:val="00B01B32"/>
    <w:rsid w:val="00B01B60"/>
    <w:rsid w:val="00B01C7B"/>
    <w:rsid w:val="00B02209"/>
    <w:rsid w:val="00B0259E"/>
    <w:rsid w:val="00B02E5F"/>
    <w:rsid w:val="00B031D7"/>
    <w:rsid w:val="00B038C8"/>
    <w:rsid w:val="00B03A10"/>
    <w:rsid w:val="00B03BA7"/>
    <w:rsid w:val="00B040C8"/>
    <w:rsid w:val="00B04472"/>
    <w:rsid w:val="00B04544"/>
    <w:rsid w:val="00B047B7"/>
    <w:rsid w:val="00B04DD4"/>
    <w:rsid w:val="00B05051"/>
    <w:rsid w:val="00B05572"/>
    <w:rsid w:val="00B055E0"/>
    <w:rsid w:val="00B05737"/>
    <w:rsid w:val="00B058AF"/>
    <w:rsid w:val="00B058EC"/>
    <w:rsid w:val="00B059DF"/>
    <w:rsid w:val="00B05BDD"/>
    <w:rsid w:val="00B05EF8"/>
    <w:rsid w:val="00B06355"/>
    <w:rsid w:val="00B0652B"/>
    <w:rsid w:val="00B06613"/>
    <w:rsid w:val="00B06BC3"/>
    <w:rsid w:val="00B06CFB"/>
    <w:rsid w:val="00B071BF"/>
    <w:rsid w:val="00B0726F"/>
    <w:rsid w:val="00B07B3C"/>
    <w:rsid w:val="00B07D9F"/>
    <w:rsid w:val="00B1015F"/>
    <w:rsid w:val="00B101BA"/>
    <w:rsid w:val="00B10216"/>
    <w:rsid w:val="00B10641"/>
    <w:rsid w:val="00B1064D"/>
    <w:rsid w:val="00B10696"/>
    <w:rsid w:val="00B1085C"/>
    <w:rsid w:val="00B1087D"/>
    <w:rsid w:val="00B108B2"/>
    <w:rsid w:val="00B10971"/>
    <w:rsid w:val="00B10A23"/>
    <w:rsid w:val="00B1138A"/>
    <w:rsid w:val="00B1157D"/>
    <w:rsid w:val="00B11E1B"/>
    <w:rsid w:val="00B11EA8"/>
    <w:rsid w:val="00B11ECF"/>
    <w:rsid w:val="00B11FEE"/>
    <w:rsid w:val="00B126EF"/>
    <w:rsid w:val="00B12782"/>
    <w:rsid w:val="00B1281C"/>
    <w:rsid w:val="00B12A82"/>
    <w:rsid w:val="00B13340"/>
    <w:rsid w:val="00B135FC"/>
    <w:rsid w:val="00B138BE"/>
    <w:rsid w:val="00B13D74"/>
    <w:rsid w:val="00B13DD3"/>
    <w:rsid w:val="00B13E47"/>
    <w:rsid w:val="00B141F9"/>
    <w:rsid w:val="00B144A9"/>
    <w:rsid w:val="00B147C7"/>
    <w:rsid w:val="00B1495A"/>
    <w:rsid w:val="00B14D31"/>
    <w:rsid w:val="00B15347"/>
    <w:rsid w:val="00B15392"/>
    <w:rsid w:val="00B153C4"/>
    <w:rsid w:val="00B154B3"/>
    <w:rsid w:val="00B15815"/>
    <w:rsid w:val="00B15A45"/>
    <w:rsid w:val="00B15B38"/>
    <w:rsid w:val="00B15C45"/>
    <w:rsid w:val="00B15F82"/>
    <w:rsid w:val="00B15FE0"/>
    <w:rsid w:val="00B15FFE"/>
    <w:rsid w:val="00B162B9"/>
    <w:rsid w:val="00B162F1"/>
    <w:rsid w:val="00B169AF"/>
    <w:rsid w:val="00B16AC0"/>
    <w:rsid w:val="00B16E8D"/>
    <w:rsid w:val="00B16F0D"/>
    <w:rsid w:val="00B17189"/>
    <w:rsid w:val="00B1722C"/>
    <w:rsid w:val="00B172DC"/>
    <w:rsid w:val="00B172F1"/>
    <w:rsid w:val="00B1762E"/>
    <w:rsid w:val="00B17DA7"/>
    <w:rsid w:val="00B17E86"/>
    <w:rsid w:val="00B17F04"/>
    <w:rsid w:val="00B20021"/>
    <w:rsid w:val="00B2016E"/>
    <w:rsid w:val="00B2021A"/>
    <w:rsid w:val="00B20693"/>
    <w:rsid w:val="00B206BB"/>
    <w:rsid w:val="00B207D2"/>
    <w:rsid w:val="00B20806"/>
    <w:rsid w:val="00B20A00"/>
    <w:rsid w:val="00B20A67"/>
    <w:rsid w:val="00B20B6B"/>
    <w:rsid w:val="00B20F9F"/>
    <w:rsid w:val="00B2121C"/>
    <w:rsid w:val="00B21348"/>
    <w:rsid w:val="00B21439"/>
    <w:rsid w:val="00B21828"/>
    <w:rsid w:val="00B21C21"/>
    <w:rsid w:val="00B222A3"/>
    <w:rsid w:val="00B2241F"/>
    <w:rsid w:val="00B2247F"/>
    <w:rsid w:val="00B22726"/>
    <w:rsid w:val="00B227B5"/>
    <w:rsid w:val="00B227FB"/>
    <w:rsid w:val="00B22B36"/>
    <w:rsid w:val="00B22CE3"/>
    <w:rsid w:val="00B22EBD"/>
    <w:rsid w:val="00B231D2"/>
    <w:rsid w:val="00B234B9"/>
    <w:rsid w:val="00B236F0"/>
    <w:rsid w:val="00B23E5E"/>
    <w:rsid w:val="00B24222"/>
    <w:rsid w:val="00B242D8"/>
    <w:rsid w:val="00B24725"/>
    <w:rsid w:val="00B24E17"/>
    <w:rsid w:val="00B24FF4"/>
    <w:rsid w:val="00B251A9"/>
    <w:rsid w:val="00B254E6"/>
    <w:rsid w:val="00B2591D"/>
    <w:rsid w:val="00B25A44"/>
    <w:rsid w:val="00B25D74"/>
    <w:rsid w:val="00B2640B"/>
    <w:rsid w:val="00B26F34"/>
    <w:rsid w:val="00B2734B"/>
    <w:rsid w:val="00B300C1"/>
    <w:rsid w:val="00B30589"/>
    <w:rsid w:val="00B30765"/>
    <w:rsid w:val="00B30B82"/>
    <w:rsid w:val="00B30BCA"/>
    <w:rsid w:val="00B31069"/>
    <w:rsid w:val="00B310BF"/>
    <w:rsid w:val="00B31540"/>
    <w:rsid w:val="00B32218"/>
    <w:rsid w:val="00B32307"/>
    <w:rsid w:val="00B3256A"/>
    <w:rsid w:val="00B3262B"/>
    <w:rsid w:val="00B32886"/>
    <w:rsid w:val="00B32D38"/>
    <w:rsid w:val="00B33379"/>
    <w:rsid w:val="00B33431"/>
    <w:rsid w:val="00B334A0"/>
    <w:rsid w:val="00B3367C"/>
    <w:rsid w:val="00B3425C"/>
    <w:rsid w:val="00B34587"/>
    <w:rsid w:val="00B34EE1"/>
    <w:rsid w:val="00B34EFE"/>
    <w:rsid w:val="00B34F80"/>
    <w:rsid w:val="00B3505A"/>
    <w:rsid w:val="00B353EB"/>
    <w:rsid w:val="00B35454"/>
    <w:rsid w:val="00B35747"/>
    <w:rsid w:val="00B36D08"/>
    <w:rsid w:val="00B37045"/>
    <w:rsid w:val="00B3706E"/>
    <w:rsid w:val="00B371E8"/>
    <w:rsid w:val="00B373B8"/>
    <w:rsid w:val="00B37F23"/>
    <w:rsid w:val="00B40215"/>
    <w:rsid w:val="00B4035F"/>
    <w:rsid w:val="00B40385"/>
    <w:rsid w:val="00B403A5"/>
    <w:rsid w:val="00B40A99"/>
    <w:rsid w:val="00B40C55"/>
    <w:rsid w:val="00B40D32"/>
    <w:rsid w:val="00B40E00"/>
    <w:rsid w:val="00B40FCC"/>
    <w:rsid w:val="00B40FEE"/>
    <w:rsid w:val="00B41459"/>
    <w:rsid w:val="00B4166D"/>
    <w:rsid w:val="00B41803"/>
    <w:rsid w:val="00B41A41"/>
    <w:rsid w:val="00B41C89"/>
    <w:rsid w:val="00B42219"/>
    <w:rsid w:val="00B422B1"/>
    <w:rsid w:val="00B42931"/>
    <w:rsid w:val="00B42C52"/>
    <w:rsid w:val="00B43273"/>
    <w:rsid w:val="00B436F9"/>
    <w:rsid w:val="00B43A1D"/>
    <w:rsid w:val="00B43E21"/>
    <w:rsid w:val="00B440F1"/>
    <w:rsid w:val="00B4440F"/>
    <w:rsid w:val="00B4458C"/>
    <w:rsid w:val="00B45401"/>
    <w:rsid w:val="00B455D1"/>
    <w:rsid w:val="00B456CC"/>
    <w:rsid w:val="00B45B7D"/>
    <w:rsid w:val="00B45F9C"/>
    <w:rsid w:val="00B460B5"/>
    <w:rsid w:val="00B4625A"/>
    <w:rsid w:val="00B46328"/>
    <w:rsid w:val="00B46480"/>
    <w:rsid w:val="00B46885"/>
    <w:rsid w:val="00B46931"/>
    <w:rsid w:val="00B46C35"/>
    <w:rsid w:val="00B46EE5"/>
    <w:rsid w:val="00B471D6"/>
    <w:rsid w:val="00B47A52"/>
    <w:rsid w:val="00B47C44"/>
    <w:rsid w:val="00B50110"/>
    <w:rsid w:val="00B5011E"/>
    <w:rsid w:val="00B50614"/>
    <w:rsid w:val="00B50930"/>
    <w:rsid w:val="00B50C8B"/>
    <w:rsid w:val="00B50E61"/>
    <w:rsid w:val="00B51083"/>
    <w:rsid w:val="00B510C2"/>
    <w:rsid w:val="00B515EB"/>
    <w:rsid w:val="00B519F0"/>
    <w:rsid w:val="00B51A12"/>
    <w:rsid w:val="00B51A17"/>
    <w:rsid w:val="00B51FFE"/>
    <w:rsid w:val="00B52459"/>
    <w:rsid w:val="00B52463"/>
    <w:rsid w:val="00B5271D"/>
    <w:rsid w:val="00B5281F"/>
    <w:rsid w:val="00B52965"/>
    <w:rsid w:val="00B529D5"/>
    <w:rsid w:val="00B52F76"/>
    <w:rsid w:val="00B53232"/>
    <w:rsid w:val="00B53D32"/>
    <w:rsid w:val="00B53DEA"/>
    <w:rsid w:val="00B53E3E"/>
    <w:rsid w:val="00B541C6"/>
    <w:rsid w:val="00B541F3"/>
    <w:rsid w:val="00B54449"/>
    <w:rsid w:val="00B544DC"/>
    <w:rsid w:val="00B54520"/>
    <w:rsid w:val="00B5477B"/>
    <w:rsid w:val="00B548B0"/>
    <w:rsid w:val="00B54BEE"/>
    <w:rsid w:val="00B550C3"/>
    <w:rsid w:val="00B5536A"/>
    <w:rsid w:val="00B55E6E"/>
    <w:rsid w:val="00B560A5"/>
    <w:rsid w:val="00B57485"/>
    <w:rsid w:val="00B5757F"/>
    <w:rsid w:val="00B57A1D"/>
    <w:rsid w:val="00B6023F"/>
    <w:rsid w:val="00B606FE"/>
    <w:rsid w:val="00B608CC"/>
    <w:rsid w:val="00B60C4F"/>
    <w:rsid w:val="00B60E60"/>
    <w:rsid w:val="00B61249"/>
    <w:rsid w:val="00B617AE"/>
    <w:rsid w:val="00B61AB3"/>
    <w:rsid w:val="00B61F5E"/>
    <w:rsid w:val="00B6232D"/>
    <w:rsid w:val="00B62644"/>
    <w:rsid w:val="00B62C3F"/>
    <w:rsid w:val="00B62D47"/>
    <w:rsid w:val="00B6386D"/>
    <w:rsid w:val="00B6388A"/>
    <w:rsid w:val="00B6395E"/>
    <w:rsid w:val="00B63A2F"/>
    <w:rsid w:val="00B63BDB"/>
    <w:rsid w:val="00B63FF7"/>
    <w:rsid w:val="00B64382"/>
    <w:rsid w:val="00B6458B"/>
    <w:rsid w:val="00B64ADE"/>
    <w:rsid w:val="00B64B0A"/>
    <w:rsid w:val="00B64F9B"/>
    <w:rsid w:val="00B65030"/>
    <w:rsid w:val="00B650F7"/>
    <w:rsid w:val="00B657B1"/>
    <w:rsid w:val="00B658BA"/>
    <w:rsid w:val="00B65A05"/>
    <w:rsid w:val="00B65CA3"/>
    <w:rsid w:val="00B65CE9"/>
    <w:rsid w:val="00B65DCB"/>
    <w:rsid w:val="00B65F17"/>
    <w:rsid w:val="00B65FBB"/>
    <w:rsid w:val="00B66488"/>
    <w:rsid w:val="00B6652D"/>
    <w:rsid w:val="00B6676C"/>
    <w:rsid w:val="00B667B1"/>
    <w:rsid w:val="00B667E4"/>
    <w:rsid w:val="00B66A8E"/>
    <w:rsid w:val="00B66B1A"/>
    <w:rsid w:val="00B675A3"/>
    <w:rsid w:val="00B679D2"/>
    <w:rsid w:val="00B67D12"/>
    <w:rsid w:val="00B70125"/>
    <w:rsid w:val="00B706DD"/>
    <w:rsid w:val="00B708D3"/>
    <w:rsid w:val="00B711B7"/>
    <w:rsid w:val="00B71395"/>
    <w:rsid w:val="00B7185D"/>
    <w:rsid w:val="00B72120"/>
    <w:rsid w:val="00B72169"/>
    <w:rsid w:val="00B7253A"/>
    <w:rsid w:val="00B7281A"/>
    <w:rsid w:val="00B72893"/>
    <w:rsid w:val="00B72A07"/>
    <w:rsid w:val="00B72E47"/>
    <w:rsid w:val="00B72E97"/>
    <w:rsid w:val="00B72EC8"/>
    <w:rsid w:val="00B7365D"/>
    <w:rsid w:val="00B73A05"/>
    <w:rsid w:val="00B73A21"/>
    <w:rsid w:val="00B73D3E"/>
    <w:rsid w:val="00B73DA1"/>
    <w:rsid w:val="00B74194"/>
    <w:rsid w:val="00B74E04"/>
    <w:rsid w:val="00B75351"/>
    <w:rsid w:val="00B75410"/>
    <w:rsid w:val="00B75463"/>
    <w:rsid w:val="00B7562A"/>
    <w:rsid w:val="00B75736"/>
    <w:rsid w:val="00B758AF"/>
    <w:rsid w:val="00B75D83"/>
    <w:rsid w:val="00B75D9B"/>
    <w:rsid w:val="00B763F9"/>
    <w:rsid w:val="00B76403"/>
    <w:rsid w:val="00B76A95"/>
    <w:rsid w:val="00B76DFC"/>
    <w:rsid w:val="00B770B8"/>
    <w:rsid w:val="00B7718B"/>
    <w:rsid w:val="00B77435"/>
    <w:rsid w:val="00B7745E"/>
    <w:rsid w:val="00B7747F"/>
    <w:rsid w:val="00B7759B"/>
    <w:rsid w:val="00B779FF"/>
    <w:rsid w:val="00B77B1D"/>
    <w:rsid w:val="00B80521"/>
    <w:rsid w:val="00B8055B"/>
    <w:rsid w:val="00B8065C"/>
    <w:rsid w:val="00B8069B"/>
    <w:rsid w:val="00B80C00"/>
    <w:rsid w:val="00B81449"/>
    <w:rsid w:val="00B8172B"/>
    <w:rsid w:val="00B819F4"/>
    <w:rsid w:val="00B81B90"/>
    <w:rsid w:val="00B81C2A"/>
    <w:rsid w:val="00B81C93"/>
    <w:rsid w:val="00B81EA2"/>
    <w:rsid w:val="00B82384"/>
    <w:rsid w:val="00B8268A"/>
    <w:rsid w:val="00B82995"/>
    <w:rsid w:val="00B82A4D"/>
    <w:rsid w:val="00B82B22"/>
    <w:rsid w:val="00B82B33"/>
    <w:rsid w:val="00B82D75"/>
    <w:rsid w:val="00B839E6"/>
    <w:rsid w:val="00B83AE5"/>
    <w:rsid w:val="00B83BDC"/>
    <w:rsid w:val="00B83E88"/>
    <w:rsid w:val="00B83EF5"/>
    <w:rsid w:val="00B8403A"/>
    <w:rsid w:val="00B84150"/>
    <w:rsid w:val="00B84293"/>
    <w:rsid w:val="00B8433F"/>
    <w:rsid w:val="00B8464B"/>
    <w:rsid w:val="00B84869"/>
    <w:rsid w:val="00B84D2C"/>
    <w:rsid w:val="00B85255"/>
    <w:rsid w:val="00B856E5"/>
    <w:rsid w:val="00B8581D"/>
    <w:rsid w:val="00B85E92"/>
    <w:rsid w:val="00B860A0"/>
    <w:rsid w:val="00B860AB"/>
    <w:rsid w:val="00B867D2"/>
    <w:rsid w:val="00B86B1E"/>
    <w:rsid w:val="00B876D4"/>
    <w:rsid w:val="00B90181"/>
    <w:rsid w:val="00B906E5"/>
    <w:rsid w:val="00B9072D"/>
    <w:rsid w:val="00B908F1"/>
    <w:rsid w:val="00B90F5C"/>
    <w:rsid w:val="00B90F9A"/>
    <w:rsid w:val="00B9117C"/>
    <w:rsid w:val="00B91543"/>
    <w:rsid w:val="00B91710"/>
    <w:rsid w:val="00B91E20"/>
    <w:rsid w:val="00B91E98"/>
    <w:rsid w:val="00B91EDD"/>
    <w:rsid w:val="00B92061"/>
    <w:rsid w:val="00B92343"/>
    <w:rsid w:val="00B92432"/>
    <w:rsid w:val="00B9255D"/>
    <w:rsid w:val="00B92837"/>
    <w:rsid w:val="00B9287F"/>
    <w:rsid w:val="00B935B1"/>
    <w:rsid w:val="00B936EE"/>
    <w:rsid w:val="00B9391D"/>
    <w:rsid w:val="00B9432E"/>
    <w:rsid w:val="00B94353"/>
    <w:rsid w:val="00B94614"/>
    <w:rsid w:val="00B947CB"/>
    <w:rsid w:val="00B94AE7"/>
    <w:rsid w:val="00B94CD5"/>
    <w:rsid w:val="00B958E1"/>
    <w:rsid w:val="00B95989"/>
    <w:rsid w:val="00B96104"/>
    <w:rsid w:val="00B96271"/>
    <w:rsid w:val="00B965DD"/>
    <w:rsid w:val="00B9694B"/>
    <w:rsid w:val="00B96A6F"/>
    <w:rsid w:val="00B96CC4"/>
    <w:rsid w:val="00B97042"/>
    <w:rsid w:val="00B974FD"/>
    <w:rsid w:val="00B97561"/>
    <w:rsid w:val="00B975A5"/>
    <w:rsid w:val="00B9774D"/>
    <w:rsid w:val="00B9775B"/>
    <w:rsid w:val="00B97B85"/>
    <w:rsid w:val="00B97F51"/>
    <w:rsid w:val="00BA00BE"/>
    <w:rsid w:val="00BA0300"/>
    <w:rsid w:val="00BA032C"/>
    <w:rsid w:val="00BA0A92"/>
    <w:rsid w:val="00BA0BCD"/>
    <w:rsid w:val="00BA0BD3"/>
    <w:rsid w:val="00BA0D1A"/>
    <w:rsid w:val="00BA10B9"/>
    <w:rsid w:val="00BA1324"/>
    <w:rsid w:val="00BA1387"/>
    <w:rsid w:val="00BA1440"/>
    <w:rsid w:val="00BA14CF"/>
    <w:rsid w:val="00BA1601"/>
    <w:rsid w:val="00BA1646"/>
    <w:rsid w:val="00BA16CA"/>
    <w:rsid w:val="00BA184E"/>
    <w:rsid w:val="00BA18DE"/>
    <w:rsid w:val="00BA1A62"/>
    <w:rsid w:val="00BA1B81"/>
    <w:rsid w:val="00BA1DAA"/>
    <w:rsid w:val="00BA1E76"/>
    <w:rsid w:val="00BA24C4"/>
    <w:rsid w:val="00BA296C"/>
    <w:rsid w:val="00BA2EEA"/>
    <w:rsid w:val="00BA31CC"/>
    <w:rsid w:val="00BA349F"/>
    <w:rsid w:val="00BA3613"/>
    <w:rsid w:val="00BA3728"/>
    <w:rsid w:val="00BA3FB7"/>
    <w:rsid w:val="00BA487E"/>
    <w:rsid w:val="00BA51EC"/>
    <w:rsid w:val="00BA5337"/>
    <w:rsid w:val="00BA53C0"/>
    <w:rsid w:val="00BA53F3"/>
    <w:rsid w:val="00BA5AD8"/>
    <w:rsid w:val="00BA5C38"/>
    <w:rsid w:val="00BA5DF1"/>
    <w:rsid w:val="00BA5EF3"/>
    <w:rsid w:val="00BA60E7"/>
    <w:rsid w:val="00BA612E"/>
    <w:rsid w:val="00BA6145"/>
    <w:rsid w:val="00BA635C"/>
    <w:rsid w:val="00BA6685"/>
    <w:rsid w:val="00BA679C"/>
    <w:rsid w:val="00BA69B6"/>
    <w:rsid w:val="00BA6F41"/>
    <w:rsid w:val="00BA756C"/>
    <w:rsid w:val="00BA767B"/>
    <w:rsid w:val="00BA78D1"/>
    <w:rsid w:val="00BA7AA8"/>
    <w:rsid w:val="00BA7D7D"/>
    <w:rsid w:val="00BB06A8"/>
    <w:rsid w:val="00BB14B7"/>
    <w:rsid w:val="00BB15DC"/>
    <w:rsid w:val="00BB1E08"/>
    <w:rsid w:val="00BB1E57"/>
    <w:rsid w:val="00BB222B"/>
    <w:rsid w:val="00BB22D2"/>
    <w:rsid w:val="00BB2665"/>
    <w:rsid w:val="00BB26AF"/>
    <w:rsid w:val="00BB2856"/>
    <w:rsid w:val="00BB2B04"/>
    <w:rsid w:val="00BB2BB3"/>
    <w:rsid w:val="00BB2C14"/>
    <w:rsid w:val="00BB2E63"/>
    <w:rsid w:val="00BB31A3"/>
    <w:rsid w:val="00BB342C"/>
    <w:rsid w:val="00BB3C22"/>
    <w:rsid w:val="00BB3F1F"/>
    <w:rsid w:val="00BB4A12"/>
    <w:rsid w:val="00BB4C3D"/>
    <w:rsid w:val="00BB4E94"/>
    <w:rsid w:val="00BB5670"/>
    <w:rsid w:val="00BB5ABD"/>
    <w:rsid w:val="00BB5C00"/>
    <w:rsid w:val="00BB6344"/>
    <w:rsid w:val="00BB6738"/>
    <w:rsid w:val="00BB689F"/>
    <w:rsid w:val="00BB6AA5"/>
    <w:rsid w:val="00BB6E61"/>
    <w:rsid w:val="00BB7454"/>
    <w:rsid w:val="00BB7795"/>
    <w:rsid w:val="00BB7A39"/>
    <w:rsid w:val="00BB7AAA"/>
    <w:rsid w:val="00BB7C01"/>
    <w:rsid w:val="00BC0075"/>
    <w:rsid w:val="00BC03ED"/>
    <w:rsid w:val="00BC1172"/>
    <w:rsid w:val="00BC1663"/>
    <w:rsid w:val="00BC17B6"/>
    <w:rsid w:val="00BC1821"/>
    <w:rsid w:val="00BC1CB5"/>
    <w:rsid w:val="00BC1CC0"/>
    <w:rsid w:val="00BC1D55"/>
    <w:rsid w:val="00BC2098"/>
    <w:rsid w:val="00BC2424"/>
    <w:rsid w:val="00BC2599"/>
    <w:rsid w:val="00BC29AB"/>
    <w:rsid w:val="00BC2B5B"/>
    <w:rsid w:val="00BC2B77"/>
    <w:rsid w:val="00BC39AC"/>
    <w:rsid w:val="00BC39DF"/>
    <w:rsid w:val="00BC3AD8"/>
    <w:rsid w:val="00BC42F9"/>
    <w:rsid w:val="00BC4384"/>
    <w:rsid w:val="00BC44DB"/>
    <w:rsid w:val="00BC45D5"/>
    <w:rsid w:val="00BC47D9"/>
    <w:rsid w:val="00BC52D2"/>
    <w:rsid w:val="00BC52F3"/>
    <w:rsid w:val="00BC5AFA"/>
    <w:rsid w:val="00BC5BCD"/>
    <w:rsid w:val="00BC5F46"/>
    <w:rsid w:val="00BC6099"/>
    <w:rsid w:val="00BC6174"/>
    <w:rsid w:val="00BC618E"/>
    <w:rsid w:val="00BC6306"/>
    <w:rsid w:val="00BC6359"/>
    <w:rsid w:val="00BC67A5"/>
    <w:rsid w:val="00BC6824"/>
    <w:rsid w:val="00BC692A"/>
    <w:rsid w:val="00BC708A"/>
    <w:rsid w:val="00BC745C"/>
    <w:rsid w:val="00BC76AE"/>
    <w:rsid w:val="00BC7B37"/>
    <w:rsid w:val="00BD01C9"/>
    <w:rsid w:val="00BD051A"/>
    <w:rsid w:val="00BD0678"/>
    <w:rsid w:val="00BD06EB"/>
    <w:rsid w:val="00BD081B"/>
    <w:rsid w:val="00BD083E"/>
    <w:rsid w:val="00BD09CC"/>
    <w:rsid w:val="00BD0A3F"/>
    <w:rsid w:val="00BD0C11"/>
    <w:rsid w:val="00BD0DA4"/>
    <w:rsid w:val="00BD1326"/>
    <w:rsid w:val="00BD1846"/>
    <w:rsid w:val="00BD1863"/>
    <w:rsid w:val="00BD1D1E"/>
    <w:rsid w:val="00BD1F60"/>
    <w:rsid w:val="00BD225D"/>
    <w:rsid w:val="00BD2AAF"/>
    <w:rsid w:val="00BD2B1B"/>
    <w:rsid w:val="00BD2F58"/>
    <w:rsid w:val="00BD315A"/>
    <w:rsid w:val="00BD45DC"/>
    <w:rsid w:val="00BD4767"/>
    <w:rsid w:val="00BD4E42"/>
    <w:rsid w:val="00BD4F2A"/>
    <w:rsid w:val="00BD569C"/>
    <w:rsid w:val="00BD5DF4"/>
    <w:rsid w:val="00BD5E50"/>
    <w:rsid w:val="00BD624B"/>
    <w:rsid w:val="00BD6675"/>
    <w:rsid w:val="00BD6BA7"/>
    <w:rsid w:val="00BD6FF4"/>
    <w:rsid w:val="00BD70C8"/>
    <w:rsid w:val="00BD70EB"/>
    <w:rsid w:val="00BD75A1"/>
    <w:rsid w:val="00BD75DA"/>
    <w:rsid w:val="00BD7CAB"/>
    <w:rsid w:val="00BD7DB1"/>
    <w:rsid w:val="00BE01BA"/>
    <w:rsid w:val="00BE0460"/>
    <w:rsid w:val="00BE04E2"/>
    <w:rsid w:val="00BE08B9"/>
    <w:rsid w:val="00BE08F8"/>
    <w:rsid w:val="00BE0995"/>
    <w:rsid w:val="00BE0A88"/>
    <w:rsid w:val="00BE0F70"/>
    <w:rsid w:val="00BE10A5"/>
    <w:rsid w:val="00BE10BB"/>
    <w:rsid w:val="00BE1731"/>
    <w:rsid w:val="00BE1833"/>
    <w:rsid w:val="00BE183A"/>
    <w:rsid w:val="00BE1BFA"/>
    <w:rsid w:val="00BE2381"/>
    <w:rsid w:val="00BE23B6"/>
    <w:rsid w:val="00BE255D"/>
    <w:rsid w:val="00BE27B6"/>
    <w:rsid w:val="00BE293D"/>
    <w:rsid w:val="00BE2AD4"/>
    <w:rsid w:val="00BE30DA"/>
    <w:rsid w:val="00BE315B"/>
    <w:rsid w:val="00BE359D"/>
    <w:rsid w:val="00BE377D"/>
    <w:rsid w:val="00BE3D28"/>
    <w:rsid w:val="00BE4081"/>
    <w:rsid w:val="00BE4901"/>
    <w:rsid w:val="00BE4912"/>
    <w:rsid w:val="00BE4CE3"/>
    <w:rsid w:val="00BE4CF5"/>
    <w:rsid w:val="00BE4EA0"/>
    <w:rsid w:val="00BE4F82"/>
    <w:rsid w:val="00BE522A"/>
    <w:rsid w:val="00BE52A8"/>
    <w:rsid w:val="00BE52EC"/>
    <w:rsid w:val="00BE542E"/>
    <w:rsid w:val="00BE58E5"/>
    <w:rsid w:val="00BE5AD6"/>
    <w:rsid w:val="00BE5E1B"/>
    <w:rsid w:val="00BE623F"/>
    <w:rsid w:val="00BE65A4"/>
    <w:rsid w:val="00BE65BF"/>
    <w:rsid w:val="00BE6712"/>
    <w:rsid w:val="00BE6A0C"/>
    <w:rsid w:val="00BE6B31"/>
    <w:rsid w:val="00BE6B7D"/>
    <w:rsid w:val="00BE6BCB"/>
    <w:rsid w:val="00BE6C8F"/>
    <w:rsid w:val="00BE6ED6"/>
    <w:rsid w:val="00BE71F6"/>
    <w:rsid w:val="00BE7346"/>
    <w:rsid w:val="00BE734E"/>
    <w:rsid w:val="00BE7387"/>
    <w:rsid w:val="00BE7A43"/>
    <w:rsid w:val="00BE7F1E"/>
    <w:rsid w:val="00BF00C2"/>
    <w:rsid w:val="00BF05A2"/>
    <w:rsid w:val="00BF06AA"/>
    <w:rsid w:val="00BF0711"/>
    <w:rsid w:val="00BF0770"/>
    <w:rsid w:val="00BF080F"/>
    <w:rsid w:val="00BF0A3E"/>
    <w:rsid w:val="00BF0F7B"/>
    <w:rsid w:val="00BF0FFE"/>
    <w:rsid w:val="00BF1015"/>
    <w:rsid w:val="00BF13D9"/>
    <w:rsid w:val="00BF140F"/>
    <w:rsid w:val="00BF14A7"/>
    <w:rsid w:val="00BF1C28"/>
    <w:rsid w:val="00BF2226"/>
    <w:rsid w:val="00BF27D2"/>
    <w:rsid w:val="00BF2AF0"/>
    <w:rsid w:val="00BF2BB4"/>
    <w:rsid w:val="00BF3029"/>
    <w:rsid w:val="00BF30F0"/>
    <w:rsid w:val="00BF33D4"/>
    <w:rsid w:val="00BF34F4"/>
    <w:rsid w:val="00BF3638"/>
    <w:rsid w:val="00BF39C9"/>
    <w:rsid w:val="00BF3DE3"/>
    <w:rsid w:val="00BF3E1A"/>
    <w:rsid w:val="00BF46AD"/>
    <w:rsid w:val="00BF4B80"/>
    <w:rsid w:val="00BF4D0B"/>
    <w:rsid w:val="00BF4F66"/>
    <w:rsid w:val="00BF5013"/>
    <w:rsid w:val="00BF5016"/>
    <w:rsid w:val="00BF542A"/>
    <w:rsid w:val="00BF545C"/>
    <w:rsid w:val="00BF54D4"/>
    <w:rsid w:val="00BF5E7B"/>
    <w:rsid w:val="00BF5F75"/>
    <w:rsid w:val="00BF6071"/>
    <w:rsid w:val="00BF613B"/>
    <w:rsid w:val="00BF6238"/>
    <w:rsid w:val="00BF6827"/>
    <w:rsid w:val="00BF6950"/>
    <w:rsid w:val="00BF6A2B"/>
    <w:rsid w:val="00BF6B20"/>
    <w:rsid w:val="00BF6D61"/>
    <w:rsid w:val="00BF77A9"/>
    <w:rsid w:val="00BF7D38"/>
    <w:rsid w:val="00BF7E6B"/>
    <w:rsid w:val="00C0010D"/>
    <w:rsid w:val="00C00281"/>
    <w:rsid w:val="00C0042A"/>
    <w:rsid w:val="00C00474"/>
    <w:rsid w:val="00C00A15"/>
    <w:rsid w:val="00C0186E"/>
    <w:rsid w:val="00C01D4D"/>
    <w:rsid w:val="00C01DF1"/>
    <w:rsid w:val="00C021EE"/>
    <w:rsid w:val="00C02583"/>
    <w:rsid w:val="00C0281A"/>
    <w:rsid w:val="00C02A15"/>
    <w:rsid w:val="00C02A88"/>
    <w:rsid w:val="00C0326D"/>
    <w:rsid w:val="00C03409"/>
    <w:rsid w:val="00C03637"/>
    <w:rsid w:val="00C03687"/>
    <w:rsid w:val="00C037F6"/>
    <w:rsid w:val="00C03A74"/>
    <w:rsid w:val="00C03F5F"/>
    <w:rsid w:val="00C0423C"/>
    <w:rsid w:val="00C04262"/>
    <w:rsid w:val="00C045F1"/>
    <w:rsid w:val="00C045F4"/>
    <w:rsid w:val="00C04674"/>
    <w:rsid w:val="00C04878"/>
    <w:rsid w:val="00C04A06"/>
    <w:rsid w:val="00C04ACA"/>
    <w:rsid w:val="00C04B75"/>
    <w:rsid w:val="00C04DC9"/>
    <w:rsid w:val="00C050EF"/>
    <w:rsid w:val="00C051D1"/>
    <w:rsid w:val="00C05710"/>
    <w:rsid w:val="00C06077"/>
    <w:rsid w:val="00C06310"/>
    <w:rsid w:val="00C0657B"/>
    <w:rsid w:val="00C068C9"/>
    <w:rsid w:val="00C0719A"/>
    <w:rsid w:val="00C077F6"/>
    <w:rsid w:val="00C07917"/>
    <w:rsid w:val="00C07F70"/>
    <w:rsid w:val="00C10425"/>
    <w:rsid w:val="00C10B24"/>
    <w:rsid w:val="00C10C86"/>
    <w:rsid w:val="00C11234"/>
    <w:rsid w:val="00C11614"/>
    <w:rsid w:val="00C11ADE"/>
    <w:rsid w:val="00C1231E"/>
    <w:rsid w:val="00C127E1"/>
    <w:rsid w:val="00C12B0F"/>
    <w:rsid w:val="00C12DF1"/>
    <w:rsid w:val="00C12FC0"/>
    <w:rsid w:val="00C13606"/>
    <w:rsid w:val="00C137DF"/>
    <w:rsid w:val="00C1385E"/>
    <w:rsid w:val="00C141E0"/>
    <w:rsid w:val="00C14658"/>
    <w:rsid w:val="00C14661"/>
    <w:rsid w:val="00C14726"/>
    <w:rsid w:val="00C14A3A"/>
    <w:rsid w:val="00C1500F"/>
    <w:rsid w:val="00C15902"/>
    <w:rsid w:val="00C16157"/>
    <w:rsid w:val="00C16178"/>
    <w:rsid w:val="00C162BB"/>
    <w:rsid w:val="00C1643D"/>
    <w:rsid w:val="00C16725"/>
    <w:rsid w:val="00C16A78"/>
    <w:rsid w:val="00C17232"/>
    <w:rsid w:val="00C1730E"/>
    <w:rsid w:val="00C17421"/>
    <w:rsid w:val="00C1755D"/>
    <w:rsid w:val="00C17672"/>
    <w:rsid w:val="00C179B3"/>
    <w:rsid w:val="00C2057B"/>
    <w:rsid w:val="00C206C7"/>
    <w:rsid w:val="00C20A59"/>
    <w:rsid w:val="00C20A9E"/>
    <w:rsid w:val="00C20D2C"/>
    <w:rsid w:val="00C20D59"/>
    <w:rsid w:val="00C20DBE"/>
    <w:rsid w:val="00C210F3"/>
    <w:rsid w:val="00C2122B"/>
    <w:rsid w:val="00C216AA"/>
    <w:rsid w:val="00C2179F"/>
    <w:rsid w:val="00C217F1"/>
    <w:rsid w:val="00C219AF"/>
    <w:rsid w:val="00C21B62"/>
    <w:rsid w:val="00C22B0A"/>
    <w:rsid w:val="00C22B0C"/>
    <w:rsid w:val="00C22C1A"/>
    <w:rsid w:val="00C22D4F"/>
    <w:rsid w:val="00C2323F"/>
    <w:rsid w:val="00C23744"/>
    <w:rsid w:val="00C23920"/>
    <w:rsid w:val="00C23F31"/>
    <w:rsid w:val="00C24160"/>
    <w:rsid w:val="00C242CE"/>
    <w:rsid w:val="00C242F5"/>
    <w:rsid w:val="00C2439B"/>
    <w:rsid w:val="00C24D43"/>
    <w:rsid w:val="00C24D77"/>
    <w:rsid w:val="00C250F9"/>
    <w:rsid w:val="00C256D0"/>
    <w:rsid w:val="00C257EE"/>
    <w:rsid w:val="00C25E01"/>
    <w:rsid w:val="00C261A3"/>
    <w:rsid w:val="00C261F1"/>
    <w:rsid w:val="00C26509"/>
    <w:rsid w:val="00C26B24"/>
    <w:rsid w:val="00C26B81"/>
    <w:rsid w:val="00C26C18"/>
    <w:rsid w:val="00C27851"/>
    <w:rsid w:val="00C279BE"/>
    <w:rsid w:val="00C27C4B"/>
    <w:rsid w:val="00C27DF2"/>
    <w:rsid w:val="00C300DE"/>
    <w:rsid w:val="00C303E4"/>
    <w:rsid w:val="00C30536"/>
    <w:rsid w:val="00C3070C"/>
    <w:rsid w:val="00C30E6B"/>
    <w:rsid w:val="00C30F2A"/>
    <w:rsid w:val="00C3125F"/>
    <w:rsid w:val="00C3139C"/>
    <w:rsid w:val="00C313CA"/>
    <w:rsid w:val="00C31462"/>
    <w:rsid w:val="00C3163A"/>
    <w:rsid w:val="00C31993"/>
    <w:rsid w:val="00C319B3"/>
    <w:rsid w:val="00C31C8B"/>
    <w:rsid w:val="00C31D82"/>
    <w:rsid w:val="00C32501"/>
    <w:rsid w:val="00C327C7"/>
    <w:rsid w:val="00C33598"/>
    <w:rsid w:val="00C33702"/>
    <w:rsid w:val="00C33B42"/>
    <w:rsid w:val="00C33D13"/>
    <w:rsid w:val="00C33DA6"/>
    <w:rsid w:val="00C33F3F"/>
    <w:rsid w:val="00C33FE3"/>
    <w:rsid w:val="00C342DE"/>
    <w:rsid w:val="00C34734"/>
    <w:rsid w:val="00C35060"/>
    <w:rsid w:val="00C351B1"/>
    <w:rsid w:val="00C354D7"/>
    <w:rsid w:val="00C35687"/>
    <w:rsid w:val="00C3591E"/>
    <w:rsid w:val="00C35B49"/>
    <w:rsid w:val="00C36295"/>
    <w:rsid w:val="00C36F23"/>
    <w:rsid w:val="00C37D78"/>
    <w:rsid w:val="00C37FD5"/>
    <w:rsid w:val="00C40085"/>
    <w:rsid w:val="00C40174"/>
    <w:rsid w:val="00C4019A"/>
    <w:rsid w:val="00C40552"/>
    <w:rsid w:val="00C405BE"/>
    <w:rsid w:val="00C4093C"/>
    <w:rsid w:val="00C4107E"/>
    <w:rsid w:val="00C411DF"/>
    <w:rsid w:val="00C41C32"/>
    <w:rsid w:val="00C41D34"/>
    <w:rsid w:val="00C41D6C"/>
    <w:rsid w:val="00C4236E"/>
    <w:rsid w:val="00C423CD"/>
    <w:rsid w:val="00C42582"/>
    <w:rsid w:val="00C4286A"/>
    <w:rsid w:val="00C42C2A"/>
    <w:rsid w:val="00C42CB6"/>
    <w:rsid w:val="00C42FEA"/>
    <w:rsid w:val="00C42FF2"/>
    <w:rsid w:val="00C43009"/>
    <w:rsid w:val="00C4361F"/>
    <w:rsid w:val="00C43A57"/>
    <w:rsid w:val="00C43D7D"/>
    <w:rsid w:val="00C43E4F"/>
    <w:rsid w:val="00C443FD"/>
    <w:rsid w:val="00C444B8"/>
    <w:rsid w:val="00C44516"/>
    <w:rsid w:val="00C44C2D"/>
    <w:rsid w:val="00C44E0C"/>
    <w:rsid w:val="00C451E4"/>
    <w:rsid w:val="00C454F8"/>
    <w:rsid w:val="00C456BC"/>
    <w:rsid w:val="00C458DA"/>
    <w:rsid w:val="00C459B5"/>
    <w:rsid w:val="00C4638D"/>
    <w:rsid w:val="00C463E0"/>
    <w:rsid w:val="00C46429"/>
    <w:rsid w:val="00C4668C"/>
    <w:rsid w:val="00C4684F"/>
    <w:rsid w:val="00C4697D"/>
    <w:rsid w:val="00C46FBA"/>
    <w:rsid w:val="00C4749F"/>
    <w:rsid w:val="00C47775"/>
    <w:rsid w:val="00C477E4"/>
    <w:rsid w:val="00C47CE0"/>
    <w:rsid w:val="00C50049"/>
    <w:rsid w:val="00C500A3"/>
    <w:rsid w:val="00C501FE"/>
    <w:rsid w:val="00C5022F"/>
    <w:rsid w:val="00C50291"/>
    <w:rsid w:val="00C504ED"/>
    <w:rsid w:val="00C50903"/>
    <w:rsid w:val="00C50AF4"/>
    <w:rsid w:val="00C513FB"/>
    <w:rsid w:val="00C51872"/>
    <w:rsid w:val="00C5194A"/>
    <w:rsid w:val="00C51976"/>
    <w:rsid w:val="00C51E47"/>
    <w:rsid w:val="00C521C7"/>
    <w:rsid w:val="00C52354"/>
    <w:rsid w:val="00C52639"/>
    <w:rsid w:val="00C527EE"/>
    <w:rsid w:val="00C528F8"/>
    <w:rsid w:val="00C52FD0"/>
    <w:rsid w:val="00C532F5"/>
    <w:rsid w:val="00C53588"/>
    <w:rsid w:val="00C53710"/>
    <w:rsid w:val="00C537D5"/>
    <w:rsid w:val="00C5384B"/>
    <w:rsid w:val="00C53920"/>
    <w:rsid w:val="00C53A0C"/>
    <w:rsid w:val="00C53A85"/>
    <w:rsid w:val="00C54094"/>
    <w:rsid w:val="00C540D3"/>
    <w:rsid w:val="00C542EE"/>
    <w:rsid w:val="00C54627"/>
    <w:rsid w:val="00C546C0"/>
    <w:rsid w:val="00C54967"/>
    <w:rsid w:val="00C54F61"/>
    <w:rsid w:val="00C55377"/>
    <w:rsid w:val="00C55412"/>
    <w:rsid w:val="00C559A4"/>
    <w:rsid w:val="00C55B4A"/>
    <w:rsid w:val="00C55C2C"/>
    <w:rsid w:val="00C560AB"/>
    <w:rsid w:val="00C5621A"/>
    <w:rsid w:val="00C56717"/>
    <w:rsid w:val="00C56752"/>
    <w:rsid w:val="00C568F6"/>
    <w:rsid w:val="00C56E91"/>
    <w:rsid w:val="00C56F4A"/>
    <w:rsid w:val="00C5701D"/>
    <w:rsid w:val="00C57047"/>
    <w:rsid w:val="00C57092"/>
    <w:rsid w:val="00C572E2"/>
    <w:rsid w:val="00C57479"/>
    <w:rsid w:val="00C57C91"/>
    <w:rsid w:val="00C57E3C"/>
    <w:rsid w:val="00C6052B"/>
    <w:rsid w:val="00C6052D"/>
    <w:rsid w:val="00C60BD5"/>
    <w:rsid w:val="00C60F17"/>
    <w:rsid w:val="00C6109A"/>
    <w:rsid w:val="00C610CD"/>
    <w:rsid w:val="00C6135B"/>
    <w:rsid w:val="00C613A0"/>
    <w:rsid w:val="00C61411"/>
    <w:rsid w:val="00C61484"/>
    <w:rsid w:val="00C616F3"/>
    <w:rsid w:val="00C61A11"/>
    <w:rsid w:val="00C61A32"/>
    <w:rsid w:val="00C61D51"/>
    <w:rsid w:val="00C61F7E"/>
    <w:rsid w:val="00C620E9"/>
    <w:rsid w:val="00C62816"/>
    <w:rsid w:val="00C62CDE"/>
    <w:rsid w:val="00C62EE2"/>
    <w:rsid w:val="00C630BA"/>
    <w:rsid w:val="00C635BA"/>
    <w:rsid w:val="00C63B8F"/>
    <w:rsid w:val="00C63BB2"/>
    <w:rsid w:val="00C645E3"/>
    <w:rsid w:val="00C645EE"/>
    <w:rsid w:val="00C64875"/>
    <w:rsid w:val="00C64A71"/>
    <w:rsid w:val="00C64D33"/>
    <w:rsid w:val="00C653DF"/>
    <w:rsid w:val="00C654AC"/>
    <w:rsid w:val="00C6576E"/>
    <w:rsid w:val="00C6582B"/>
    <w:rsid w:val="00C65A83"/>
    <w:rsid w:val="00C65C48"/>
    <w:rsid w:val="00C66284"/>
    <w:rsid w:val="00C6634A"/>
    <w:rsid w:val="00C663D0"/>
    <w:rsid w:val="00C6696D"/>
    <w:rsid w:val="00C66988"/>
    <w:rsid w:val="00C66D3D"/>
    <w:rsid w:val="00C66D5E"/>
    <w:rsid w:val="00C670F1"/>
    <w:rsid w:val="00C6710F"/>
    <w:rsid w:val="00C672F0"/>
    <w:rsid w:val="00C67655"/>
    <w:rsid w:val="00C676EC"/>
    <w:rsid w:val="00C67901"/>
    <w:rsid w:val="00C67E04"/>
    <w:rsid w:val="00C67EEF"/>
    <w:rsid w:val="00C704E1"/>
    <w:rsid w:val="00C70956"/>
    <w:rsid w:val="00C70B5D"/>
    <w:rsid w:val="00C70DBB"/>
    <w:rsid w:val="00C70EA8"/>
    <w:rsid w:val="00C710D3"/>
    <w:rsid w:val="00C7151C"/>
    <w:rsid w:val="00C715CF"/>
    <w:rsid w:val="00C71651"/>
    <w:rsid w:val="00C71B95"/>
    <w:rsid w:val="00C72225"/>
    <w:rsid w:val="00C726C9"/>
    <w:rsid w:val="00C727CF"/>
    <w:rsid w:val="00C72948"/>
    <w:rsid w:val="00C72E3C"/>
    <w:rsid w:val="00C72FA7"/>
    <w:rsid w:val="00C733E8"/>
    <w:rsid w:val="00C738DD"/>
    <w:rsid w:val="00C73902"/>
    <w:rsid w:val="00C73C80"/>
    <w:rsid w:val="00C73E01"/>
    <w:rsid w:val="00C746BE"/>
    <w:rsid w:val="00C749D6"/>
    <w:rsid w:val="00C74F1A"/>
    <w:rsid w:val="00C75093"/>
    <w:rsid w:val="00C7536E"/>
    <w:rsid w:val="00C75586"/>
    <w:rsid w:val="00C75821"/>
    <w:rsid w:val="00C75858"/>
    <w:rsid w:val="00C75AE6"/>
    <w:rsid w:val="00C75C7F"/>
    <w:rsid w:val="00C75ED6"/>
    <w:rsid w:val="00C76074"/>
    <w:rsid w:val="00C7609D"/>
    <w:rsid w:val="00C763C1"/>
    <w:rsid w:val="00C764A4"/>
    <w:rsid w:val="00C765A0"/>
    <w:rsid w:val="00C76942"/>
    <w:rsid w:val="00C76B64"/>
    <w:rsid w:val="00C76E20"/>
    <w:rsid w:val="00C76FDC"/>
    <w:rsid w:val="00C77367"/>
    <w:rsid w:val="00C77480"/>
    <w:rsid w:val="00C7767D"/>
    <w:rsid w:val="00C77701"/>
    <w:rsid w:val="00C779C0"/>
    <w:rsid w:val="00C779F1"/>
    <w:rsid w:val="00C77ABD"/>
    <w:rsid w:val="00C77BBE"/>
    <w:rsid w:val="00C80103"/>
    <w:rsid w:val="00C8081A"/>
    <w:rsid w:val="00C80976"/>
    <w:rsid w:val="00C80AD0"/>
    <w:rsid w:val="00C80BED"/>
    <w:rsid w:val="00C810D5"/>
    <w:rsid w:val="00C8117A"/>
    <w:rsid w:val="00C8167E"/>
    <w:rsid w:val="00C819B0"/>
    <w:rsid w:val="00C81B97"/>
    <w:rsid w:val="00C81C8C"/>
    <w:rsid w:val="00C81F00"/>
    <w:rsid w:val="00C82258"/>
    <w:rsid w:val="00C823C5"/>
    <w:rsid w:val="00C825D3"/>
    <w:rsid w:val="00C82A89"/>
    <w:rsid w:val="00C82A97"/>
    <w:rsid w:val="00C82E52"/>
    <w:rsid w:val="00C82F0D"/>
    <w:rsid w:val="00C82F55"/>
    <w:rsid w:val="00C831C7"/>
    <w:rsid w:val="00C8360D"/>
    <w:rsid w:val="00C83859"/>
    <w:rsid w:val="00C83B62"/>
    <w:rsid w:val="00C83C9B"/>
    <w:rsid w:val="00C83CCA"/>
    <w:rsid w:val="00C83CD0"/>
    <w:rsid w:val="00C84068"/>
    <w:rsid w:val="00C84150"/>
    <w:rsid w:val="00C8453C"/>
    <w:rsid w:val="00C846CD"/>
    <w:rsid w:val="00C849A4"/>
    <w:rsid w:val="00C84D9D"/>
    <w:rsid w:val="00C84F04"/>
    <w:rsid w:val="00C850E6"/>
    <w:rsid w:val="00C85139"/>
    <w:rsid w:val="00C851F5"/>
    <w:rsid w:val="00C85272"/>
    <w:rsid w:val="00C85279"/>
    <w:rsid w:val="00C8570B"/>
    <w:rsid w:val="00C85743"/>
    <w:rsid w:val="00C85AC9"/>
    <w:rsid w:val="00C85E7F"/>
    <w:rsid w:val="00C86330"/>
    <w:rsid w:val="00C86388"/>
    <w:rsid w:val="00C864EE"/>
    <w:rsid w:val="00C869AE"/>
    <w:rsid w:val="00C8790E"/>
    <w:rsid w:val="00C87918"/>
    <w:rsid w:val="00C87AF7"/>
    <w:rsid w:val="00C87C04"/>
    <w:rsid w:val="00C87E05"/>
    <w:rsid w:val="00C87E98"/>
    <w:rsid w:val="00C901C2"/>
    <w:rsid w:val="00C906D0"/>
    <w:rsid w:val="00C90CD1"/>
    <w:rsid w:val="00C90CDB"/>
    <w:rsid w:val="00C90DF9"/>
    <w:rsid w:val="00C90FCB"/>
    <w:rsid w:val="00C91BBF"/>
    <w:rsid w:val="00C92248"/>
    <w:rsid w:val="00C922C6"/>
    <w:rsid w:val="00C9230E"/>
    <w:rsid w:val="00C923DA"/>
    <w:rsid w:val="00C924EB"/>
    <w:rsid w:val="00C928FF"/>
    <w:rsid w:val="00C92C4D"/>
    <w:rsid w:val="00C93047"/>
    <w:rsid w:val="00C9355B"/>
    <w:rsid w:val="00C938F6"/>
    <w:rsid w:val="00C939A4"/>
    <w:rsid w:val="00C93B74"/>
    <w:rsid w:val="00C941A9"/>
    <w:rsid w:val="00C94224"/>
    <w:rsid w:val="00C94383"/>
    <w:rsid w:val="00C94B7E"/>
    <w:rsid w:val="00C94D32"/>
    <w:rsid w:val="00C94F58"/>
    <w:rsid w:val="00C94FEF"/>
    <w:rsid w:val="00C95025"/>
    <w:rsid w:val="00C95157"/>
    <w:rsid w:val="00C955C6"/>
    <w:rsid w:val="00C959B7"/>
    <w:rsid w:val="00C95D89"/>
    <w:rsid w:val="00C95F3D"/>
    <w:rsid w:val="00C95F90"/>
    <w:rsid w:val="00C96135"/>
    <w:rsid w:val="00C96154"/>
    <w:rsid w:val="00C961B5"/>
    <w:rsid w:val="00C96206"/>
    <w:rsid w:val="00C968DC"/>
    <w:rsid w:val="00C96BDA"/>
    <w:rsid w:val="00C9783D"/>
    <w:rsid w:val="00C97B53"/>
    <w:rsid w:val="00C97BA6"/>
    <w:rsid w:val="00CA09A4"/>
    <w:rsid w:val="00CA0BB1"/>
    <w:rsid w:val="00CA0E91"/>
    <w:rsid w:val="00CA14DA"/>
    <w:rsid w:val="00CA1549"/>
    <w:rsid w:val="00CA1A84"/>
    <w:rsid w:val="00CA1B2F"/>
    <w:rsid w:val="00CA1D92"/>
    <w:rsid w:val="00CA1EC6"/>
    <w:rsid w:val="00CA2664"/>
    <w:rsid w:val="00CA28DB"/>
    <w:rsid w:val="00CA2A25"/>
    <w:rsid w:val="00CA2C57"/>
    <w:rsid w:val="00CA2D95"/>
    <w:rsid w:val="00CA3595"/>
    <w:rsid w:val="00CA3A4C"/>
    <w:rsid w:val="00CA3D1E"/>
    <w:rsid w:val="00CA459D"/>
    <w:rsid w:val="00CA460F"/>
    <w:rsid w:val="00CA475C"/>
    <w:rsid w:val="00CA476A"/>
    <w:rsid w:val="00CA4B78"/>
    <w:rsid w:val="00CA4C26"/>
    <w:rsid w:val="00CA4CAF"/>
    <w:rsid w:val="00CA4D9D"/>
    <w:rsid w:val="00CA512A"/>
    <w:rsid w:val="00CA5312"/>
    <w:rsid w:val="00CA553C"/>
    <w:rsid w:val="00CA5945"/>
    <w:rsid w:val="00CA5A6A"/>
    <w:rsid w:val="00CA5AFF"/>
    <w:rsid w:val="00CA5C26"/>
    <w:rsid w:val="00CA5C74"/>
    <w:rsid w:val="00CA5F3E"/>
    <w:rsid w:val="00CA6223"/>
    <w:rsid w:val="00CA639B"/>
    <w:rsid w:val="00CA64B7"/>
    <w:rsid w:val="00CA6590"/>
    <w:rsid w:val="00CA66E2"/>
    <w:rsid w:val="00CA6820"/>
    <w:rsid w:val="00CA6CA5"/>
    <w:rsid w:val="00CA6D07"/>
    <w:rsid w:val="00CA6EB1"/>
    <w:rsid w:val="00CA731E"/>
    <w:rsid w:val="00CA7733"/>
    <w:rsid w:val="00CA7DDD"/>
    <w:rsid w:val="00CA7DE7"/>
    <w:rsid w:val="00CB04E9"/>
    <w:rsid w:val="00CB08F8"/>
    <w:rsid w:val="00CB09DF"/>
    <w:rsid w:val="00CB09EA"/>
    <w:rsid w:val="00CB0DEC"/>
    <w:rsid w:val="00CB108F"/>
    <w:rsid w:val="00CB1897"/>
    <w:rsid w:val="00CB1B2A"/>
    <w:rsid w:val="00CB1B6E"/>
    <w:rsid w:val="00CB1B70"/>
    <w:rsid w:val="00CB1DF6"/>
    <w:rsid w:val="00CB2086"/>
    <w:rsid w:val="00CB21D2"/>
    <w:rsid w:val="00CB221F"/>
    <w:rsid w:val="00CB2293"/>
    <w:rsid w:val="00CB26AD"/>
    <w:rsid w:val="00CB2D2B"/>
    <w:rsid w:val="00CB2D7A"/>
    <w:rsid w:val="00CB2EB4"/>
    <w:rsid w:val="00CB3427"/>
    <w:rsid w:val="00CB35C9"/>
    <w:rsid w:val="00CB3811"/>
    <w:rsid w:val="00CB455C"/>
    <w:rsid w:val="00CB45B5"/>
    <w:rsid w:val="00CB4741"/>
    <w:rsid w:val="00CB49C0"/>
    <w:rsid w:val="00CB4F88"/>
    <w:rsid w:val="00CB5259"/>
    <w:rsid w:val="00CB56A4"/>
    <w:rsid w:val="00CB5AA7"/>
    <w:rsid w:val="00CB5E35"/>
    <w:rsid w:val="00CB609E"/>
    <w:rsid w:val="00CB639F"/>
    <w:rsid w:val="00CB6955"/>
    <w:rsid w:val="00CB6CF1"/>
    <w:rsid w:val="00CB6E7A"/>
    <w:rsid w:val="00CB7616"/>
    <w:rsid w:val="00CB7874"/>
    <w:rsid w:val="00CB797A"/>
    <w:rsid w:val="00CB7A6A"/>
    <w:rsid w:val="00CB7E40"/>
    <w:rsid w:val="00CB7E9B"/>
    <w:rsid w:val="00CC070B"/>
    <w:rsid w:val="00CC08D1"/>
    <w:rsid w:val="00CC0C89"/>
    <w:rsid w:val="00CC0DCE"/>
    <w:rsid w:val="00CC16C1"/>
    <w:rsid w:val="00CC1A34"/>
    <w:rsid w:val="00CC1D00"/>
    <w:rsid w:val="00CC1D13"/>
    <w:rsid w:val="00CC1E37"/>
    <w:rsid w:val="00CC1F43"/>
    <w:rsid w:val="00CC22F8"/>
    <w:rsid w:val="00CC23C2"/>
    <w:rsid w:val="00CC29B7"/>
    <w:rsid w:val="00CC2A6D"/>
    <w:rsid w:val="00CC2C66"/>
    <w:rsid w:val="00CC2EB0"/>
    <w:rsid w:val="00CC2FA9"/>
    <w:rsid w:val="00CC32CE"/>
    <w:rsid w:val="00CC39D2"/>
    <w:rsid w:val="00CC42A3"/>
    <w:rsid w:val="00CC45F7"/>
    <w:rsid w:val="00CC47FF"/>
    <w:rsid w:val="00CC492E"/>
    <w:rsid w:val="00CC4B3E"/>
    <w:rsid w:val="00CC4C1B"/>
    <w:rsid w:val="00CC5026"/>
    <w:rsid w:val="00CC50BA"/>
    <w:rsid w:val="00CC513B"/>
    <w:rsid w:val="00CC525A"/>
    <w:rsid w:val="00CC526F"/>
    <w:rsid w:val="00CC52BA"/>
    <w:rsid w:val="00CC5D47"/>
    <w:rsid w:val="00CC61D1"/>
    <w:rsid w:val="00CC624D"/>
    <w:rsid w:val="00CC628B"/>
    <w:rsid w:val="00CC66D9"/>
    <w:rsid w:val="00CC6A56"/>
    <w:rsid w:val="00CC6C30"/>
    <w:rsid w:val="00CC70C8"/>
    <w:rsid w:val="00CC7274"/>
    <w:rsid w:val="00CC7480"/>
    <w:rsid w:val="00CC7613"/>
    <w:rsid w:val="00CC77A1"/>
    <w:rsid w:val="00CC7C1C"/>
    <w:rsid w:val="00CC7D8A"/>
    <w:rsid w:val="00CD0113"/>
    <w:rsid w:val="00CD032E"/>
    <w:rsid w:val="00CD0499"/>
    <w:rsid w:val="00CD0614"/>
    <w:rsid w:val="00CD0627"/>
    <w:rsid w:val="00CD0A61"/>
    <w:rsid w:val="00CD0C26"/>
    <w:rsid w:val="00CD0CD4"/>
    <w:rsid w:val="00CD0DF7"/>
    <w:rsid w:val="00CD0E73"/>
    <w:rsid w:val="00CD1489"/>
    <w:rsid w:val="00CD1649"/>
    <w:rsid w:val="00CD16E8"/>
    <w:rsid w:val="00CD1B3E"/>
    <w:rsid w:val="00CD2347"/>
    <w:rsid w:val="00CD242E"/>
    <w:rsid w:val="00CD2658"/>
    <w:rsid w:val="00CD278D"/>
    <w:rsid w:val="00CD2B49"/>
    <w:rsid w:val="00CD2BC1"/>
    <w:rsid w:val="00CD2D3B"/>
    <w:rsid w:val="00CD2E78"/>
    <w:rsid w:val="00CD3033"/>
    <w:rsid w:val="00CD3982"/>
    <w:rsid w:val="00CD3A7F"/>
    <w:rsid w:val="00CD3F1F"/>
    <w:rsid w:val="00CD402B"/>
    <w:rsid w:val="00CD4182"/>
    <w:rsid w:val="00CD434B"/>
    <w:rsid w:val="00CD43EB"/>
    <w:rsid w:val="00CD445B"/>
    <w:rsid w:val="00CD4654"/>
    <w:rsid w:val="00CD47B5"/>
    <w:rsid w:val="00CD4DA8"/>
    <w:rsid w:val="00CD5654"/>
    <w:rsid w:val="00CD57B8"/>
    <w:rsid w:val="00CD5BA7"/>
    <w:rsid w:val="00CD60D2"/>
    <w:rsid w:val="00CD6CE7"/>
    <w:rsid w:val="00CD6E3F"/>
    <w:rsid w:val="00CD6F48"/>
    <w:rsid w:val="00CD75DD"/>
    <w:rsid w:val="00CD7693"/>
    <w:rsid w:val="00CD7DF8"/>
    <w:rsid w:val="00CD7E28"/>
    <w:rsid w:val="00CD7E7A"/>
    <w:rsid w:val="00CD7F0D"/>
    <w:rsid w:val="00CE03C0"/>
    <w:rsid w:val="00CE0562"/>
    <w:rsid w:val="00CE05F4"/>
    <w:rsid w:val="00CE064A"/>
    <w:rsid w:val="00CE070E"/>
    <w:rsid w:val="00CE0A0F"/>
    <w:rsid w:val="00CE0BA5"/>
    <w:rsid w:val="00CE150F"/>
    <w:rsid w:val="00CE1588"/>
    <w:rsid w:val="00CE1722"/>
    <w:rsid w:val="00CE1766"/>
    <w:rsid w:val="00CE17BD"/>
    <w:rsid w:val="00CE1885"/>
    <w:rsid w:val="00CE19AB"/>
    <w:rsid w:val="00CE1B28"/>
    <w:rsid w:val="00CE1D48"/>
    <w:rsid w:val="00CE1EB2"/>
    <w:rsid w:val="00CE253D"/>
    <w:rsid w:val="00CE26A2"/>
    <w:rsid w:val="00CE279C"/>
    <w:rsid w:val="00CE2859"/>
    <w:rsid w:val="00CE285C"/>
    <w:rsid w:val="00CE2885"/>
    <w:rsid w:val="00CE2A4A"/>
    <w:rsid w:val="00CE2C66"/>
    <w:rsid w:val="00CE2D15"/>
    <w:rsid w:val="00CE3548"/>
    <w:rsid w:val="00CE3811"/>
    <w:rsid w:val="00CE3E9B"/>
    <w:rsid w:val="00CE3FE2"/>
    <w:rsid w:val="00CE4052"/>
    <w:rsid w:val="00CE4171"/>
    <w:rsid w:val="00CE47B0"/>
    <w:rsid w:val="00CE4A06"/>
    <w:rsid w:val="00CE555B"/>
    <w:rsid w:val="00CE59CD"/>
    <w:rsid w:val="00CE5C11"/>
    <w:rsid w:val="00CE5C9C"/>
    <w:rsid w:val="00CE62E9"/>
    <w:rsid w:val="00CE64D5"/>
    <w:rsid w:val="00CE651C"/>
    <w:rsid w:val="00CE67E2"/>
    <w:rsid w:val="00CE6807"/>
    <w:rsid w:val="00CE6926"/>
    <w:rsid w:val="00CE694F"/>
    <w:rsid w:val="00CE6994"/>
    <w:rsid w:val="00CE6A4E"/>
    <w:rsid w:val="00CE6BB1"/>
    <w:rsid w:val="00CE73A7"/>
    <w:rsid w:val="00CE74D6"/>
    <w:rsid w:val="00CE7AD2"/>
    <w:rsid w:val="00CE7AFA"/>
    <w:rsid w:val="00CF0369"/>
    <w:rsid w:val="00CF03CA"/>
    <w:rsid w:val="00CF0510"/>
    <w:rsid w:val="00CF0652"/>
    <w:rsid w:val="00CF0A99"/>
    <w:rsid w:val="00CF116D"/>
    <w:rsid w:val="00CF1CD0"/>
    <w:rsid w:val="00CF2580"/>
    <w:rsid w:val="00CF28B9"/>
    <w:rsid w:val="00CF2928"/>
    <w:rsid w:val="00CF2C0A"/>
    <w:rsid w:val="00CF2D91"/>
    <w:rsid w:val="00CF2E5C"/>
    <w:rsid w:val="00CF2F20"/>
    <w:rsid w:val="00CF2F22"/>
    <w:rsid w:val="00CF325F"/>
    <w:rsid w:val="00CF34B7"/>
    <w:rsid w:val="00CF3553"/>
    <w:rsid w:val="00CF36F4"/>
    <w:rsid w:val="00CF389B"/>
    <w:rsid w:val="00CF3938"/>
    <w:rsid w:val="00CF3C73"/>
    <w:rsid w:val="00CF3D15"/>
    <w:rsid w:val="00CF3E37"/>
    <w:rsid w:val="00CF40D1"/>
    <w:rsid w:val="00CF423E"/>
    <w:rsid w:val="00CF4483"/>
    <w:rsid w:val="00CF460D"/>
    <w:rsid w:val="00CF4C26"/>
    <w:rsid w:val="00CF4C60"/>
    <w:rsid w:val="00CF5023"/>
    <w:rsid w:val="00CF556D"/>
    <w:rsid w:val="00CF55D4"/>
    <w:rsid w:val="00CF60C5"/>
    <w:rsid w:val="00CF6358"/>
    <w:rsid w:val="00CF64C2"/>
    <w:rsid w:val="00CF6FFE"/>
    <w:rsid w:val="00CF70DB"/>
    <w:rsid w:val="00CF767A"/>
    <w:rsid w:val="00CF78E4"/>
    <w:rsid w:val="00CF7CB7"/>
    <w:rsid w:val="00D00068"/>
    <w:rsid w:val="00D00146"/>
    <w:rsid w:val="00D0020F"/>
    <w:rsid w:val="00D002DF"/>
    <w:rsid w:val="00D003C6"/>
    <w:rsid w:val="00D00DFC"/>
    <w:rsid w:val="00D01096"/>
    <w:rsid w:val="00D0152B"/>
    <w:rsid w:val="00D0190E"/>
    <w:rsid w:val="00D01944"/>
    <w:rsid w:val="00D01C92"/>
    <w:rsid w:val="00D01D6B"/>
    <w:rsid w:val="00D020FB"/>
    <w:rsid w:val="00D0218C"/>
    <w:rsid w:val="00D0256B"/>
    <w:rsid w:val="00D02930"/>
    <w:rsid w:val="00D02986"/>
    <w:rsid w:val="00D02C49"/>
    <w:rsid w:val="00D02F79"/>
    <w:rsid w:val="00D030E8"/>
    <w:rsid w:val="00D035B3"/>
    <w:rsid w:val="00D0361E"/>
    <w:rsid w:val="00D03646"/>
    <w:rsid w:val="00D037E9"/>
    <w:rsid w:val="00D03A14"/>
    <w:rsid w:val="00D03C81"/>
    <w:rsid w:val="00D03D62"/>
    <w:rsid w:val="00D03E5E"/>
    <w:rsid w:val="00D03FE5"/>
    <w:rsid w:val="00D04128"/>
    <w:rsid w:val="00D04216"/>
    <w:rsid w:val="00D04217"/>
    <w:rsid w:val="00D04375"/>
    <w:rsid w:val="00D04726"/>
    <w:rsid w:val="00D0484D"/>
    <w:rsid w:val="00D04A52"/>
    <w:rsid w:val="00D04BB6"/>
    <w:rsid w:val="00D04C16"/>
    <w:rsid w:val="00D05167"/>
    <w:rsid w:val="00D054A2"/>
    <w:rsid w:val="00D0574F"/>
    <w:rsid w:val="00D06046"/>
    <w:rsid w:val="00D06406"/>
    <w:rsid w:val="00D064AB"/>
    <w:rsid w:val="00D06626"/>
    <w:rsid w:val="00D06721"/>
    <w:rsid w:val="00D06A71"/>
    <w:rsid w:val="00D06B8A"/>
    <w:rsid w:val="00D06D08"/>
    <w:rsid w:val="00D0769B"/>
    <w:rsid w:val="00D07AB2"/>
    <w:rsid w:val="00D07AC3"/>
    <w:rsid w:val="00D07BCA"/>
    <w:rsid w:val="00D07C30"/>
    <w:rsid w:val="00D07C3E"/>
    <w:rsid w:val="00D07CA4"/>
    <w:rsid w:val="00D10103"/>
    <w:rsid w:val="00D10406"/>
    <w:rsid w:val="00D1056E"/>
    <w:rsid w:val="00D1086B"/>
    <w:rsid w:val="00D10980"/>
    <w:rsid w:val="00D10985"/>
    <w:rsid w:val="00D10A42"/>
    <w:rsid w:val="00D11032"/>
    <w:rsid w:val="00D11077"/>
    <w:rsid w:val="00D11139"/>
    <w:rsid w:val="00D11504"/>
    <w:rsid w:val="00D117D6"/>
    <w:rsid w:val="00D11978"/>
    <w:rsid w:val="00D11D7B"/>
    <w:rsid w:val="00D1205D"/>
    <w:rsid w:val="00D120D9"/>
    <w:rsid w:val="00D125DD"/>
    <w:rsid w:val="00D125E9"/>
    <w:rsid w:val="00D12761"/>
    <w:rsid w:val="00D1289C"/>
    <w:rsid w:val="00D12B89"/>
    <w:rsid w:val="00D12C07"/>
    <w:rsid w:val="00D12EBF"/>
    <w:rsid w:val="00D12F5A"/>
    <w:rsid w:val="00D12FB4"/>
    <w:rsid w:val="00D13215"/>
    <w:rsid w:val="00D133F2"/>
    <w:rsid w:val="00D13694"/>
    <w:rsid w:val="00D13CD2"/>
    <w:rsid w:val="00D14018"/>
    <w:rsid w:val="00D141CA"/>
    <w:rsid w:val="00D1426D"/>
    <w:rsid w:val="00D14413"/>
    <w:rsid w:val="00D146CE"/>
    <w:rsid w:val="00D14832"/>
    <w:rsid w:val="00D157FE"/>
    <w:rsid w:val="00D15890"/>
    <w:rsid w:val="00D16057"/>
    <w:rsid w:val="00D1615E"/>
    <w:rsid w:val="00D162A2"/>
    <w:rsid w:val="00D1636B"/>
    <w:rsid w:val="00D16744"/>
    <w:rsid w:val="00D170AA"/>
    <w:rsid w:val="00D175A1"/>
    <w:rsid w:val="00D17875"/>
    <w:rsid w:val="00D1788E"/>
    <w:rsid w:val="00D1796E"/>
    <w:rsid w:val="00D17AD2"/>
    <w:rsid w:val="00D17AF1"/>
    <w:rsid w:val="00D17F10"/>
    <w:rsid w:val="00D2002A"/>
    <w:rsid w:val="00D201C1"/>
    <w:rsid w:val="00D2046E"/>
    <w:rsid w:val="00D2052C"/>
    <w:rsid w:val="00D209BE"/>
    <w:rsid w:val="00D20D6E"/>
    <w:rsid w:val="00D21045"/>
    <w:rsid w:val="00D21186"/>
    <w:rsid w:val="00D2121B"/>
    <w:rsid w:val="00D2147C"/>
    <w:rsid w:val="00D21962"/>
    <w:rsid w:val="00D21CC4"/>
    <w:rsid w:val="00D21E33"/>
    <w:rsid w:val="00D22344"/>
    <w:rsid w:val="00D22BD2"/>
    <w:rsid w:val="00D22CB0"/>
    <w:rsid w:val="00D22E3F"/>
    <w:rsid w:val="00D234A7"/>
    <w:rsid w:val="00D235A8"/>
    <w:rsid w:val="00D236D8"/>
    <w:rsid w:val="00D2370E"/>
    <w:rsid w:val="00D23819"/>
    <w:rsid w:val="00D23A77"/>
    <w:rsid w:val="00D23B93"/>
    <w:rsid w:val="00D25069"/>
    <w:rsid w:val="00D25174"/>
    <w:rsid w:val="00D25392"/>
    <w:rsid w:val="00D25891"/>
    <w:rsid w:val="00D258CD"/>
    <w:rsid w:val="00D25C8E"/>
    <w:rsid w:val="00D25DD6"/>
    <w:rsid w:val="00D25E60"/>
    <w:rsid w:val="00D25EC3"/>
    <w:rsid w:val="00D25EDE"/>
    <w:rsid w:val="00D26079"/>
    <w:rsid w:val="00D26D8B"/>
    <w:rsid w:val="00D2725A"/>
    <w:rsid w:val="00D2731F"/>
    <w:rsid w:val="00D273BB"/>
    <w:rsid w:val="00D2743F"/>
    <w:rsid w:val="00D27493"/>
    <w:rsid w:val="00D276A1"/>
    <w:rsid w:val="00D302C0"/>
    <w:rsid w:val="00D30641"/>
    <w:rsid w:val="00D30691"/>
    <w:rsid w:val="00D3073C"/>
    <w:rsid w:val="00D30A7E"/>
    <w:rsid w:val="00D30C20"/>
    <w:rsid w:val="00D31133"/>
    <w:rsid w:val="00D311F4"/>
    <w:rsid w:val="00D31295"/>
    <w:rsid w:val="00D312CE"/>
    <w:rsid w:val="00D316C5"/>
    <w:rsid w:val="00D317AF"/>
    <w:rsid w:val="00D31B6A"/>
    <w:rsid w:val="00D31DA3"/>
    <w:rsid w:val="00D323E1"/>
    <w:rsid w:val="00D323F1"/>
    <w:rsid w:val="00D326A0"/>
    <w:rsid w:val="00D32751"/>
    <w:rsid w:val="00D32799"/>
    <w:rsid w:val="00D328D1"/>
    <w:rsid w:val="00D3299E"/>
    <w:rsid w:val="00D3361A"/>
    <w:rsid w:val="00D337F5"/>
    <w:rsid w:val="00D33DA8"/>
    <w:rsid w:val="00D33FDE"/>
    <w:rsid w:val="00D341DD"/>
    <w:rsid w:val="00D35052"/>
    <w:rsid w:val="00D35248"/>
    <w:rsid w:val="00D354DB"/>
    <w:rsid w:val="00D35595"/>
    <w:rsid w:val="00D359AA"/>
    <w:rsid w:val="00D35C35"/>
    <w:rsid w:val="00D360A4"/>
    <w:rsid w:val="00D36253"/>
    <w:rsid w:val="00D36457"/>
    <w:rsid w:val="00D364F6"/>
    <w:rsid w:val="00D36907"/>
    <w:rsid w:val="00D3754D"/>
    <w:rsid w:val="00D3785F"/>
    <w:rsid w:val="00D37865"/>
    <w:rsid w:val="00D378A6"/>
    <w:rsid w:val="00D37B91"/>
    <w:rsid w:val="00D37F43"/>
    <w:rsid w:val="00D37FC3"/>
    <w:rsid w:val="00D40263"/>
    <w:rsid w:val="00D40580"/>
    <w:rsid w:val="00D405D3"/>
    <w:rsid w:val="00D407C9"/>
    <w:rsid w:val="00D40855"/>
    <w:rsid w:val="00D40B17"/>
    <w:rsid w:val="00D41080"/>
    <w:rsid w:val="00D41879"/>
    <w:rsid w:val="00D42214"/>
    <w:rsid w:val="00D4247F"/>
    <w:rsid w:val="00D4294D"/>
    <w:rsid w:val="00D4299D"/>
    <w:rsid w:val="00D42AE8"/>
    <w:rsid w:val="00D42D30"/>
    <w:rsid w:val="00D42D37"/>
    <w:rsid w:val="00D42ED5"/>
    <w:rsid w:val="00D43180"/>
    <w:rsid w:val="00D431C8"/>
    <w:rsid w:val="00D4322C"/>
    <w:rsid w:val="00D43403"/>
    <w:rsid w:val="00D4344E"/>
    <w:rsid w:val="00D4396D"/>
    <w:rsid w:val="00D43AA0"/>
    <w:rsid w:val="00D44364"/>
    <w:rsid w:val="00D44522"/>
    <w:rsid w:val="00D445DC"/>
    <w:rsid w:val="00D446F7"/>
    <w:rsid w:val="00D449E9"/>
    <w:rsid w:val="00D44B63"/>
    <w:rsid w:val="00D45962"/>
    <w:rsid w:val="00D459C3"/>
    <w:rsid w:val="00D45CCA"/>
    <w:rsid w:val="00D45F61"/>
    <w:rsid w:val="00D46453"/>
    <w:rsid w:val="00D4658D"/>
    <w:rsid w:val="00D46839"/>
    <w:rsid w:val="00D46D5C"/>
    <w:rsid w:val="00D47237"/>
    <w:rsid w:val="00D47855"/>
    <w:rsid w:val="00D4797B"/>
    <w:rsid w:val="00D47A45"/>
    <w:rsid w:val="00D47B28"/>
    <w:rsid w:val="00D47D5C"/>
    <w:rsid w:val="00D47F1B"/>
    <w:rsid w:val="00D502DD"/>
    <w:rsid w:val="00D50410"/>
    <w:rsid w:val="00D50441"/>
    <w:rsid w:val="00D509B9"/>
    <w:rsid w:val="00D50C46"/>
    <w:rsid w:val="00D50D1E"/>
    <w:rsid w:val="00D50E86"/>
    <w:rsid w:val="00D50FDB"/>
    <w:rsid w:val="00D511A5"/>
    <w:rsid w:val="00D513CB"/>
    <w:rsid w:val="00D51513"/>
    <w:rsid w:val="00D51721"/>
    <w:rsid w:val="00D51872"/>
    <w:rsid w:val="00D52048"/>
    <w:rsid w:val="00D52103"/>
    <w:rsid w:val="00D5235A"/>
    <w:rsid w:val="00D524A0"/>
    <w:rsid w:val="00D526A5"/>
    <w:rsid w:val="00D526DE"/>
    <w:rsid w:val="00D52710"/>
    <w:rsid w:val="00D52A56"/>
    <w:rsid w:val="00D52ACE"/>
    <w:rsid w:val="00D52B0D"/>
    <w:rsid w:val="00D537ED"/>
    <w:rsid w:val="00D53DDE"/>
    <w:rsid w:val="00D53E46"/>
    <w:rsid w:val="00D5418A"/>
    <w:rsid w:val="00D54533"/>
    <w:rsid w:val="00D54A36"/>
    <w:rsid w:val="00D54B77"/>
    <w:rsid w:val="00D54FE6"/>
    <w:rsid w:val="00D55522"/>
    <w:rsid w:val="00D556A9"/>
    <w:rsid w:val="00D556C2"/>
    <w:rsid w:val="00D55EC3"/>
    <w:rsid w:val="00D56030"/>
    <w:rsid w:val="00D56091"/>
    <w:rsid w:val="00D563FF"/>
    <w:rsid w:val="00D565BC"/>
    <w:rsid w:val="00D56664"/>
    <w:rsid w:val="00D566BE"/>
    <w:rsid w:val="00D56A58"/>
    <w:rsid w:val="00D56AF2"/>
    <w:rsid w:val="00D56C09"/>
    <w:rsid w:val="00D56C8F"/>
    <w:rsid w:val="00D56F9B"/>
    <w:rsid w:val="00D56FBF"/>
    <w:rsid w:val="00D57024"/>
    <w:rsid w:val="00D577FD"/>
    <w:rsid w:val="00D57C5D"/>
    <w:rsid w:val="00D57CA4"/>
    <w:rsid w:val="00D602A9"/>
    <w:rsid w:val="00D6035E"/>
    <w:rsid w:val="00D60ADB"/>
    <w:rsid w:val="00D60FF2"/>
    <w:rsid w:val="00D613CD"/>
    <w:rsid w:val="00D61624"/>
    <w:rsid w:val="00D616DB"/>
    <w:rsid w:val="00D61BC4"/>
    <w:rsid w:val="00D61DED"/>
    <w:rsid w:val="00D6230B"/>
    <w:rsid w:val="00D625A6"/>
    <w:rsid w:val="00D62831"/>
    <w:rsid w:val="00D62897"/>
    <w:rsid w:val="00D629B0"/>
    <w:rsid w:val="00D62E56"/>
    <w:rsid w:val="00D62EC4"/>
    <w:rsid w:val="00D6341C"/>
    <w:rsid w:val="00D63790"/>
    <w:rsid w:val="00D63D3D"/>
    <w:rsid w:val="00D647F2"/>
    <w:rsid w:val="00D6499E"/>
    <w:rsid w:val="00D64B54"/>
    <w:rsid w:val="00D64E96"/>
    <w:rsid w:val="00D64ED3"/>
    <w:rsid w:val="00D652AE"/>
    <w:rsid w:val="00D65835"/>
    <w:rsid w:val="00D658E9"/>
    <w:rsid w:val="00D65BA3"/>
    <w:rsid w:val="00D65BF1"/>
    <w:rsid w:val="00D65F16"/>
    <w:rsid w:val="00D6621C"/>
    <w:rsid w:val="00D663AA"/>
    <w:rsid w:val="00D664D3"/>
    <w:rsid w:val="00D666CF"/>
    <w:rsid w:val="00D66815"/>
    <w:rsid w:val="00D66857"/>
    <w:rsid w:val="00D66893"/>
    <w:rsid w:val="00D668A5"/>
    <w:rsid w:val="00D668AA"/>
    <w:rsid w:val="00D66EB2"/>
    <w:rsid w:val="00D670A1"/>
    <w:rsid w:val="00D6753E"/>
    <w:rsid w:val="00D676AB"/>
    <w:rsid w:val="00D6773E"/>
    <w:rsid w:val="00D67B4F"/>
    <w:rsid w:val="00D67B90"/>
    <w:rsid w:val="00D67F82"/>
    <w:rsid w:val="00D7006F"/>
    <w:rsid w:val="00D70764"/>
    <w:rsid w:val="00D70A96"/>
    <w:rsid w:val="00D70EEE"/>
    <w:rsid w:val="00D7110F"/>
    <w:rsid w:val="00D7111B"/>
    <w:rsid w:val="00D71224"/>
    <w:rsid w:val="00D71450"/>
    <w:rsid w:val="00D71461"/>
    <w:rsid w:val="00D718CB"/>
    <w:rsid w:val="00D71D65"/>
    <w:rsid w:val="00D72232"/>
    <w:rsid w:val="00D72324"/>
    <w:rsid w:val="00D724F5"/>
    <w:rsid w:val="00D72BF6"/>
    <w:rsid w:val="00D733E3"/>
    <w:rsid w:val="00D7344A"/>
    <w:rsid w:val="00D73580"/>
    <w:rsid w:val="00D736D4"/>
    <w:rsid w:val="00D739FB"/>
    <w:rsid w:val="00D73C6C"/>
    <w:rsid w:val="00D73E1A"/>
    <w:rsid w:val="00D73FC3"/>
    <w:rsid w:val="00D74600"/>
    <w:rsid w:val="00D747BD"/>
    <w:rsid w:val="00D74866"/>
    <w:rsid w:val="00D749AC"/>
    <w:rsid w:val="00D74CEC"/>
    <w:rsid w:val="00D74D1A"/>
    <w:rsid w:val="00D74EAD"/>
    <w:rsid w:val="00D75458"/>
    <w:rsid w:val="00D75DF8"/>
    <w:rsid w:val="00D75F81"/>
    <w:rsid w:val="00D763AF"/>
    <w:rsid w:val="00D7687D"/>
    <w:rsid w:val="00D76962"/>
    <w:rsid w:val="00D76AE2"/>
    <w:rsid w:val="00D76D6D"/>
    <w:rsid w:val="00D771BF"/>
    <w:rsid w:val="00D7727F"/>
    <w:rsid w:val="00D7745F"/>
    <w:rsid w:val="00D774BD"/>
    <w:rsid w:val="00D775BA"/>
    <w:rsid w:val="00D77A6D"/>
    <w:rsid w:val="00D77BF1"/>
    <w:rsid w:val="00D801E7"/>
    <w:rsid w:val="00D801F6"/>
    <w:rsid w:val="00D80264"/>
    <w:rsid w:val="00D803F7"/>
    <w:rsid w:val="00D8046C"/>
    <w:rsid w:val="00D806E0"/>
    <w:rsid w:val="00D80944"/>
    <w:rsid w:val="00D80AFA"/>
    <w:rsid w:val="00D80B4F"/>
    <w:rsid w:val="00D80E1C"/>
    <w:rsid w:val="00D80ECA"/>
    <w:rsid w:val="00D8103E"/>
    <w:rsid w:val="00D814EB"/>
    <w:rsid w:val="00D816FC"/>
    <w:rsid w:val="00D81889"/>
    <w:rsid w:val="00D81A43"/>
    <w:rsid w:val="00D81C55"/>
    <w:rsid w:val="00D81D62"/>
    <w:rsid w:val="00D81E46"/>
    <w:rsid w:val="00D8215E"/>
    <w:rsid w:val="00D82175"/>
    <w:rsid w:val="00D82527"/>
    <w:rsid w:val="00D82730"/>
    <w:rsid w:val="00D82790"/>
    <w:rsid w:val="00D827D5"/>
    <w:rsid w:val="00D83326"/>
    <w:rsid w:val="00D8395B"/>
    <w:rsid w:val="00D83F35"/>
    <w:rsid w:val="00D841F8"/>
    <w:rsid w:val="00D8421D"/>
    <w:rsid w:val="00D84946"/>
    <w:rsid w:val="00D84952"/>
    <w:rsid w:val="00D84E1C"/>
    <w:rsid w:val="00D84E30"/>
    <w:rsid w:val="00D84F52"/>
    <w:rsid w:val="00D84FB4"/>
    <w:rsid w:val="00D854DE"/>
    <w:rsid w:val="00D8557A"/>
    <w:rsid w:val="00D85743"/>
    <w:rsid w:val="00D85895"/>
    <w:rsid w:val="00D85C86"/>
    <w:rsid w:val="00D85CA0"/>
    <w:rsid w:val="00D8632D"/>
    <w:rsid w:val="00D864E7"/>
    <w:rsid w:val="00D86520"/>
    <w:rsid w:val="00D86688"/>
    <w:rsid w:val="00D866E5"/>
    <w:rsid w:val="00D8686D"/>
    <w:rsid w:val="00D86A8E"/>
    <w:rsid w:val="00D86B8A"/>
    <w:rsid w:val="00D86F68"/>
    <w:rsid w:val="00D87529"/>
    <w:rsid w:val="00D8762D"/>
    <w:rsid w:val="00D87E3A"/>
    <w:rsid w:val="00D900E2"/>
    <w:rsid w:val="00D903F4"/>
    <w:rsid w:val="00D90D4D"/>
    <w:rsid w:val="00D90E1B"/>
    <w:rsid w:val="00D91055"/>
    <w:rsid w:val="00D91115"/>
    <w:rsid w:val="00D91544"/>
    <w:rsid w:val="00D917F5"/>
    <w:rsid w:val="00D9180F"/>
    <w:rsid w:val="00D91B6D"/>
    <w:rsid w:val="00D91D00"/>
    <w:rsid w:val="00D91E4B"/>
    <w:rsid w:val="00D921E3"/>
    <w:rsid w:val="00D92208"/>
    <w:rsid w:val="00D926B2"/>
    <w:rsid w:val="00D92E64"/>
    <w:rsid w:val="00D92E6A"/>
    <w:rsid w:val="00D93075"/>
    <w:rsid w:val="00D9356D"/>
    <w:rsid w:val="00D936FA"/>
    <w:rsid w:val="00D9394E"/>
    <w:rsid w:val="00D94296"/>
    <w:rsid w:val="00D9439E"/>
    <w:rsid w:val="00D945B7"/>
    <w:rsid w:val="00D945ED"/>
    <w:rsid w:val="00D94C79"/>
    <w:rsid w:val="00D94EFE"/>
    <w:rsid w:val="00D952E7"/>
    <w:rsid w:val="00D95615"/>
    <w:rsid w:val="00D959A8"/>
    <w:rsid w:val="00D96196"/>
    <w:rsid w:val="00D961E3"/>
    <w:rsid w:val="00D966F4"/>
    <w:rsid w:val="00D969C0"/>
    <w:rsid w:val="00D96DEE"/>
    <w:rsid w:val="00D97237"/>
    <w:rsid w:val="00D975EC"/>
    <w:rsid w:val="00D97622"/>
    <w:rsid w:val="00D97836"/>
    <w:rsid w:val="00D978C3"/>
    <w:rsid w:val="00D97D7E"/>
    <w:rsid w:val="00DA01DE"/>
    <w:rsid w:val="00DA0424"/>
    <w:rsid w:val="00DA0773"/>
    <w:rsid w:val="00DA0A08"/>
    <w:rsid w:val="00DA0E82"/>
    <w:rsid w:val="00DA0F70"/>
    <w:rsid w:val="00DA1248"/>
    <w:rsid w:val="00DA1A52"/>
    <w:rsid w:val="00DA1C92"/>
    <w:rsid w:val="00DA20C7"/>
    <w:rsid w:val="00DA238F"/>
    <w:rsid w:val="00DA2593"/>
    <w:rsid w:val="00DA2689"/>
    <w:rsid w:val="00DA2828"/>
    <w:rsid w:val="00DA3224"/>
    <w:rsid w:val="00DA34D0"/>
    <w:rsid w:val="00DA3DB9"/>
    <w:rsid w:val="00DA407A"/>
    <w:rsid w:val="00DA40E8"/>
    <w:rsid w:val="00DA4342"/>
    <w:rsid w:val="00DA43EE"/>
    <w:rsid w:val="00DA4A14"/>
    <w:rsid w:val="00DA4EE4"/>
    <w:rsid w:val="00DA4F78"/>
    <w:rsid w:val="00DA5E8D"/>
    <w:rsid w:val="00DA628F"/>
    <w:rsid w:val="00DA62C2"/>
    <w:rsid w:val="00DA65A3"/>
    <w:rsid w:val="00DA6A64"/>
    <w:rsid w:val="00DA6CC3"/>
    <w:rsid w:val="00DA6DD4"/>
    <w:rsid w:val="00DA77F2"/>
    <w:rsid w:val="00DA7EBA"/>
    <w:rsid w:val="00DB01AB"/>
    <w:rsid w:val="00DB022F"/>
    <w:rsid w:val="00DB02EC"/>
    <w:rsid w:val="00DB083C"/>
    <w:rsid w:val="00DB0859"/>
    <w:rsid w:val="00DB0EE0"/>
    <w:rsid w:val="00DB0F4E"/>
    <w:rsid w:val="00DB171D"/>
    <w:rsid w:val="00DB17DC"/>
    <w:rsid w:val="00DB1AD3"/>
    <w:rsid w:val="00DB1ADD"/>
    <w:rsid w:val="00DB1BF1"/>
    <w:rsid w:val="00DB1D26"/>
    <w:rsid w:val="00DB217B"/>
    <w:rsid w:val="00DB227A"/>
    <w:rsid w:val="00DB2929"/>
    <w:rsid w:val="00DB2AC9"/>
    <w:rsid w:val="00DB3024"/>
    <w:rsid w:val="00DB315D"/>
    <w:rsid w:val="00DB3591"/>
    <w:rsid w:val="00DB35A5"/>
    <w:rsid w:val="00DB37D5"/>
    <w:rsid w:val="00DB4216"/>
    <w:rsid w:val="00DB43C4"/>
    <w:rsid w:val="00DB46BF"/>
    <w:rsid w:val="00DB4865"/>
    <w:rsid w:val="00DB4D03"/>
    <w:rsid w:val="00DB4E07"/>
    <w:rsid w:val="00DB4EC0"/>
    <w:rsid w:val="00DB4F48"/>
    <w:rsid w:val="00DB4FF7"/>
    <w:rsid w:val="00DB5202"/>
    <w:rsid w:val="00DB53C1"/>
    <w:rsid w:val="00DB5477"/>
    <w:rsid w:val="00DB590B"/>
    <w:rsid w:val="00DB5AD0"/>
    <w:rsid w:val="00DB5B33"/>
    <w:rsid w:val="00DB677D"/>
    <w:rsid w:val="00DB6B64"/>
    <w:rsid w:val="00DB75AE"/>
    <w:rsid w:val="00DB7F28"/>
    <w:rsid w:val="00DB7F82"/>
    <w:rsid w:val="00DC008C"/>
    <w:rsid w:val="00DC0145"/>
    <w:rsid w:val="00DC0476"/>
    <w:rsid w:val="00DC129F"/>
    <w:rsid w:val="00DC1885"/>
    <w:rsid w:val="00DC18A0"/>
    <w:rsid w:val="00DC1FD8"/>
    <w:rsid w:val="00DC2473"/>
    <w:rsid w:val="00DC2691"/>
    <w:rsid w:val="00DC269E"/>
    <w:rsid w:val="00DC2B3D"/>
    <w:rsid w:val="00DC2B7B"/>
    <w:rsid w:val="00DC2BC1"/>
    <w:rsid w:val="00DC2F05"/>
    <w:rsid w:val="00DC2F97"/>
    <w:rsid w:val="00DC360F"/>
    <w:rsid w:val="00DC3673"/>
    <w:rsid w:val="00DC3BFC"/>
    <w:rsid w:val="00DC3DC1"/>
    <w:rsid w:val="00DC3F53"/>
    <w:rsid w:val="00DC4321"/>
    <w:rsid w:val="00DC44E0"/>
    <w:rsid w:val="00DC5443"/>
    <w:rsid w:val="00DC550A"/>
    <w:rsid w:val="00DC56C9"/>
    <w:rsid w:val="00DC5E88"/>
    <w:rsid w:val="00DC60BF"/>
    <w:rsid w:val="00DC60CB"/>
    <w:rsid w:val="00DC6341"/>
    <w:rsid w:val="00DC6A0B"/>
    <w:rsid w:val="00DC753B"/>
    <w:rsid w:val="00DC787B"/>
    <w:rsid w:val="00DC7E45"/>
    <w:rsid w:val="00DD0492"/>
    <w:rsid w:val="00DD07A9"/>
    <w:rsid w:val="00DD0B3A"/>
    <w:rsid w:val="00DD0B44"/>
    <w:rsid w:val="00DD0F99"/>
    <w:rsid w:val="00DD12FC"/>
    <w:rsid w:val="00DD1484"/>
    <w:rsid w:val="00DD1B32"/>
    <w:rsid w:val="00DD1BC3"/>
    <w:rsid w:val="00DD1C77"/>
    <w:rsid w:val="00DD1F50"/>
    <w:rsid w:val="00DD226D"/>
    <w:rsid w:val="00DD2455"/>
    <w:rsid w:val="00DD2990"/>
    <w:rsid w:val="00DD29B3"/>
    <w:rsid w:val="00DD2EEB"/>
    <w:rsid w:val="00DD36A3"/>
    <w:rsid w:val="00DD3799"/>
    <w:rsid w:val="00DD3D36"/>
    <w:rsid w:val="00DD3F72"/>
    <w:rsid w:val="00DD3FAF"/>
    <w:rsid w:val="00DD421D"/>
    <w:rsid w:val="00DD42EA"/>
    <w:rsid w:val="00DD4493"/>
    <w:rsid w:val="00DD44D0"/>
    <w:rsid w:val="00DD4A20"/>
    <w:rsid w:val="00DD4D87"/>
    <w:rsid w:val="00DD5049"/>
    <w:rsid w:val="00DD5056"/>
    <w:rsid w:val="00DD524F"/>
    <w:rsid w:val="00DD54A8"/>
    <w:rsid w:val="00DD5522"/>
    <w:rsid w:val="00DD59B5"/>
    <w:rsid w:val="00DD5E33"/>
    <w:rsid w:val="00DD603B"/>
    <w:rsid w:val="00DD6055"/>
    <w:rsid w:val="00DD61A7"/>
    <w:rsid w:val="00DD65C7"/>
    <w:rsid w:val="00DD6730"/>
    <w:rsid w:val="00DD67CC"/>
    <w:rsid w:val="00DD6920"/>
    <w:rsid w:val="00DD6CB4"/>
    <w:rsid w:val="00DD6E1F"/>
    <w:rsid w:val="00DD6F3A"/>
    <w:rsid w:val="00DD6FD2"/>
    <w:rsid w:val="00DD77A2"/>
    <w:rsid w:val="00DD7920"/>
    <w:rsid w:val="00DD7A64"/>
    <w:rsid w:val="00DE0435"/>
    <w:rsid w:val="00DE04CA"/>
    <w:rsid w:val="00DE06F4"/>
    <w:rsid w:val="00DE0819"/>
    <w:rsid w:val="00DE0BBE"/>
    <w:rsid w:val="00DE0DF2"/>
    <w:rsid w:val="00DE0DF4"/>
    <w:rsid w:val="00DE1156"/>
    <w:rsid w:val="00DE13CB"/>
    <w:rsid w:val="00DE20FE"/>
    <w:rsid w:val="00DE242A"/>
    <w:rsid w:val="00DE28B5"/>
    <w:rsid w:val="00DE2EE7"/>
    <w:rsid w:val="00DE2F69"/>
    <w:rsid w:val="00DE3254"/>
    <w:rsid w:val="00DE327E"/>
    <w:rsid w:val="00DE361B"/>
    <w:rsid w:val="00DE378B"/>
    <w:rsid w:val="00DE3810"/>
    <w:rsid w:val="00DE382C"/>
    <w:rsid w:val="00DE3952"/>
    <w:rsid w:val="00DE3A52"/>
    <w:rsid w:val="00DE3B8F"/>
    <w:rsid w:val="00DE3F4F"/>
    <w:rsid w:val="00DE485D"/>
    <w:rsid w:val="00DE490E"/>
    <w:rsid w:val="00DE4944"/>
    <w:rsid w:val="00DE49D4"/>
    <w:rsid w:val="00DE4A9E"/>
    <w:rsid w:val="00DE4D34"/>
    <w:rsid w:val="00DE4FD3"/>
    <w:rsid w:val="00DE5010"/>
    <w:rsid w:val="00DE5055"/>
    <w:rsid w:val="00DE508C"/>
    <w:rsid w:val="00DE56FA"/>
    <w:rsid w:val="00DE592E"/>
    <w:rsid w:val="00DE5945"/>
    <w:rsid w:val="00DE5A82"/>
    <w:rsid w:val="00DE5AD0"/>
    <w:rsid w:val="00DE5CB2"/>
    <w:rsid w:val="00DE5E03"/>
    <w:rsid w:val="00DE630F"/>
    <w:rsid w:val="00DE66CA"/>
    <w:rsid w:val="00DE6F54"/>
    <w:rsid w:val="00DE7012"/>
    <w:rsid w:val="00DE70A5"/>
    <w:rsid w:val="00DE72E8"/>
    <w:rsid w:val="00DE72F2"/>
    <w:rsid w:val="00DE7494"/>
    <w:rsid w:val="00DE75F2"/>
    <w:rsid w:val="00DE761E"/>
    <w:rsid w:val="00DE771E"/>
    <w:rsid w:val="00DE774C"/>
    <w:rsid w:val="00DE7940"/>
    <w:rsid w:val="00DE7B9D"/>
    <w:rsid w:val="00DE7BC2"/>
    <w:rsid w:val="00DE7D7F"/>
    <w:rsid w:val="00DF000D"/>
    <w:rsid w:val="00DF01BF"/>
    <w:rsid w:val="00DF04B0"/>
    <w:rsid w:val="00DF0670"/>
    <w:rsid w:val="00DF098F"/>
    <w:rsid w:val="00DF0A71"/>
    <w:rsid w:val="00DF0E5C"/>
    <w:rsid w:val="00DF0F5E"/>
    <w:rsid w:val="00DF116A"/>
    <w:rsid w:val="00DF12A7"/>
    <w:rsid w:val="00DF12EB"/>
    <w:rsid w:val="00DF1500"/>
    <w:rsid w:val="00DF170D"/>
    <w:rsid w:val="00DF1798"/>
    <w:rsid w:val="00DF187F"/>
    <w:rsid w:val="00DF1A68"/>
    <w:rsid w:val="00DF1B6E"/>
    <w:rsid w:val="00DF2423"/>
    <w:rsid w:val="00DF274D"/>
    <w:rsid w:val="00DF2A75"/>
    <w:rsid w:val="00DF2D06"/>
    <w:rsid w:val="00DF3363"/>
    <w:rsid w:val="00DF3776"/>
    <w:rsid w:val="00DF3844"/>
    <w:rsid w:val="00DF3D22"/>
    <w:rsid w:val="00DF3FE8"/>
    <w:rsid w:val="00DF4098"/>
    <w:rsid w:val="00DF430A"/>
    <w:rsid w:val="00DF4EF7"/>
    <w:rsid w:val="00DF5089"/>
    <w:rsid w:val="00DF511C"/>
    <w:rsid w:val="00DF5312"/>
    <w:rsid w:val="00DF5426"/>
    <w:rsid w:val="00DF561C"/>
    <w:rsid w:val="00DF5631"/>
    <w:rsid w:val="00DF56F8"/>
    <w:rsid w:val="00DF57E6"/>
    <w:rsid w:val="00DF5AD1"/>
    <w:rsid w:val="00DF5B12"/>
    <w:rsid w:val="00DF5CEE"/>
    <w:rsid w:val="00DF5DAC"/>
    <w:rsid w:val="00DF6A42"/>
    <w:rsid w:val="00DF6C35"/>
    <w:rsid w:val="00DF6CAB"/>
    <w:rsid w:val="00DF6E8B"/>
    <w:rsid w:val="00DF73B6"/>
    <w:rsid w:val="00DF73DF"/>
    <w:rsid w:val="00DF73FF"/>
    <w:rsid w:val="00DF7471"/>
    <w:rsid w:val="00DF7480"/>
    <w:rsid w:val="00DF7BAA"/>
    <w:rsid w:val="00DF7BFB"/>
    <w:rsid w:val="00DF7D71"/>
    <w:rsid w:val="00E00008"/>
    <w:rsid w:val="00E000D9"/>
    <w:rsid w:val="00E00211"/>
    <w:rsid w:val="00E00293"/>
    <w:rsid w:val="00E0048D"/>
    <w:rsid w:val="00E0091D"/>
    <w:rsid w:val="00E0096C"/>
    <w:rsid w:val="00E00B12"/>
    <w:rsid w:val="00E00DEA"/>
    <w:rsid w:val="00E00E07"/>
    <w:rsid w:val="00E00FE1"/>
    <w:rsid w:val="00E01821"/>
    <w:rsid w:val="00E01AF4"/>
    <w:rsid w:val="00E01DB8"/>
    <w:rsid w:val="00E01E61"/>
    <w:rsid w:val="00E02028"/>
    <w:rsid w:val="00E02AA3"/>
    <w:rsid w:val="00E02DB0"/>
    <w:rsid w:val="00E02DEC"/>
    <w:rsid w:val="00E02FED"/>
    <w:rsid w:val="00E03047"/>
    <w:rsid w:val="00E0333A"/>
    <w:rsid w:val="00E033A0"/>
    <w:rsid w:val="00E0372A"/>
    <w:rsid w:val="00E03794"/>
    <w:rsid w:val="00E0381B"/>
    <w:rsid w:val="00E03A60"/>
    <w:rsid w:val="00E03B21"/>
    <w:rsid w:val="00E03D62"/>
    <w:rsid w:val="00E04662"/>
    <w:rsid w:val="00E048CA"/>
    <w:rsid w:val="00E04E73"/>
    <w:rsid w:val="00E055DB"/>
    <w:rsid w:val="00E056E0"/>
    <w:rsid w:val="00E05C22"/>
    <w:rsid w:val="00E05C6C"/>
    <w:rsid w:val="00E05F50"/>
    <w:rsid w:val="00E06108"/>
    <w:rsid w:val="00E06387"/>
    <w:rsid w:val="00E065C9"/>
    <w:rsid w:val="00E066D5"/>
    <w:rsid w:val="00E0675F"/>
    <w:rsid w:val="00E067FF"/>
    <w:rsid w:val="00E070FF"/>
    <w:rsid w:val="00E0726A"/>
    <w:rsid w:val="00E073A3"/>
    <w:rsid w:val="00E07A9C"/>
    <w:rsid w:val="00E102C8"/>
    <w:rsid w:val="00E10325"/>
    <w:rsid w:val="00E10BC6"/>
    <w:rsid w:val="00E111F0"/>
    <w:rsid w:val="00E1132C"/>
    <w:rsid w:val="00E113F7"/>
    <w:rsid w:val="00E11A70"/>
    <w:rsid w:val="00E11E4C"/>
    <w:rsid w:val="00E1205E"/>
    <w:rsid w:val="00E12128"/>
    <w:rsid w:val="00E12205"/>
    <w:rsid w:val="00E122EF"/>
    <w:rsid w:val="00E123C6"/>
    <w:rsid w:val="00E12416"/>
    <w:rsid w:val="00E12708"/>
    <w:rsid w:val="00E128E5"/>
    <w:rsid w:val="00E12C3D"/>
    <w:rsid w:val="00E12F02"/>
    <w:rsid w:val="00E12F22"/>
    <w:rsid w:val="00E13130"/>
    <w:rsid w:val="00E13442"/>
    <w:rsid w:val="00E134C6"/>
    <w:rsid w:val="00E13519"/>
    <w:rsid w:val="00E139C8"/>
    <w:rsid w:val="00E13A52"/>
    <w:rsid w:val="00E14276"/>
    <w:rsid w:val="00E1439E"/>
    <w:rsid w:val="00E14B40"/>
    <w:rsid w:val="00E15865"/>
    <w:rsid w:val="00E1592C"/>
    <w:rsid w:val="00E15B68"/>
    <w:rsid w:val="00E15FDE"/>
    <w:rsid w:val="00E16205"/>
    <w:rsid w:val="00E1631A"/>
    <w:rsid w:val="00E166DA"/>
    <w:rsid w:val="00E16B22"/>
    <w:rsid w:val="00E16BD7"/>
    <w:rsid w:val="00E16DAB"/>
    <w:rsid w:val="00E16E33"/>
    <w:rsid w:val="00E170BA"/>
    <w:rsid w:val="00E17A71"/>
    <w:rsid w:val="00E17C8C"/>
    <w:rsid w:val="00E17D94"/>
    <w:rsid w:val="00E17E12"/>
    <w:rsid w:val="00E17F71"/>
    <w:rsid w:val="00E201A9"/>
    <w:rsid w:val="00E202A7"/>
    <w:rsid w:val="00E2033E"/>
    <w:rsid w:val="00E203BD"/>
    <w:rsid w:val="00E20484"/>
    <w:rsid w:val="00E2079F"/>
    <w:rsid w:val="00E20895"/>
    <w:rsid w:val="00E208EF"/>
    <w:rsid w:val="00E208F9"/>
    <w:rsid w:val="00E20B6B"/>
    <w:rsid w:val="00E20B77"/>
    <w:rsid w:val="00E20BD1"/>
    <w:rsid w:val="00E20D98"/>
    <w:rsid w:val="00E20F29"/>
    <w:rsid w:val="00E210CC"/>
    <w:rsid w:val="00E211C7"/>
    <w:rsid w:val="00E2123F"/>
    <w:rsid w:val="00E213B8"/>
    <w:rsid w:val="00E2144A"/>
    <w:rsid w:val="00E21597"/>
    <w:rsid w:val="00E217EB"/>
    <w:rsid w:val="00E21A87"/>
    <w:rsid w:val="00E21BBD"/>
    <w:rsid w:val="00E22113"/>
    <w:rsid w:val="00E221F4"/>
    <w:rsid w:val="00E22577"/>
    <w:rsid w:val="00E227AB"/>
    <w:rsid w:val="00E22B0C"/>
    <w:rsid w:val="00E22E2F"/>
    <w:rsid w:val="00E236A2"/>
    <w:rsid w:val="00E23A33"/>
    <w:rsid w:val="00E23CF0"/>
    <w:rsid w:val="00E2403A"/>
    <w:rsid w:val="00E2470A"/>
    <w:rsid w:val="00E24808"/>
    <w:rsid w:val="00E24B2C"/>
    <w:rsid w:val="00E24C00"/>
    <w:rsid w:val="00E24EDB"/>
    <w:rsid w:val="00E25109"/>
    <w:rsid w:val="00E25F61"/>
    <w:rsid w:val="00E26143"/>
    <w:rsid w:val="00E261BE"/>
    <w:rsid w:val="00E26332"/>
    <w:rsid w:val="00E26399"/>
    <w:rsid w:val="00E26520"/>
    <w:rsid w:val="00E2665B"/>
    <w:rsid w:val="00E2671E"/>
    <w:rsid w:val="00E269D8"/>
    <w:rsid w:val="00E26CDA"/>
    <w:rsid w:val="00E26D4F"/>
    <w:rsid w:val="00E26E1A"/>
    <w:rsid w:val="00E270C8"/>
    <w:rsid w:val="00E275E6"/>
    <w:rsid w:val="00E27AFE"/>
    <w:rsid w:val="00E27E8C"/>
    <w:rsid w:val="00E301BD"/>
    <w:rsid w:val="00E3036F"/>
    <w:rsid w:val="00E30A74"/>
    <w:rsid w:val="00E30CDB"/>
    <w:rsid w:val="00E30F13"/>
    <w:rsid w:val="00E30F9A"/>
    <w:rsid w:val="00E3154A"/>
    <w:rsid w:val="00E31B34"/>
    <w:rsid w:val="00E31C02"/>
    <w:rsid w:val="00E3230B"/>
    <w:rsid w:val="00E323BF"/>
    <w:rsid w:val="00E32581"/>
    <w:rsid w:val="00E32A2C"/>
    <w:rsid w:val="00E32EFF"/>
    <w:rsid w:val="00E33072"/>
    <w:rsid w:val="00E3321A"/>
    <w:rsid w:val="00E332F1"/>
    <w:rsid w:val="00E335BF"/>
    <w:rsid w:val="00E33B10"/>
    <w:rsid w:val="00E33BC0"/>
    <w:rsid w:val="00E33BF0"/>
    <w:rsid w:val="00E34880"/>
    <w:rsid w:val="00E35181"/>
    <w:rsid w:val="00E351B7"/>
    <w:rsid w:val="00E353F1"/>
    <w:rsid w:val="00E35580"/>
    <w:rsid w:val="00E35985"/>
    <w:rsid w:val="00E35D40"/>
    <w:rsid w:val="00E360C0"/>
    <w:rsid w:val="00E367DF"/>
    <w:rsid w:val="00E37202"/>
    <w:rsid w:val="00E372E0"/>
    <w:rsid w:val="00E37960"/>
    <w:rsid w:val="00E37AB4"/>
    <w:rsid w:val="00E37DFE"/>
    <w:rsid w:val="00E37E9B"/>
    <w:rsid w:val="00E37F85"/>
    <w:rsid w:val="00E4010E"/>
    <w:rsid w:val="00E405B1"/>
    <w:rsid w:val="00E406DE"/>
    <w:rsid w:val="00E40C6C"/>
    <w:rsid w:val="00E40D1E"/>
    <w:rsid w:val="00E40E0E"/>
    <w:rsid w:val="00E40E6E"/>
    <w:rsid w:val="00E416BF"/>
    <w:rsid w:val="00E41AD7"/>
    <w:rsid w:val="00E41B0E"/>
    <w:rsid w:val="00E41B7E"/>
    <w:rsid w:val="00E41DAD"/>
    <w:rsid w:val="00E41DBB"/>
    <w:rsid w:val="00E42B15"/>
    <w:rsid w:val="00E42B26"/>
    <w:rsid w:val="00E42E01"/>
    <w:rsid w:val="00E42FA2"/>
    <w:rsid w:val="00E432FF"/>
    <w:rsid w:val="00E4369B"/>
    <w:rsid w:val="00E43F3F"/>
    <w:rsid w:val="00E44972"/>
    <w:rsid w:val="00E44976"/>
    <w:rsid w:val="00E449B4"/>
    <w:rsid w:val="00E449DF"/>
    <w:rsid w:val="00E44E39"/>
    <w:rsid w:val="00E44FF2"/>
    <w:rsid w:val="00E4539D"/>
    <w:rsid w:val="00E45484"/>
    <w:rsid w:val="00E455E7"/>
    <w:rsid w:val="00E457DF"/>
    <w:rsid w:val="00E46092"/>
    <w:rsid w:val="00E463AC"/>
    <w:rsid w:val="00E464E5"/>
    <w:rsid w:val="00E465E3"/>
    <w:rsid w:val="00E46622"/>
    <w:rsid w:val="00E468ED"/>
    <w:rsid w:val="00E4697A"/>
    <w:rsid w:val="00E46A53"/>
    <w:rsid w:val="00E47058"/>
    <w:rsid w:val="00E47243"/>
    <w:rsid w:val="00E476C1"/>
    <w:rsid w:val="00E478A2"/>
    <w:rsid w:val="00E47B72"/>
    <w:rsid w:val="00E50020"/>
    <w:rsid w:val="00E5042C"/>
    <w:rsid w:val="00E507F7"/>
    <w:rsid w:val="00E50831"/>
    <w:rsid w:val="00E512AE"/>
    <w:rsid w:val="00E5153A"/>
    <w:rsid w:val="00E5175F"/>
    <w:rsid w:val="00E51973"/>
    <w:rsid w:val="00E51B89"/>
    <w:rsid w:val="00E51C1A"/>
    <w:rsid w:val="00E51CA5"/>
    <w:rsid w:val="00E51D62"/>
    <w:rsid w:val="00E522CE"/>
    <w:rsid w:val="00E5255F"/>
    <w:rsid w:val="00E5294B"/>
    <w:rsid w:val="00E52A01"/>
    <w:rsid w:val="00E52AC3"/>
    <w:rsid w:val="00E534A8"/>
    <w:rsid w:val="00E53AD1"/>
    <w:rsid w:val="00E53C33"/>
    <w:rsid w:val="00E53D38"/>
    <w:rsid w:val="00E53DD7"/>
    <w:rsid w:val="00E54146"/>
    <w:rsid w:val="00E54D31"/>
    <w:rsid w:val="00E54F1F"/>
    <w:rsid w:val="00E54F30"/>
    <w:rsid w:val="00E55DE3"/>
    <w:rsid w:val="00E5653B"/>
    <w:rsid w:val="00E56887"/>
    <w:rsid w:val="00E56AEA"/>
    <w:rsid w:val="00E57A1D"/>
    <w:rsid w:val="00E57BB9"/>
    <w:rsid w:val="00E57C45"/>
    <w:rsid w:val="00E57DF6"/>
    <w:rsid w:val="00E605A6"/>
    <w:rsid w:val="00E60A45"/>
    <w:rsid w:val="00E60C36"/>
    <w:rsid w:val="00E60E68"/>
    <w:rsid w:val="00E60F21"/>
    <w:rsid w:val="00E60FE5"/>
    <w:rsid w:val="00E61118"/>
    <w:rsid w:val="00E6111E"/>
    <w:rsid w:val="00E61864"/>
    <w:rsid w:val="00E6187A"/>
    <w:rsid w:val="00E62539"/>
    <w:rsid w:val="00E62871"/>
    <w:rsid w:val="00E62F61"/>
    <w:rsid w:val="00E632AC"/>
    <w:rsid w:val="00E633D2"/>
    <w:rsid w:val="00E63426"/>
    <w:rsid w:val="00E63863"/>
    <w:rsid w:val="00E63BB2"/>
    <w:rsid w:val="00E6453E"/>
    <w:rsid w:val="00E6465F"/>
    <w:rsid w:val="00E65391"/>
    <w:rsid w:val="00E65691"/>
    <w:rsid w:val="00E657F0"/>
    <w:rsid w:val="00E65966"/>
    <w:rsid w:val="00E65B7B"/>
    <w:rsid w:val="00E6628E"/>
    <w:rsid w:val="00E6637D"/>
    <w:rsid w:val="00E66514"/>
    <w:rsid w:val="00E66DF4"/>
    <w:rsid w:val="00E66E73"/>
    <w:rsid w:val="00E66F68"/>
    <w:rsid w:val="00E6742F"/>
    <w:rsid w:val="00E67B3B"/>
    <w:rsid w:val="00E7049E"/>
    <w:rsid w:val="00E7051E"/>
    <w:rsid w:val="00E70667"/>
    <w:rsid w:val="00E70D86"/>
    <w:rsid w:val="00E710D9"/>
    <w:rsid w:val="00E7134D"/>
    <w:rsid w:val="00E71637"/>
    <w:rsid w:val="00E7178B"/>
    <w:rsid w:val="00E717C1"/>
    <w:rsid w:val="00E717DC"/>
    <w:rsid w:val="00E71802"/>
    <w:rsid w:val="00E71A27"/>
    <w:rsid w:val="00E71B32"/>
    <w:rsid w:val="00E71D0F"/>
    <w:rsid w:val="00E71D33"/>
    <w:rsid w:val="00E71E24"/>
    <w:rsid w:val="00E722B7"/>
    <w:rsid w:val="00E723EF"/>
    <w:rsid w:val="00E7273E"/>
    <w:rsid w:val="00E729FF"/>
    <w:rsid w:val="00E72B1F"/>
    <w:rsid w:val="00E72CF7"/>
    <w:rsid w:val="00E72EEA"/>
    <w:rsid w:val="00E731DE"/>
    <w:rsid w:val="00E73292"/>
    <w:rsid w:val="00E73375"/>
    <w:rsid w:val="00E73A66"/>
    <w:rsid w:val="00E73DE7"/>
    <w:rsid w:val="00E73F36"/>
    <w:rsid w:val="00E73FA2"/>
    <w:rsid w:val="00E741DE"/>
    <w:rsid w:val="00E7449D"/>
    <w:rsid w:val="00E747C7"/>
    <w:rsid w:val="00E74E15"/>
    <w:rsid w:val="00E74F8C"/>
    <w:rsid w:val="00E7535A"/>
    <w:rsid w:val="00E75F13"/>
    <w:rsid w:val="00E75F4D"/>
    <w:rsid w:val="00E76203"/>
    <w:rsid w:val="00E76275"/>
    <w:rsid w:val="00E764CA"/>
    <w:rsid w:val="00E770F6"/>
    <w:rsid w:val="00E77406"/>
    <w:rsid w:val="00E77CDA"/>
    <w:rsid w:val="00E77D62"/>
    <w:rsid w:val="00E77E15"/>
    <w:rsid w:val="00E803E5"/>
    <w:rsid w:val="00E80CA2"/>
    <w:rsid w:val="00E80EEA"/>
    <w:rsid w:val="00E8118D"/>
    <w:rsid w:val="00E819B7"/>
    <w:rsid w:val="00E81B96"/>
    <w:rsid w:val="00E81E0D"/>
    <w:rsid w:val="00E82086"/>
    <w:rsid w:val="00E826F0"/>
    <w:rsid w:val="00E82B38"/>
    <w:rsid w:val="00E83194"/>
    <w:rsid w:val="00E8328B"/>
    <w:rsid w:val="00E83639"/>
    <w:rsid w:val="00E837B2"/>
    <w:rsid w:val="00E83948"/>
    <w:rsid w:val="00E84059"/>
    <w:rsid w:val="00E8420D"/>
    <w:rsid w:val="00E84223"/>
    <w:rsid w:val="00E84321"/>
    <w:rsid w:val="00E848C5"/>
    <w:rsid w:val="00E85002"/>
    <w:rsid w:val="00E851ED"/>
    <w:rsid w:val="00E853DE"/>
    <w:rsid w:val="00E853FF"/>
    <w:rsid w:val="00E85DF2"/>
    <w:rsid w:val="00E86146"/>
    <w:rsid w:val="00E863D5"/>
    <w:rsid w:val="00E864EA"/>
    <w:rsid w:val="00E865D9"/>
    <w:rsid w:val="00E86BC8"/>
    <w:rsid w:val="00E87162"/>
    <w:rsid w:val="00E877E0"/>
    <w:rsid w:val="00E8787E"/>
    <w:rsid w:val="00E87997"/>
    <w:rsid w:val="00E879B9"/>
    <w:rsid w:val="00E87A52"/>
    <w:rsid w:val="00E87BB3"/>
    <w:rsid w:val="00E87E51"/>
    <w:rsid w:val="00E87F01"/>
    <w:rsid w:val="00E902C0"/>
    <w:rsid w:val="00E90361"/>
    <w:rsid w:val="00E90722"/>
    <w:rsid w:val="00E908F9"/>
    <w:rsid w:val="00E909D6"/>
    <w:rsid w:val="00E90A9E"/>
    <w:rsid w:val="00E90DB2"/>
    <w:rsid w:val="00E915C5"/>
    <w:rsid w:val="00E9177B"/>
    <w:rsid w:val="00E92013"/>
    <w:rsid w:val="00E92196"/>
    <w:rsid w:val="00E929C1"/>
    <w:rsid w:val="00E93035"/>
    <w:rsid w:val="00E93C26"/>
    <w:rsid w:val="00E93C8C"/>
    <w:rsid w:val="00E93EDC"/>
    <w:rsid w:val="00E93FB8"/>
    <w:rsid w:val="00E9460B"/>
    <w:rsid w:val="00E9479B"/>
    <w:rsid w:val="00E949EC"/>
    <w:rsid w:val="00E94B18"/>
    <w:rsid w:val="00E94D68"/>
    <w:rsid w:val="00E94F6C"/>
    <w:rsid w:val="00E953A4"/>
    <w:rsid w:val="00E9584C"/>
    <w:rsid w:val="00E95853"/>
    <w:rsid w:val="00E95A73"/>
    <w:rsid w:val="00E95DD8"/>
    <w:rsid w:val="00E96371"/>
    <w:rsid w:val="00E963BD"/>
    <w:rsid w:val="00E9645D"/>
    <w:rsid w:val="00E96B99"/>
    <w:rsid w:val="00E96E63"/>
    <w:rsid w:val="00E96E7B"/>
    <w:rsid w:val="00E97643"/>
    <w:rsid w:val="00E97668"/>
    <w:rsid w:val="00E97908"/>
    <w:rsid w:val="00E97C51"/>
    <w:rsid w:val="00E97C60"/>
    <w:rsid w:val="00EA0468"/>
    <w:rsid w:val="00EA0D24"/>
    <w:rsid w:val="00EA10B6"/>
    <w:rsid w:val="00EA13F8"/>
    <w:rsid w:val="00EA1695"/>
    <w:rsid w:val="00EA18B0"/>
    <w:rsid w:val="00EA1CE0"/>
    <w:rsid w:val="00EA2188"/>
    <w:rsid w:val="00EA2339"/>
    <w:rsid w:val="00EA2418"/>
    <w:rsid w:val="00EA2CEB"/>
    <w:rsid w:val="00EA2E7B"/>
    <w:rsid w:val="00EA331A"/>
    <w:rsid w:val="00EA33A6"/>
    <w:rsid w:val="00EA3BF1"/>
    <w:rsid w:val="00EA3C24"/>
    <w:rsid w:val="00EA402F"/>
    <w:rsid w:val="00EA41B1"/>
    <w:rsid w:val="00EA43A5"/>
    <w:rsid w:val="00EA44E5"/>
    <w:rsid w:val="00EA49B4"/>
    <w:rsid w:val="00EA555F"/>
    <w:rsid w:val="00EA5834"/>
    <w:rsid w:val="00EA5BE2"/>
    <w:rsid w:val="00EA5D21"/>
    <w:rsid w:val="00EA63DD"/>
    <w:rsid w:val="00EA65CD"/>
    <w:rsid w:val="00EA6979"/>
    <w:rsid w:val="00EA72C6"/>
    <w:rsid w:val="00EA730B"/>
    <w:rsid w:val="00EA74D0"/>
    <w:rsid w:val="00EA7630"/>
    <w:rsid w:val="00EA7A85"/>
    <w:rsid w:val="00EA7BBA"/>
    <w:rsid w:val="00EB0165"/>
    <w:rsid w:val="00EB01E2"/>
    <w:rsid w:val="00EB0572"/>
    <w:rsid w:val="00EB0AF4"/>
    <w:rsid w:val="00EB0F4B"/>
    <w:rsid w:val="00EB11E9"/>
    <w:rsid w:val="00EB13F2"/>
    <w:rsid w:val="00EB1602"/>
    <w:rsid w:val="00EB16C6"/>
    <w:rsid w:val="00EB1978"/>
    <w:rsid w:val="00EB19E5"/>
    <w:rsid w:val="00EB1A56"/>
    <w:rsid w:val="00EB1AA4"/>
    <w:rsid w:val="00EB2086"/>
    <w:rsid w:val="00EB2793"/>
    <w:rsid w:val="00EB2909"/>
    <w:rsid w:val="00EB2B04"/>
    <w:rsid w:val="00EB2C43"/>
    <w:rsid w:val="00EB3197"/>
    <w:rsid w:val="00EB360A"/>
    <w:rsid w:val="00EB3717"/>
    <w:rsid w:val="00EB3899"/>
    <w:rsid w:val="00EB4150"/>
    <w:rsid w:val="00EB46AD"/>
    <w:rsid w:val="00EB4CD9"/>
    <w:rsid w:val="00EB508F"/>
    <w:rsid w:val="00EB5415"/>
    <w:rsid w:val="00EB5790"/>
    <w:rsid w:val="00EB58CB"/>
    <w:rsid w:val="00EB5AE6"/>
    <w:rsid w:val="00EB60F2"/>
    <w:rsid w:val="00EB6291"/>
    <w:rsid w:val="00EB6B21"/>
    <w:rsid w:val="00EB724A"/>
    <w:rsid w:val="00EB7C7C"/>
    <w:rsid w:val="00EC01C8"/>
    <w:rsid w:val="00EC0CFC"/>
    <w:rsid w:val="00EC0D0A"/>
    <w:rsid w:val="00EC0EF5"/>
    <w:rsid w:val="00EC1300"/>
    <w:rsid w:val="00EC1438"/>
    <w:rsid w:val="00EC1770"/>
    <w:rsid w:val="00EC1BED"/>
    <w:rsid w:val="00EC1F88"/>
    <w:rsid w:val="00EC2004"/>
    <w:rsid w:val="00EC2028"/>
    <w:rsid w:val="00EC20DF"/>
    <w:rsid w:val="00EC24F9"/>
    <w:rsid w:val="00EC2511"/>
    <w:rsid w:val="00EC2626"/>
    <w:rsid w:val="00EC263E"/>
    <w:rsid w:val="00EC27DC"/>
    <w:rsid w:val="00EC2A0E"/>
    <w:rsid w:val="00EC2D97"/>
    <w:rsid w:val="00EC3408"/>
    <w:rsid w:val="00EC3462"/>
    <w:rsid w:val="00EC36CE"/>
    <w:rsid w:val="00EC3A56"/>
    <w:rsid w:val="00EC3C8D"/>
    <w:rsid w:val="00EC401F"/>
    <w:rsid w:val="00EC4261"/>
    <w:rsid w:val="00EC4775"/>
    <w:rsid w:val="00EC4BED"/>
    <w:rsid w:val="00EC4E4C"/>
    <w:rsid w:val="00EC4FDE"/>
    <w:rsid w:val="00EC5225"/>
    <w:rsid w:val="00EC5585"/>
    <w:rsid w:val="00EC590D"/>
    <w:rsid w:val="00EC61A0"/>
    <w:rsid w:val="00EC64C9"/>
    <w:rsid w:val="00EC6C17"/>
    <w:rsid w:val="00EC6EB3"/>
    <w:rsid w:val="00EC6EBA"/>
    <w:rsid w:val="00EC71BF"/>
    <w:rsid w:val="00EC7532"/>
    <w:rsid w:val="00EC760E"/>
    <w:rsid w:val="00EC76BB"/>
    <w:rsid w:val="00EC7FD3"/>
    <w:rsid w:val="00ED016A"/>
    <w:rsid w:val="00ED0229"/>
    <w:rsid w:val="00ED0311"/>
    <w:rsid w:val="00ED04E8"/>
    <w:rsid w:val="00ED05AE"/>
    <w:rsid w:val="00ED06E3"/>
    <w:rsid w:val="00ED07C5"/>
    <w:rsid w:val="00ED08D0"/>
    <w:rsid w:val="00ED090A"/>
    <w:rsid w:val="00ED09A4"/>
    <w:rsid w:val="00ED0C65"/>
    <w:rsid w:val="00ED100D"/>
    <w:rsid w:val="00ED107A"/>
    <w:rsid w:val="00ED10BB"/>
    <w:rsid w:val="00ED1779"/>
    <w:rsid w:val="00ED1C68"/>
    <w:rsid w:val="00ED1CE3"/>
    <w:rsid w:val="00ED1E78"/>
    <w:rsid w:val="00ED2131"/>
    <w:rsid w:val="00ED22E0"/>
    <w:rsid w:val="00ED23B5"/>
    <w:rsid w:val="00ED322C"/>
    <w:rsid w:val="00ED3352"/>
    <w:rsid w:val="00ED343D"/>
    <w:rsid w:val="00ED3602"/>
    <w:rsid w:val="00ED39F3"/>
    <w:rsid w:val="00ED421C"/>
    <w:rsid w:val="00ED4220"/>
    <w:rsid w:val="00ED4669"/>
    <w:rsid w:val="00ED46A9"/>
    <w:rsid w:val="00ED4A43"/>
    <w:rsid w:val="00ED4EFA"/>
    <w:rsid w:val="00ED502E"/>
    <w:rsid w:val="00ED5121"/>
    <w:rsid w:val="00ED5163"/>
    <w:rsid w:val="00ED5304"/>
    <w:rsid w:val="00ED54F4"/>
    <w:rsid w:val="00ED5A82"/>
    <w:rsid w:val="00ED6209"/>
    <w:rsid w:val="00ED67C5"/>
    <w:rsid w:val="00ED6924"/>
    <w:rsid w:val="00ED6A57"/>
    <w:rsid w:val="00ED6D1B"/>
    <w:rsid w:val="00ED6FF6"/>
    <w:rsid w:val="00ED7042"/>
    <w:rsid w:val="00ED77F3"/>
    <w:rsid w:val="00ED7801"/>
    <w:rsid w:val="00ED7A25"/>
    <w:rsid w:val="00ED7FF2"/>
    <w:rsid w:val="00EE01C2"/>
    <w:rsid w:val="00EE01E3"/>
    <w:rsid w:val="00EE04DA"/>
    <w:rsid w:val="00EE0676"/>
    <w:rsid w:val="00EE0C69"/>
    <w:rsid w:val="00EE0C6D"/>
    <w:rsid w:val="00EE0CEA"/>
    <w:rsid w:val="00EE0E00"/>
    <w:rsid w:val="00EE0F45"/>
    <w:rsid w:val="00EE10E5"/>
    <w:rsid w:val="00EE18BF"/>
    <w:rsid w:val="00EE2568"/>
    <w:rsid w:val="00EE2630"/>
    <w:rsid w:val="00EE26EF"/>
    <w:rsid w:val="00EE27FD"/>
    <w:rsid w:val="00EE29C9"/>
    <w:rsid w:val="00EE2A55"/>
    <w:rsid w:val="00EE305B"/>
    <w:rsid w:val="00EE353A"/>
    <w:rsid w:val="00EE3693"/>
    <w:rsid w:val="00EE36CF"/>
    <w:rsid w:val="00EE3837"/>
    <w:rsid w:val="00EE3F0A"/>
    <w:rsid w:val="00EE405E"/>
    <w:rsid w:val="00EE412D"/>
    <w:rsid w:val="00EE42AF"/>
    <w:rsid w:val="00EE4CAB"/>
    <w:rsid w:val="00EE4FA8"/>
    <w:rsid w:val="00EE4FAA"/>
    <w:rsid w:val="00EE5269"/>
    <w:rsid w:val="00EE5310"/>
    <w:rsid w:val="00EE5360"/>
    <w:rsid w:val="00EE5C26"/>
    <w:rsid w:val="00EE60C3"/>
    <w:rsid w:val="00EE60D9"/>
    <w:rsid w:val="00EE629D"/>
    <w:rsid w:val="00EE631C"/>
    <w:rsid w:val="00EE63D0"/>
    <w:rsid w:val="00EE645F"/>
    <w:rsid w:val="00EE65C8"/>
    <w:rsid w:val="00EE66CD"/>
    <w:rsid w:val="00EE6797"/>
    <w:rsid w:val="00EE68EF"/>
    <w:rsid w:val="00EE68F1"/>
    <w:rsid w:val="00EE6B8D"/>
    <w:rsid w:val="00EE6D55"/>
    <w:rsid w:val="00EE6E3C"/>
    <w:rsid w:val="00EE71B1"/>
    <w:rsid w:val="00EE72B2"/>
    <w:rsid w:val="00EE7574"/>
    <w:rsid w:val="00EE75DC"/>
    <w:rsid w:val="00EE761B"/>
    <w:rsid w:val="00EE7A21"/>
    <w:rsid w:val="00EE7B06"/>
    <w:rsid w:val="00EE7B0C"/>
    <w:rsid w:val="00EE7EC1"/>
    <w:rsid w:val="00EF0449"/>
    <w:rsid w:val="00EF0572"/>
    <w:rsid w:val="00EF05EA"/>
    <w:rsid w:val="00EF08F4"/>
    <w:rsid w:val="00EF0B99"/>
    <w:rsid w:val="00EF108A"/>
    <w:rsid w:val="00EF112C"/>
    <w:rsid w:val="00EF11ED"/>
    <w:rsid w:val="00EF136E"/>
    <w:rsid w:val="00EF1803"/>
    <w:rsid w:val="00EF18F7"/>
    <w:rsid w:val="00EF25DB"/>
    <w:rsid w:val="00EF28BD"/>
    <w:rsid w:val="00EF2AE7"/>
    <w:rsid w:val="00EF2B34"/>
    <w:rsid w:val="00EF2BD4"/>
    <w:rsid w:val="00EF2C47"/>
    <w:rsid w:val="00EF2EA0"/>
    <w:rsid w:val="00EF31EF"/>
    <w:rsid w:val="00EF34DE"/>
    <w:rsid w:val="00EF3A14"/>
    <w:rsid w:val="00EF3E33"/>
    <w:rsid w:val="00EF3E4A"/>
    <w:rsid w:val="00EF3F04"/>
    <w:rsid w:val="00EF4714"/>
    <w:rsid w:val="00EF4D46"/>
    <w:rsid w:val="00EF548D"/>
    <w:rsid w:val="00EF5766"/>
    <w:rsid w:val="00EF594C"/>
    <w:rsid w:val="00EF5A2D"/>
    <w:rsid w:val="00EF6185"/>
    <w:rsid w:val="00EF61E6"/>
    <w:rsid w:val="00EF64EC"/>
    <w:rsid w:val="00EF65A1"/>
    <w:rsid w:val="00EF6909"/>
    <w:rsid w:val="00EF6EAC"/>
    <w:rsid w:val="00EF6EFA"/>
    <w:rsid w:val="00EF6F16"/>
    <w:rsid w:val="00EF7308"/>
    <w:rsid w:val="00EF74B2"/>
    <w:rsid w:val="00EF75DA"/>
    <w:rsid w:val="00EF7E2A"/>
    <w:rsid w:val="00F00873"/>
    <w:rsid w:val="00F008DF"/>
    <w:rsid w:val="00F00B5B"/>
    <w:rsid w:val="00F0192A"/>
    <w:rsid w:val="00F01A96"/>
    <w:rsid w:val="00F01B59"/>
    <w:rsid w:val="00F01CD8"/>
    <w:rsid w:val="00F01CFA"/>
    <w:rsid w:val="00F01E57"/>
    <w:rsid w:val="00F020AF"/>
    <w:rsid w:val="00F02373"/>
    <w:rsid w:val="00F02399"/>
    <w:rsid w:val="00F028CB"/>
    <w:rsid w:val="00F0291D"/>
    <w:rsid w:val="00F02968"/>
    <w:rsid w:val="00F02975"/>
    <w:rsid w:val="00F02A74"/>
    <w:rsid w:val="00F02F58"/>
    <w:rsid w:val="00F03282"/>
    <w:rsid w:val="00F033FA"/>
    <w:rsid w:val="00F03432"/>
    <w:rsid w:val="00F034FD"/>
    <w:rsid w:val="00F03ADE"/>
    <w:rsid w:val="00F03BE8"/>
    <w:rsid w:val="00F03D80"/>
    <w:rsid w:val="00F03EC6"/>
    <w:rsid w:val="00F03F39"/>
    <w:rsid w:val="00F040A4"/>
    <w:rsid w:val="00F0443C"/>
    <w:rsid w:val="00F04820"/>
    <w:rsid w:val="00F04852"/>
    <w:rsid w:val="00F04EA8"/>
    <w:rsid w:val="00F04ECD"/>
    <w:rsid w:val="00F04FAA"/>
    <w:rsid w:val="00F05161"/>
    <w:rsid w:val="00F053EF"/>
    <w:rsid w:val="00F05465"/>
    <w:rsid w:val="00F057AD"/>
    <w:rsid w:val="00F05856"/>
    <w:rsid w:val="00F05879"/>
    <w:rsid w:val="00F059C6"/>
    <w:rsid w:val="00F059EC"/>
    <w:rsid w:val="00F05CFC"/>
    <w:rsid w:val="00F05EDD"/>
    <w:rsid w:val="00F062BF"/>
    <w:rsid w:val="00F068D1"/>
    <w:rsid w:val="00F06B0E"/>
    <w:rsid w:val="00F06D7F"/>
    <w:rsid w:val="00F06FBD"/>
    <w:rsid w:val="00F07122"/>
    <w:rsid w:val="00F0725B"/>
    <w:rsid w:val="00F07902"/>
    <w:rsid w:val="00F07AE8"/>
    <w:rsid w:val="00F07F56"/>
    <w:rsid w:val="00F10085"/>
    <w:rsid w:val="00F1084E"/>
    <w:rsid w:val="00F10FF3"/>
    <w:rsid w:val="00F110B2"/>
    <w:rsid w:val="00F115DC"/>
    <w:rsid w:val="00F12018"/>
    <w:rsid w:val="00F12448"/>
    <w:rsid w:val="00F1258E"/>
    <w:rsid w:val="00F1284B"/>
    <w:rsid w:val="00F12876"/>
    <w:rsid w:val="00F12D6A"/>
    <w:rsid w:val="00F1333E"/>
    <w:rsid w:val="00F13472"/>
    <w:rsid w:val="00F13803"/>
    <w:rsid w:val="00F138A8"/>
    <w:rsid w:val="00F138DA"/>
    <w:rsid w:val="00F13986"/>
    <w:rsid w:val="00F13EA5"/>
    <w:rsid w:val="00F1435D"/>
    <w:rsid w:val="00F1476F"/>
    <w:rsid w:val="00F14773"/>
    <w:rsid w:val="00F148FB"/>
    <w:rsid w:val="00F149D4"/>
    <w:rsid w:val="00F14A71"/>
    <w:rsid w:val="00F156F3"/>
    <w:rsid w:val="00F1577D"/>
    <w:rsid w:val="00F15C2B"/>
    <w:rsid w:val="00F16059"/>
    <w:rsid w:val="00F16412"/>
    <w:rsid w:val="00F16524"/>
    <w:rsid w:val="00F16546"/>
    <w:rsid w:val="00F1654B"/>
    <w:rsid w:val="00F16702"/>
    <w:rsid w:val="00F16750"/>
    <w:rsid w:val="00F16E82"/>
    <w:rsid w:val="00F172BC"/>
    <w:rsid w:val="00F17746"/>
    <w:rsid w:val="00F177DF"/>
    <w:rsid w:val="00F20003"/>
    <w:rsid w:val="00F20437"/>
    <w:rsid w:val="00F20883"/>
    <w:rsid w:val="00F2108D"/>
    <w:rsid w:val="00F212E5"/>
    <w:rsid w:val="00F213DE"/>
    <w:rsid w:val="00F21445"/>
    <w:rsid w:val="00F214DF"/>
    <w:rsid w:val="00F217A0"/>
    <w:rsid w:val="00F21BB8"/>
    <w:rsid w:val="00F2246C"/>
    <w:rsid w:val="00F22DD7"/>
    <w:rsid w:val="00F2310A"/>
    <w:rsid w:val="00F23681"/>
    <w:rsid w:val="00F23929"/>
    <w:rsid w:val="00F2392E"/>
    <w:rsid w:val="00F23F18"/>
    <w:rsid w:val="00F2442A"/>
    <w:rsid w:val="00F244D8"/>
    <w:rsid w:val="00F246D5"/>
    <w:rsid w:val="00F24BD4"/>
    <w:rsid w:val="00F2586C"/>
    <w:rsid w:val="00F25AA2"/>
    <w:rsid w:val="00F25B50"/>
    <w:rsid w:val="00F25BC8"/>
    <w:rsid w:val="00F25F41"/>
    <w:rsid w:val="00F2624D"/>
    <w:rsid w:val="00F26F3C"/>
    <w:rsid w:val="00F274A3"/>
    <w:rsid w:val="00F27641"/>
    <w:rsid w:val="00F27B61"/>
    <w:rsid w:val="00F27E59"/>
    <w:rsid w:val="00F27F10"/>
    <w:rsid w:val="00F27FC8"/>
    <w:rsid w:val="00F302A9"/>
    <w:rsid w:val="00F306E5"/>
    <w:rsid w:val="00F30733"/>
    <w:rsid w:val="00F30943"/>
    <w:rsid w:val="00F30CA0"/>
    <w:rsid w:val="00F30D18"/>
    <w:rsid w:val="00F30E31"/>
    <w:rsid w:val="00F30E77"/>
    <w:rsid w:val="00F311C2"/>
    <w:rsid w:val="00F3147D"/>
    <w:rsid w:val="00F314AE"/>
    <w:rsid w:val="00F318A8"/>
    <w:rsid w:val="00F31E65"/>
    <w:rsid w:val="00F322C4"/>
    <w:rsid w:val="00F32353"/>
    <w:rsid w:val="00F32588"/>
    <w:rsid w:val="00F3325D"/>
    <w:rsid w:val="00F33309"/>
    <w:rsid w:val="00F340AC"/>
    <w:rsid w:val="00F34158"/>
    <w:rsid w:val="00F3455F"/>
    <w:rsid w:val="00F34EFF"/>
    <w:rsid w:val="00F35066"/>
    <w:rsid w:val="00F3511A"/>
    <w:rsid w:val="00F3518D"/>
    <w:rsid w:val="00F35296"/>
    <w:rsid w:val="00F352BF"/>
    <w:rsid w:val="00F353FD"/>
    <w:rsid w:val="00F35752"/>
    <w:rsid w:val="00F35BC0"/>
    <w:rsid w:val="00F363F6"/>
    <w:rsid w:val="00F36506"/>
    <w:rsid w:val="00F36A89"/>
    <w:rsid w:val="00F36E63"/>
    <w:rsid w:val="00F36E9D"/>
    <w:rsid w:val="00F371CD"/>
    <w:rsid w:val="00F37280"/>
    <w:rsid w:val="00F373B2"/>
    <w:rsid w:val="00F374E7"/>
    <w:rsid w:val="00F377B2"/>
    <w:rsid w:val="00F37923"/>
    <w:rsid w:val="00F37CFC"/>
    <w:rsid w:val="00F404BB"/>
    <w:rsid w:val="00F4093B"/>
    <w:rsid w:val="00F40A95"/>
    <w:rsid w:val="00F40BB5"/>
    <w:rsid w:val="00F41497"/>
    <w:rsid w:val="00F416B4"/>
    <w:rsid w:val="00F41B4B"/>
    <w:rsid w:val="00F41DE8"/>
    <w:rsid w:val="00F42266"/>
    <w:rsid w:val="00F4255F"/>
    <w:rsid w:val="00F4274C"/>
    <w:rsid w:val="00F42CEC"/>
    <w:rsid w:val="00F42D07"/>
    <w:rsid w:val="00F4317F"/>
    <w:rsid w:val="00F43180"/>
    <w:rsid w:val="00F433D7"/>
    <w:rsid w:val="00F43C42"/>
    <w:rsid w:val="00F43D5D"/>
    <w:rsid w:val="00F43FAD"/>
    <w:rsid w:val="00F44068"/>
    <w:rsid w:val="00F44509"/>
    <w:rsid w:val="00F44578"/>
    <w:rsid w:val="00F447C6"/>
    <w:rsid w:val="00F44B9E"/>
    <w:rsid w:val="00F44F70"/>
    <w:rsid w:val="00F453E3"/>
    <w:rsid w:val="00F4542F"/>
    <w:rsid w:val="00F45616"/>
    <w:rsid w:val="00F4593E"/>
    <w:rsid w:val="00F45C2C"/>
    <w:rsid w:val="00F45D5B"/>
    <w:rsid w:val="00F45E00"/>
    <w:rsid w:val="00F46300"/>
    <w:rsid w:val="00F463EC"/>
    <w:rsid w:val="00F4654D"/>
    <w:rsid w:val="00F466C7"/>
    <w:rsid w:val="00F467DB"/>
    <w:rsid w:val="00F46DBD"/>
    <w:rsid w:val="00F46F64"/>
    <w:rsid w:val="00F47042"/>
    <w:rsid w:val="00F47080"/>
    <w:rsid w:val="00F4720D"/>
    <w:rsid w:val="00F472AA"/>
    <w:rsid w:val="00F4751D"/>
    <w:rsid w:val="00F47627"/>
    <w:rsid w:val="00F47AC6"/>
    <w:rsid w:val="00F500F5"/>
    <w:rsid w:val="00F50140"/>
    <w:rsid w:val="00F505F3"/>
    <w:rsid w:val="00F5091C"/>
    <w:rsid w:val="00F50948"/>
    <w:rsid w:val="00F50E36"/>
    <w:rsid w:val="00F5115D"/>
    <w:rsid w:val="00F51979"/>
    <w:rsid w:val="00F51A85"/>
    <w:rsid w:val="00F51C10"/>
    <w:rsid w:val="00F51D65"/>
    <w:rsid w:val="00F521D4"/>
    <w:rsid w:val="00F52261"/>
    <w:rsid w:val="00F5242A"/>
    <w:rsid w:val="00F52517"/>
    <w:rsid w:val="00F52683"/>
    <w:rsid w:val="00F529C8"/>
    <w:rsid w:val="00F52E2B"/>
    <w:rsid w:val="00F536EF"/>
    <w:rsid w:val="00F53DA6"/>
    <w:rsid w:val="00F54388"/>
    <w:rsid w:val="00F54657"/>
    <w:rsid w:val="00F5470F"/>
    <w:rsid w:val="00F5471B"/>
    <w:rsid w:val="00F54722"/>
    <w:rsid w:val="00F54809"/>
    <w:rsid w:val="00F54EF9"/>
    <w:rsid w:val="00F55217"/>
    <w:rsid w:val="00F552FE"/>
    <w:rsid w:val="00F556BD"/>
    <w:rsid w:val="00F55D71"/>
    <w:rsid w:val="00F56044"/>
    <w:rsid w:val="00F562BB"/>
    <w:rsid w:val="00F56401"/>
    <w:rsid w:val="00F56B32"/>
    <w:rsid w:val="00F56D20"/>
    <w:rsid w:val="00F56ED9"/>
    <w:rsid w:val="00F57343"/>
    <w:rsid w:val="00F57651"/>
    <w:rsid w:val="00F577C7"/>
    <w:rsid w:val="00F57DE7"/>
    <w:rsid w:val="00F57EA8"/>
    <w:rsid w:val="00F605AD"/>
    <w:rsid w:val="00F60A8E"/>
    <w:rsid w:val="00F60E06"/>
    <w:rsid w:val="00F60FD9"/>
    <w:rsid w:val="00F6178F"/>
    <w:rsid w:val="00F617AB"/>
    <w:rsid w:val="00F62387"/>
    <w:rsid w:val="00F62509"/>
    <w:rsid w:val="00F626B3"/>
    <w:rsid w:val="00F62E01"/>
    <w:rsid w:val="00F62ED8"/>
    <w:rsid w:val="00F62F72"/>
    <w:rsid w:val="00F63064"/>
    <w:rsid w:val="00F633BC"/>
    <w:rsid w:val="00F6355A"/>
    <w:rsid w:val="00F63C99"/>
    <w:rsid w:val="00F63CF4"/>
    <w:rsid w:val="00F63D5D"/>
    <w:rsid w:val="00F63EE0"/>
    <w:rsid w:val="00F640DA"/>
    <w:rsid w:val="00F64488"/>
    <w:rsid w:val="00F6465A"/>
    <w:rsid w:val="00F64721"/>
    <w:rsid w:val="00F64757"/>
    <w:rsid w:val="00F6488E"/>
    <w:rsid w:val="00F64935"/>
    <w:rsid w:val="00F649FD"/>
    <w:rsid w:val="00F64AC4"/>
    <w:rsid w:val="00F64CD2"/>
    <w:rsid w:val="00F65263"/>
    <w:rsid w:val="00F65A21"/>
    <w:rsid w:val="00F65A8A"/>
    <w:rsid w:val="00F65C4B"/>
    <w:rsid w:val="00F660D8"/>
    <w:rsid w:val="00F6663D"/>
    <w:rsid w:val="00F6667B"/>
    <w:rsid w:val="00F667DE"/>
    <w:rsid w:val="00F6688A"/>
    <w:rsid w:val="00F66C1C"/>
    <w:rsid w:val="00F66F68"/>
    <w:rsid w:val="00F670D4"/>
    <w:rsid w:val="00F67775"/>
    <w:rsid w:val="00F67A18"/>
    <w:rsid w:val="00F67C12"/>
    <w:rsid w:val="00F67F33"/>
    <w:rsid w:val="00F700C8"/>
    <w:rsid w:val="00F70723"/>
    <w:rsid w:val="00F70914"/>
    <w:rsid w:val="00F70C2C"/>
    <w:rsid w:val="00F70DF8"/>
    <w:rsid w:val="00F711AF"/>
    <w:rsid w:val="00F713B8"/>
    <w:rsid w:val="00F719E1"/>
    <w:rsid w:val="00F71DD2"/>
    <w:rsid w:val="00F71E24"/>
    <w:rsid w:val="00F71F7F"/>
    <w:rsid w:val="00F72216"/>
    <w:rsid w:val="00F725E4"/>
    <w:rsid w:val="00F727ED"/>
    <w:rsid w:val="00F72DA5"/>
    <w:rsid w:val="00F7350E"/>
    <w:rsid w:val="00F735A9"/>
    <w:rsid w:val="00F7369E"/>
    <w:rsid w:val="00F7378F"/>
    <w:rsid w:val="00F7389F"/>
    <w:rsid w:val="00F738BB"/>
    <w:rsid w:val="00F738D7"/>
    <w:rsid w:val="00F739A2"/>
    <w:rsid w:val="00F74522"/>
    <w:rsid w:val="00F75207"/>
    <w:rsid w:val="00F757C8"/>
    <w:rsid w:val="00F7627C"/>
    <w:rsid w:val="00F76B29"/>
    <w:rsid w:val="00F76C8E"/>
    <w:rsid w:val="00F77599"/>
    <w:rsid w:val="00F77703"/>
    <w:rsid w:val="00F777B8"/>
    <w:rsid w:val="00F778BC"/>
    <w:rsid w:val="00F77BBE"/>
    <w:rsid w:val="00F77CBB"/>
    <w:rsid w:val="00F77D05"/>
    <w:rsid w:val="00F77D71"/>
    <w:rsid w:val="00F77FD8"/>
    <w:rsid w:val="00F80120"/>
    <w:rsid w:val="00F8058D"/>
    <w:rsid w:val="00F80656"/>
    <w:rsid w:val="00F8077C"/>
    <w:rsid w:val="00F81017"/>
    <w:rsid w:val="00F813EA"/>
    <w:rsid w:val="00F81579"/>
    <w:rsid w:val="00F817EB"/>
    <w:rsid w:val="00F823B7"/>
    <w:rsid w:val="00F82EFE"/>
    <w:rsid w:val="00F82F30"/>
    <w:rsid w:val="00F82FDD"/>
    <w:rsid w:val="00F83116"/>
    <w:rsid w:val="00F8344F"/>
    <w:rsid w:val="00F83555"/>
    <w:rsid w:val="00F838D5"/>
    <w:rsid w:val="00F8406D"/>
    <w:rsid w:val="00F840D0"/>
    <w:rsid w:val="00F841C6"/>
    <w:rsid w:val="00F84687"/>
    <w:rsid w:val="00F84BDD"/>
    <w:rsid w:val="00F84EFA"/>
    <w:rsid w:val="00F851AD"/>
    <w:rsid w:val="00F85461"/>
    <w:rsid w:val="00F854DD"/>
    <w:rsid w:val="00F85814"/>
    <w:rsid w:val="00F85849"/>
    <w:rsid w:val="00F85B23"/>
    <w:rsid w:val="00F85EF0"/>
    <w:rsid w:val="00F86195"/>
    <w:rsid w:val="00F86433"/>
    <w:rsid w:val="00F864B9"/>
    <w:rsid w:val="00F86522"/>
    <w:rsid w:val="00F8698E"/>
    <w:rsid w:val="00F86A10"/>
    <w:rsid w:val="00F86D2E"/>
    <w:rsid w:val="00F8732E"/>
    <w:rsid w:val="00F876C2"/>
    <w:rsid w:val="00F87D00"/>
    <w:rsid w:val="00F90126"/>
    <w:rsid w:val="00F9025B"/>
    <w:rsid w:val="00F90264"/>
    <w:rsid w:val="00F90387"/>
    <w:rsid w:val="00F9059B"/>
    <w:rsid w:val="00F90664"/>
    <w:rsid w:val="00F909AC"/>
    <w:rsid w:val="00F90A6C"/>
    <w:rsid w:val="00F90D9E"/>
    <w:rsid w:val="00F91273"/>
    <w:rsid w:val="00F91CAF"/>
    <w:rsid w:val="00F91FCE"/>
    <w:rsid w:val="00F920B2"/>
    <w:rsid w:val="00F921F1"/>
    <w:rsid w:val="00F92554"/>
    <w:rsid w:val="00F92BB6"/>
    <w:rsid w:val="00F93128"/>
    <w:rsid w:val="00F934A8"/>
    <w:rsid w:val="00F934F6"/>
    <w:rsid w:val="00F937AD"/>
    <w:rsid w:val="00F938C8"/>
    <w:rsid w:val="00F93A36"/>
    <w:rsid w:val="00F93A47"/>
    <w:rsid w:val="00F93F25"/>
    <w:rsid w:val="00F94012"/>
    <w:rsid w:val="00F94B40"/>
    <w:rsid w:val="00F94EAB"/>
    <w:rsid w:val="00F94F17"/>
    <w:rsid w:val="00F9517C"/>
    <w:rsid w:val="00F954CA"/>
    <w:rsid w:val="00F95612"/>
    <w:rsid w:val="00F957B8"/>
    <w:rsid w:val="00F95BC4"/>
    <w:rsid w:val="00F95C39"/>
    <w:rsid w:val="00F96012"/>
    <w:rsid w:val="00F96038"/>
    <w:rsid w:val="00F96151"/>
    <w:rsid w:val="00F96210"/>
    <w:rsid w:val="00F968FA"/>
    <w:rsid w:val="00F9695E"/>
    <w:rsid w:val="00F96A14"/>
    <w:rsid w:val="00F96BA8"/>
    <w:rsid w:val="00F96D16"/>
    <w:rsid w:val="00F96D1B"/>
    <w:rsid w:val="00F96E0D"/>
    <w:rsid w:val="00F9724B"/>
    <w:rsid w:val="00F974FB"/>
    <w:rsid w:val="00F975E3"/>
    <w:rsid w:val="00F97759"/>
    <w:rsid w:val="00FA0224"/>
    <w:rsid w:val="00FA032E"/>
    <w:rsid w:val="00FA0393"/>
    <w:rsid w:val="00FA07FF"/>
    <w:rsid w:val="00FA080A"/>
    <w:rsid w:val="00FA0C9C"/>
    <w:rsid w:val="00FA14AD"/>
    <w:rsid w:val="00FA1659"/>
    <w:rsid w:val="00FA188E"/>
    <w:rsid w:val="00FA18B8"/>
    <w:rsid w:val="00FA1C13"/>
    <w:rsid w:val="00FA1CDB"/>
    <w:rsid w:val="00FA1D5C"/>
    <w:rsid w:val="00FA1D84"/>
    <w:rsid w:val="00FA20AE"/>
    <w:rsid w:val="00FA237D"/>
    <w:rsid w:val="00FA2465"/>
    <w:rsid w:val="00FA24F4"/>
    <w:rsid w:val="00FA280F"/>
    <w:rsid w:val="00FA39F8"/>
    <w:rsid w:val="00FA3BCD"/>
    <w:rsid w:val="00FA3C46"/>
    <w:rsid w:val="00FA3C95"/>
    <w:rsid w:val="00FA4CAD"/>
    <w:rsid w:val="00FA5412"/>
    <w:rsid w:val="00FA57A2"/>
    <w:rsid w:val="00FA5809"/>
    <w:rsid w:val="00FA5E8E"/>
    <w:rsid w:val="00FA5F3A"/>
    <w:rsid w:val="00FA6092"/>
    <w:rsid w:val="00FA64FD"/>
    <w:rsid w:val="00FA66DF"/>
    <w:rsid w:val="00FA6C58"/>
    <w:rsid w:val="00FA6DC9"/>
    <w:rsid w:val="00FA754D"/>
    <w:rsid w:val="00FA7725"/>
    <w:rsid w:val="00FA7798"/>
    <w:rsid w:val="00FA79F7"/>
    <w:rsid w:val="00FA7EAC"/>
    <w:rsid w:val="00FB012E"/>
    <w:rsid w:val="00FB027A"/>
    <w:rsid w:val="00FB069B"/>
    <w:rsid w:val="00FB06E6"/>
    <w:rsid w:val="00FB08DA"/>
    <w:rsid w:val="00FB09AD"/>
    <w:rsid w:val="00FB0B46"/>
    <w:rsid w:val="00FB0D55"/>
    <w:rsid w:val="00FB0DF7"/>
    <w:rsid w:val="00FB151C"/>
    <w:rsid w:val="00FB1698"/>
    <w:rsid w:val="00FB170E"/>
    <w:rsid w:val="00FB1B99"/>
    <w:rsid w:val="00FB1E29"/>
    <w:rsid w:val="00FB264C"/>
    <w:rsid w:val="00FB2829"/>
    <w:rsid w:val="00FB2868"/>
    <w:rsid w:val="00FB294F"/>
    <w:rsid w:val="00FB2CB8"/>
    <w:rsid w:val="00FB31FA"/>
    <w:rsid w:val="00FB3A91"/>
    <w:rsid w:val="00FB45F9"/>
    <w:rsid w:val="00FB4E27"/>
    <w:rsid w:val="00FB59BD"/>
    <w:rsid w:val="00FB5A55"/>
    <w:rsid w:val="00FB5AD7"/>
    <w:rsid w:val="00FB5AFC"/>
    <w:rsid w:val="00FB628C"/>
    <w:rsid w:val="00FB64AA"/>
    <w:rsid w:val="00FB663B"/>
    <w:rsid w:val="00FB668D"/>
    <w:rsid w:val="00FB677B"/>
    <w:rsid w:val="00FB773C"/>
    <w:rsid w:val="00FB7CF6"/>
    <w:rsid w:val="00FC0019"/>
    <w:rsid w:val="00FC0613"/>
    <w:rsid w:val="00FC0CC6"/>
    <w:rsid w:val="00FC137A"/>
    <w:rsid w:val="00FC14D1"/>
    <w:rsid w:val="00FC15DF"/>
    <w:rsid w:val="00FC1806"/>
    <w:rsid w:val="00FC19F7"/>
    <w:rsid w:val="00FC1AD9"/>
    <w:rsid w:val="00FC1D7F"/>
    <w:rsid w:val="00FC1EA8"/>
    <w:rsid w:val="00FC21B7"/>
    <w:rsid w:val="00FC234A"/>
    <w:rsid w:val="00FC2485"/>
    <w:rsid w:val="00FC2601"/>
    <w:rsid w:val="00FC26A1"/>
    <w:rsid w:val="00FC28AD"/>
    <w:rsid w:val="00FC2C71"/>
    <w:rsid w:val="00FC2EDB"/>
    <w:rsid w:val="00FC2F0B"/>
    <w:rsid w:val="00FC33FF"/>
    <w:rsid w:val="00FC381C"/>
    <w:rsid w:val="00FC3874"/>
    <w:rsid w:val="00FC3D20"/>
    <w:rsid w:val="00FC4158"/>
    <w:rsid w:val="00FC43CC"/>
    <w:rsid w:val="00FC4AAF"/>
    <w:rsid w:val="00FC4B44"/>
    <w:rsid w:val="00FC4E2E"/>
    <w:rsid w:val="00FC55AC"/>
    <w:rsid w:val="00FC5777"/>
    <w:rsid w:val="00FC57F1"/>
    <w:rsid w:val="00FC598F"/>
    <w:rsid w:val="00FC5F26"/>
    <w:rsid w:val="00FC64D4"/>
    <w:rsid w:val="00FC68FF"/>
    <w:rsid w:val="00FC6BA4"/>
    <w:rsid w:val="00FC6BC0"/>
    <w:rsid w:val="00FC6CB4"/>
    <w:rsid w:val="00FC6E13"/>
    <w:rsid w:val="00FC6E7A"/>
    <w:rsid w:val="00FC6EDB"/>
    <w:rsid w:val="00FC6FA5"/>
    <w:rsid w:val="00FC729F"/>
    <w:rsid w:val="00FC73FB"/>
    <w:rsid w:val="00FC762D"/>
    <w:rsid w:val="00FC7782"/>
    <w:rsid w:val="00FC77EB"/>
    <w:rsid w:val="00FD02C4"/>
    <w:rsid w:val="00FD02F7"/>
    <w:rsid w:val="00FD0510"/>
    <w:rsid w:val="00FD062F"/>
    <w:rsid w:val="00FD0A9F"/>
    <w:rsid w:val="00FD0C45"/>
    <w:rsid w:val="00FD0E41"/>
    <w:rsid w:val="00FD0FBE"/>
    <w:rsid w:val="00FD13FE"/>
    <w:rsid w:val="00FD1558"/>
    <w:rsid w:val="00FD1659"/>
    <w:rsid w:val="00FD16D8"/>
    <w:rsid w:val="00FD175C"/>
    <w:rsid w:val="00FD1C66"/>
    <w:rsid w:val="00FD1FD1"/>
    <w:rsid w:val="00FD2057"/>
    <w:rsid w:val="00FD21C3"/>
    <w:rsid w:val="00FD230B"/>
    <w:rsid w:val="00FD2844"/>
    <w:rsid w:val="00FD2B3D"/>
    <w:rsid w:val="00FD30F0"/>
    <w:rsid w:val="00FD310F"/>
    <w:rsid w:val="00FD327E"/>
    <w:rsid w:val="00FD3922"/>
    <w:rsid w:val="00FD398D"/>
    <w:rsid w:val="00FD39D4"/>
    <w:rsid w:val="00FD3C89"/>
    <w:rsid w:val="00FD3D23"/>
    <w:rsid w:val="00FD4278"/>
    <w:rsid w:val="00FD4663"/>
    <w:rsid w:val="00FD503E"/>
    <w:rsid w:val="00FD5474"/>
    <w:rsid w:val="00FD5873"/>
    <w:rsid w:val="00FD5B2C"/>
    <w:rsid w:val="00FD5CE0"/>
    <w:rsid w:val="00FD5EF8"/>
    <w:rsid w:val="00FD631A"/>
    <w:rsid w:val="00FD653B"/>
    <w:rsid w:val="00FD6541"/>
    <w:rsid w:val="00FD660B"/>
    <w:rsid w:val="00FD695E"/>
    <w:rsid w:val="00FD6A9A"/>
    <w:rsid w:val="00FD6C55"/>
    <w:rsid w:val="00FD6E9C"/>
    <w:rsid w:val="00FD76E4"/>
    <w:rsid w:val="00FD7967"/>
    <w:rsid w:val="00FD7D83"/>
    <w:rsid w:val="00FE00EA"/>
    <w:rsid w:val="00FE043F"/>
    <w:rsid w:val="00FE117D"/>
    <w:rsid w:val="00FE1229"/>
    <w:rsid w:val="00FE1933"/>
    <w:rsid w:val="00FE1E7D"/>
    <w:rsid w:val="00FE1FBC"/>
    <w:rsid w:val="00FE24D8"/>
    <w:rsid w:val="00FE2A46"/>
    <w:rsid w:val="00FE2AA1"/>
    <w:rsid w:val="00FE2AE3"/>
    <w:rsid w:val="00FE2FC9"/>
    <w:rsid w:val="00FE3584"/>
    <w:rsid w:val="00FE3634"/>
    <w:rsid w:val="00FE3E6D"/>
    <w:rsid w:val="00FE4128"/>
    <w:rsid w:val="00FE485B"/>
    <w:rsid w:val="00FE4916"/>
    <w:rsid w:val="00FE4951"/>
    <w:rsid w:val="00FE49E4"/>
    <w:rsid w:val="00FE4A37"/>
    <w:rsid w:val="00FE54B5"/>
    <w:rsid w:val="00FE557A"/>
    <w:rsid w:val="00FE562F"/>
    <w:rsid w:val="00FE569D"/>
    <w:rsid w:val="00FE63F8"/>
    <w:rsid w:val="00FE65B5"/>
    <w:rsid w:val="00FE66E7"/>
    <w:rsid w:val="00FE710B"/>
    <w:rsid w:val="00FE7720"/>
    <w:rsid w:val="00FE77C2"/>
    <w:rsid w:val="00FE78FF"/>
    <w:rsid w:val="00FF028B"/>
    <w:rsid w:val="00FF0409"/>
    <w:rsid w:val="00FF0502"/>
    <w:rsid w:val="00FF0A22"/>
    <w:rsid w:val="00FF0A5A"/>
    <w:rsid w:val="00FF0E98"/>
    <w:rsid w:val="00FF0F49"/>
    <w:rsid w:val="00FF10E6"/>
    <w:rsid w:val="00FF1649"/>
    <w:rsid w:val="00FF1864"/>
    <w:rsid w:val="00FF1AE5"/>
    <w:rsid w:val="00FF1F6A"/>
    <w:rsid w:val="00FF2A04"/>
    <w:rsid w:val="00FF3063"/>
    <w:rsid w:val="00FF32D7"/>
    <w:rsid w:val="00FF33F6"/>
    <w:rsid w:val="00FF3448"/>
    <w:rsid w:val="00FF35F2"/>
    <w:rsid w:val="00FF39DC"/>
    <w:rsid w:val="00FF39E0"/>
    <w:rsid w:val="00FF3CA5"/>
    <w:rsid w:val="00FF3DED"/>
    <w:rsid w:val="00FF434C"/>
    <w:rsid w:val="00FF4515"/>
    <w:rsid w:val="00FF4BB9"/>
    <w:rsid w:val="00FF4CBF"/>
    <w:rsid w:val="00FF4F52"/>
    <w:rsid w:val="00FF504E"/>
    <w:rsid w:val="00FF5121"/>
    <w:rsid w:val="00FF541B"/>
    <w:rsid w:val="00FF592C"/>
    <w:rsid w:val="00FF592E"/>
    <w:rsid w:val="00FF59FB"/>
    <w:rsid w:val="00FF5AD4"/>
    <w:rsid w:val="00FF6156"/>
    <w:rsid w:val="00FF634E"/>
    <w:rsid w:val="00FF6475"/>
    <w:rsid w:val="00FF651C"/>
    <w:rsid w:val="00FF662D"/>
    <w:rsid w:val="00FF6D1C"/>
    <w:rsid w:val="00FF7A24"/>
    <w:rsid w:val="00FF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6E746"/>
  <w15:docId w15:val="{4BB3A2DE-3FD7-48D1-93A5-E991D25E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0C4"/>
    <w:rPr>
      <w:sz w:val="24"/>
      <w:szCs w:val="24"/>
    </w:rPr>
  </w:style>
  <w:style w:type="paragraph" w:styleId="Ttulo1">
    <w:name w:val="heading 1"/>
    <w:basedOn w:val="Normal"/>
    <w:next w:val="Normal"/>
    <w:link w:val="Ttulo1Carter"/>
    <w:qFormat/>
    <w:rsid w:val="00F02F58"/>
    <w:pPr>
      <w:keepNext/>
      <w:keepLines/>
      <w:spacing w:before="480"/>
      <w:outlineLvl w:val="0"/>
    </w:pPr>
    <w:rPr>
      <w:rFonts w:ascii="Cambria" w:eastAsia="SimSun" w:hAnsi="Cambria"/>
      <w:b/>
      <w:bCs/>
      <w:color w:val="365F91"/>
      <w:sz w:val="28"/>
      <w:szCs w:val="28"/>
    </w:rPr>
  </w:style>
  <w:style w:type="paragraph" w:styleId="Ttulo2">
    <w:name w:val="heading 2"/>
    <w:basedOn w:val="Normal"/>
    <w:next w:val="Normal"/>
    <w:link w:val="Ttulo2Carter"/>
    <w:qFormat/>
    <w:rsid w:val="000647AA"/>
    <w:pPr>
      <w:keepNext/>
      <w:tabs>
        <w:tab w:val="left" w:pos="426"/>
        <w:tab w:val="left" w:pos="567"/>
        <w:tab w:val="right" w:pos="3969"/>
        <w:tab w:val="right" w:pos="4962"/>
        <w:tab w:val="right" w:pos="6096"/>
        <w:tab w:val="right" w:pos="7230"/>
        <w:tab w:val="right" w:pos="8222"/>
      </w:tabs>
      <w:ind w:left="851" w:hanging="851"/>
      <w:jc w:val="both"/>
      <w:outlineLvl w:val="1"/>
    </w:pPr>
    <w:rPr>
      <w:rFonts w:ascii="Palatino" w:hAnsi="Palatino"/>
      <w:b/>
      <w:sz w:val="20"/>
      <w:szCs w:val="20"/>
      <w:lang w:eastAsia="en-US"/>
    </w:rPr>
  </w:style>
  <w:style w:type="paragraph" w:styleId="Ttulo3">
    <w:name w:val="heading 3"/>
    <w:basedOn w:val="Normal"/>
    <w:next w:val="Normal"/>
    <w:link w:val="Ttulo3Carter"/>
    <w:qFormat/>
    <w:rsid w:val="000647AA"/>
    <w:pPr>
      <w:keepNext/>
      <w:tabs>
        <w:tab w:val="left" w:pos="426"/>
      </w:tabs>
      <w:ind w:left="426" w:hanging="426"/>
      <w:outlineLvl w:val="2"/>
    </w:pPr>
    <w:rPr>
      <w:rFonts w:ascii="Arial" w:hAnsi="Arial"/>
      <w:sz w:val="19"/>
      <w:szCs w:val="20"/>
      <w:u w:val="single"/>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arcter"/>
    <w:qFormat/>
    <w:rsid w:val="001F3B20"/>
    <w:pPr>
      <w:keepNext/>
      <w:jc w:val="center"/>
      <w:outlineLvl w:val="0"/>
    </w:pPr>
    <w:rPr>
      <w:rFonts w:ascii="Palatino" w:hAnsi="Palatino"/>
      <w:sz w:val="16"/>
      <w:szCs w:val="20"/>
      <w:u w:val="single"/>
      <w:lang w:eastAsia="en-US"/>
    </w:rPr>
  </w:style>
  <w:style w:type="character" w:customStyle="1" w:styleId="Ttulo1Carcter">
    <w:name w:val="Título 1 Carácter"/>
    <w:link w:val="Ttulo11"/>
    <w:rsid w:val="001F3B20"/>
    <w:rPr>
      <w:rFonts w:ascii="Palatino" w:hAnsi="Palatino"/>
      <w:sz w:val="16"/>
      <w:u w:val="single"/>
      <w:lang w:eastAsia="en-US"/>
    </w:rPr>
  </w:style>
  <w:style w:type="paragraph" w:customStyle="1" w:styleId="Ttulo21">
    <w:name w:val="Título 21"/>
    <w:basedOn w:val="Normal"/>
    <w:next w:val="Normal"/>
    <w:link w:val="Ttulo2Carcter"/>
    <w:autoRedefine/>
    <w:qFormat/>
    <w:rsid w:val="0046759F"/>
    <w:pPr>
      <w:keepNext/>
      <w:ind w:right="-340"/>
      <w:outlineLvl w:val="1"/>
    </w:pPr>
    <w:rPr>
      <w:b/>
      <w:bCs/>
      <w:iCs/>
      <w:lang w:eastAsia="en-US"/>
    </w:rPr>
  </w:style>
  <w:style w:type="character" w:customStyle="1" w:styleId="Ttulo2Carcter">
    <w:name w:val="Título 2 Carácter"/>
    <w:link w:val="Ttulo21"/>
    <w:rsid w:val="0046759F"/>
    <w:rPr>
      <w:b/>
      <w:bCs/>
      <w:iCs/>
      <w:sz w:val="24"/>
      <w:szCs w:val="24"/>
      <w:lang w:eastAsia="en-US"/>
    </w:rPr>
  </w:style>
  <w:style w:type="paragraph" w:customStyle="1" w:styleId="Ttulo31">
    <w:name w:val="Título 31"/>
    <w:basedOn w:val="Normal"/>
    <w:next w:val="Normal"/>
    <w:link w:val="Ttulo3Carcter"/>
    <w:qFormat/>
    <w:rsid w:val="001F3B20"/>
    <w:pPr>
      <w:keepNext/>
      <w:tabs>
        <w:tab w:val="left" w:pos="426"/>
      </w:tabs>
      <w:ind w:left="426" w:hanging="426"/>
      <w:outlineLvl w:val="2"/>
    </w:pPr>
    <w:rPr>
      <w:rFonts w:ascii="Arial" w:hAnsi="Arial"/>
      <w:sz w:val="19"/>
      <w:szCs w:val="20"/>
      <w:u w:val="single"/>
      <w:lang w:eastAsia="en-US"/>
    </w:rPr>
  </w:style>
  <w:style w:type="character" w:customStyle="1" w:styleId="Ttulo3Carcter">
    <w:name w:val="Título 3 Carácter"/>
    <w:link w:val="Ttulo31"/>
    <w:rsid w:val="001F3B20"/>
    <w:rPr>
      <w:rFonts w:ascii="Arial" w:hAnsi="Arial"/>
      <w:sz w:val="19"/>
      <w:u w:val="single"/>
      <w:lang w:eastAsia="en-US"/>
    </w:rPr>
  </w:style>
  <w:style w:type="paragraph" w:styleId="Cabealho">
    <w:name w:val="header"/>
    <w:basedOn w:val="Normal"/>
    <w:link w:val="CabealhoCarter"/>
    <w:rsid w:val="002F20F1"/>
    <w:pPr>
      <w:tabs>
        <w:tab w:val="center" w:pos="4252"/>
        <w:tab w:val="right" w:pos="8504"/>
      </w:tabs>
    </w:pPr>
  </w:style>
  <w:style w:type="character" w:customStyle="1" w:styleId="CabealhoCarter">
    <w:name w:val="Cabeçalho Caráter"/>
    <w:link w:val="Cabealho"/>
    <w:uiPriority w:val="99"/>
    <w:rsid w:val="00856232"/>
    <w:rPr>
      <w:sz w:val="24"/>
      <w:szCs w:val="24"/>
    </w:rPr>
  </w:style>
  <w:style w:type="paragraph" w:styleId="Rodap">
    <w:name w:val="footer"/>
    <w:basedOn w:val="Normal"/>
    <w:link w:val="RodapCarter"/>
    <w:rsid w:val="002F20F1"/>
    <w:pPr>
      <w:tabs>
        <w:tab w:val="center" w:pos="4252"/>
        <w:tab w:val="right" w:pos="8504"/>
      </w:tabs>
    </w:pPr>
  </w:style>
  <w:style w:type="character" w:styleId="Nmerodepgina">
    <w:name w:val="page number"/>
    <w:basedOn w:val="Tipodeletrapredefinidodopargrafo"/>
    <w:rsid w:val="002F20F1"/>
  </w:style>
  <w:style w:type="paragraph" w:styleId="Ttulo">
    <w:name w:val="Title"/>
    <w:basedOn w:val="Normal"/>
    <w:link w:val="TtuloCarter"/>
    <w:qFormat/>
    <w:rsid w:val="008B756F"/>
    <w:pPr>
      <w:spacing w:before="240" w:after="60" w:line="360" w:lineRule="auto"/>
      <w:outlineLvl w:val="0"/>
    </w:pPr>
    <w:rPr>
      <w:rFonts w:ascii="Arial" w:hAnsi="Arial"/>
      <w:b/>
      <w:bCs/>
      <w:kern w:val="28"/>
      <w:szCs w:val="32"/>
      <w:lang w:val="en-US" w:eastAsia="en-US"/>
    </w:rPr>
  </w:style>
  <w:style w:type="character" w:customStyle="1" w:styleId="TtuloCarter">
    <w:name w:val="Título Caráter"/>
    <w:link w:val="Ttulo"/>
    <w:locked/>
    <w:rsid w:val="00CD0614"/>
    <w:rPr>
      <w:rFonts w:ascii="Arial" w:hAnsi="Arial" w:cs="Arial"/>
      <w:b/>
      <w:bCs/>
      <w:kern w:val="28"/>
      <w:sz w:val="24"/>
      <w:szCs w:val="32"/>
      <w:lang w:val="en-US" w:eastAsia="en-US"/>
    </w:rPr>
  </w:style>
  <w:style w:type="paragraph" w:styleId="ndice2">
    <w:name w:val="toc 2"/>
    <w:basedOn w:val="Normal"/>
    <w:next w:val="Normal"/>
    <w:autoRedefine/>
    <w:uiPriority w:val="39"/>
    <w:qFormat/>
    <w:rsid w:val="004738F1"/>
    <w:pPr>
      <w:tabs>
        <w:tab w:val="right" w:leader="dot" w:pos="8494"/>
      </w:tabs>
      <w:spacing w:line="276" w:lineRule="auto"/>
    </w:pPr>
    <w:rPr>
      <w:rFonts w:asciiTheme="minorHAnsi" w:hAnsiTheme="minorHAnsi" w:cstheme="minorHAnsi"/>
      <w:smallCaps/>
      <w:noProof/>
      <w:sz w:val="22"/>
      <w:szCs w:val="22"/>
      <w:lang w:val="en-US" w:eastAsia="en-US"/>
    </w:rPr>
  </w:style>
  <w:style w:type="paragraph" w:styleId="ndice1">
    <w:name w:val="toc 1"/>
    <w:basedOn w:val="Normal"/>
    <w:next w:val="Normal"/>
    <w:autoRedefine/>
    <w:uiPriority w:val="39"/>
    <w:qFormat/>
    <w:rsid w:val="00F65A21"/>
    <w:pPr>
      <w:tabs>
        <w:tab w:val="right" w:leader="dot" w:pos="8505"/>
      </w:tabs>
      <w:spacing w:before="120" w:after="120" w:line="360" w:lineRule="auto"/>
    </w:pPr>
    <w:rPr>
      <w:rFonts w:ascii="Arial" w:hAnsi="Arial" w:cs="Arial"/>
      <w:b/>
      <w:bCs/>
      <w:caps/>
      <w:noProof/>
      <w:sz w:val="22"/>
      <w:szCs w:val="22"/>
      <w:lang w:eastAsia="en-US"/>
    </w:rPr>
  </w:style>
  <w:style w:type="character" w:styleId="Hiperligao">
    <w:name w:val="Hyperlink"/>
    <w:uiPriority w:val="99"/>
    <w:rsid w:val="008B756F"/>
    <w:rPr>
      <w:color w:val="0000FF"/>
      <w:u w:val="single"/>
    </w:rPr>
  </w:style>
  <w:style w:type="paragraph" w:styleId="Textodenotaderodap">
    <w:name w:val="footnote text"/>
    <w:basedOn w:val="Normal"/>
    <w:link w:val="TextodenotaderodapCarter"/>
    <w:uiPriority w:val="99"/>
    <w:rsid w:val="00F447C6"/>
    <w:rPr>
      <w:sz w:val="20"/>
      <w:szCs w:val="20"/>
    </w:rPr>
  </w:style>
  <w:style w:type="character" w:styleId="Refdenotaderodap">
    <w:name w:val="footnote reference"/>
    <w:uiPriority w:val="99"/>
    <w:rsid w:val="00F447C6"/>
    <w:rPr>
      <w:vertAlign w:val="superscript"/>
    </w:rPr>
  </w:style>
  <w:style w:type="paragraph" w:styleId="Textodebalo">
    <w:name w:val="Balloon Text"/>
    <w:basedOn w:val="Normal"/>
    <w:link w:val="TextodebaloCarter1"/>
    <w:rsid w:val="00112E2A"/>
    <w:rPr>
      <w:rFonts w:ascii="Tahoma" w:hAnsi="Tahoma"/>
      <w:sz w:val="16"/>
      <w:szCs w:val="16"/>
    </w:rPr>
  </w:style>
  <w:style w:type="character" w:customStyle="1" w:styleId="TextodebaloCarter1">
    <w:name w:val="Texto de balão Caráter1"/>
    <w:link w:val="Textodebalo"/>
    <w:rsid w:val="00112E2A"/>
    <w:rPr>
      <w:rFonts w:ascii="Tahoma" w:hAnsi="Tahoma" w:cs="Tahoma"/>
      <w:sz w:val="16"/>
      <w:szCs w:val="16"/>
    </w:rPr>
  </w:style>
  <w:style w:type="paragraph" w:styleId="PargrafodaLista">
    <w:name w:val="List Paragraph"/>
    <w:basedOn w:val="Normal"/>
    <w:link w:val="PargrafodaListaCarter"/>
    <w:uiPriority w:val="34"/>
    <w:qFormat/>
    <w:rsid w:val="00B63FF7"/>
    <w:pPr>
      <w:ind w:left="708"/>
    </w:pPr>
  </w:style>
  <w:style w:type="paragraph" w:styleId="Textodenotadefim">
    <w:name w:val="endnote text"/>
    <w:basedOn w:val="Normal"/>
    <w:link w:val="TextodenotadefimCarter"/>
    <w:unhideWhenUsed/>
    <w:rsid w:val="0068776C"/>
    <w:pPr>
      <w:snapToGrid w:val="0"/>
    </w:pPr>
    <w:rPr>
      <w:rFonts w:eastAsia="Calibri"/>
    </w:rPr>
  </w:style>
  <w:style w:type="character" w:customStyle="1" w:styleId="TextodenotadefimCarter">
    <w:name w:val="Texto de nota de fim Caráter"/>
    <w:link w:val="Textodenotadefim"/>
    <w:rsid w:val="0068776C"/>
    <w:rPr>
      <w:rFonts w:eastAsia="Calibri"/>
      <w:sz w:val="24"/>
      <w:szCs w:val="24"/>
    </w:rPr>
  </w:style>
  <w:style w:type="paragraph" w:styleId="Subttulo">
    <w:name w:val="Subtitle"/>
    <w:basedOn w:val="Normal"/>
    <w:next w:val="Normal"/>
    <w:link w:val="SubttuloCarter"/>
    <w:uiPriority w:val="99"/>
    <w:qFormat/>
    <w:rsid w:val="000E443A"/>
    <w:pPr>
      <w:spacing w:after="60"/>
      <w:jc w:val="center"/>
      <w:outlineLvl w:val="1"/>
    </w:pPr>
    <w:rPr>
      <w:rFonts w:ascii="Cambria" w:hAnsi="Cambria"/>
    </w:rPr>
  </w:style>
  <w:style w:type="character" w:customStyle="1" w:styleId="SubttuloCarter">
    <w:name w:val="Subtítulo Caráter"/>
    <w:link w:val="Subttulo"/>
    <w:uiPriority w:val="99"/>
    <w:rsid w:val="000E443A"/>
    <w:rPr>
      <w:rFonts w:ascii="Cambria" w:eastAsia="Times New Roman" w:hAnsi="Cambria" w:cs="Times New Roman"/>
      <w:sz w:val="24"/>
      <w:szCs w:val="24"/>
    </w:rPr>
  </w:style>
  <w:style w:type="table" w:styleId="TabelacomGrelha">
    <w:name w:val="Table Grid"/>
    <w:basedOn w:val="Tabelanormal"/>
    <w:uiPriority w:val="39"/>
    <w:rsid w:val="00E03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1">
    <w:name w:val="Tabela com grelha1"/>
    <w:basedOn w:val="Tabelanormal"/>
    <w:next w:val="TabelacomGrelha"/>
    <w:uiPriority w:val="59"/>
    <w:rsid w:val="00C616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2">
    <w:name w:val="Tabela com grelha2"/>
    <w:basedOn w:val="Tabelanormal"/>
    <w:next w:val="TabelacomGrelha"/>
    <w:uiPriority w:val="59"/>
    <w:rsid w:val="00C616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3">
    <w:name w:val="Tabela com grelha3"/>
    <w:basedOn w:val="Tabelanormal"/>
    <w:next w:val="TabelacomGrelha"/>
    <w:uiPriority w:val="59"/>
    <w:rsid w:val="001F35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4">
    <w:name w:val="Tabela com grelha4"/>
    <w:basedOn w:val="Tabelanormal"/>
    <w:next w:val="TabelacomGrelha"/>
    <w:uiPriority w:val="59"/>
    <w:rsid w:val="008A66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rsid w:val="00CD0614"/>
    <w:pPr>
      <w:ind w:left="708"/>
    </w:pPr>
  </w:style>
  <w:style w:type="paragraph" w:customStyle="1" w:styleId="IOC">
    <w:name w:val="IOC"/>
    <w:basedOn w:val="Normal"/>
    <w:rsid w:val="001F3B20"/>
    <w:pPr>
      <w:jc w:val="both"/>
    </w:pPr>
    <w:rPr>
      <w:rFonts w:ascii="Bookman" w:hAnsi="Bookman"/>
      <w:sz w:val="20"/>
      <w:szCs w:val="20"/>
      <w:lang w:val="en-US" w:eastAsia="en-US"/>
    </w:rPr>
  </w:style>
  <w:style w:type="paragraph" w:customStyle="1" w:styleId="CARTA">
    <w:name w:val="CARTA"/>
    <w:basedOn w:val="Normal"/>
    <w:rsid w:val="001F3B20"/>
    <w:pPr>
      <w:suppressLineNumbers/>
    </w:pPr>
    <w:rPr>
      <w:rFonts w:ascii="Palatino" w:hAnsi="Palatino"/>
      <w:sz w:val="20"/>
      <w:szCs w:val="20"/>
      <w:lang w:eastAsia="en-US"/>
    </w:rPr>
  </w:style>
  <w:style w:type="paragraph" w:styleId="Avanodecorpodetexto">
    <w:name w:val="Body Text Indent"/>
    <w:basedOn w:val="Normal"/>
    <w:link w:val="AvanodecorpodetextoCarter"/>
    <w:rsid w:val="001F3B20"/>
    <w:pPr>
      <w:tabs>
        <w:tab w:val="left" w:pos="426"/>
        <w:tab w:val="left" w:pos="851"/>
        <w:tab w:val="left" w:pos="1276"/>
      </w:tabs>
      <w:ind w:left="851" w:hanging="851"/>
      <w:jc w:val="both"/>
    </w:pPr>
    <w:rPr>
      <w:rFonts w:ascii="Palatino" w:hAnsi="Palatino"/>
      <w:sz w:val="20"/>
      <w:szCs w:val="20"/>
      <w:lang w:eastAsia="en-US"/>
    </w:rPr>
  </w:style>
  <w:style w:type="character" w:customStyle="1" w:styleId="AvanodecorpodetextoCarter">
    <w:name w:val="Avanço de corpo de texto Caráter"/>
    <w:link w:val="Avanodecorpodetexto"/>
    <w:rsid w:val="001F3B20"/>
    <w:rPr>
      <w:rFonts w:ascii="Palatino" w:hAnsi="Palatino"/>
      <w:lang w:eastAsia="en-US"/>
    </w:rPr>
  </w:style>
  <w:style w:type="paragraph" w:styleId="Avanodecorpodetexto2">
    <w:name w:val="Body Text Indent 2"/>
    <w:basedOn w:val="Normal"/>
    <w:link w:val="Avanodecorpodetexto2Carter"/>
    <w:rsid w:val="001F3B20"/>
    <w:pPr>
      <w:tabs>
        <w:tab w:val="left" w:pos="426"/>
      </w:tabs>
      <w:ind w:left="426" w:hanging="426"/>
      <w:jc w:val="both"/>
    </w:pPr>
    <w:rPr>
      <w:rFonts w:ascii="Palatino" w:hAnsi="Palatino"/>
      <w:b/>
      <w:sz w:val="20"/>
      <w:szCs w:val="20"/>
      <w:lang w:eastAsia="en-US"/>
    </w:rPr>
  </w:style>
  <w:style w:type="character" w:customStyle="1" w:styleId="Avanodecorpodetexto2Carter">
    <w:name w:val="Avanço de corpo de texto 2 Caráter"/>
    <w:link w:val="Avanodecorpodetexto2"/>
    <w:rsid w:val="001F3B20"/>
    <w:rPr>
      <w:rFonts w:ascii="Palatino" w:hAnsi="Palatino"/>
      <w:b/>
      <w:lang w:eastAsia="en-US"/>
    </w:rPr>
  </w:style>
  <w:style w:type="paragraph" w:styleId="Avanodecorpodetexto3">
    <w:name w:val="Body Text Indent 3"/>
    <w:basedOn w:val="Normal"/>
    <w:link w:val="Avanodecorpodetexto3Carter"/>
    <w:rsid w:val="001F3B20"/>
    <w:pPr>
      <w:tabs>
        <w:tab w:val="left" w:pos="426"/>
      </w:tabs>
      <w:ind w:left="425" w:hanging="425"/>
      <w:jc w:val="both"/>
    </w:pPr>
    <w:rPr>
      <w:rFonts w:ascii="Palatino" w:hAnsi="Palatino"/>
      <w:sz w:val="20"/>
      <w:szCs w:val="20"/>
      <w:lang w:eastAsia="en-US"/>
    </w:rPr>
  </w:style>
  <w:style w:type="character" w:customStyle="1" w:styleId="Avanodecorpodetexto3Carter">
    <w:name w:val="Avanço de corpo de texto 3 Caráter"/>
    <w:link w:val="Avanodecorpodetexto3"/>
    <w:rsid w:val="001F3B20"/>
    <w:rPr>
      <w:rFonts w:ascii="Palatino" w:hAnsi="Palatino"/>
      <w:lang w:eastAsia="en-US"/>
    </w:rPr>
  </w:style>
  <w:style w:type="paragraph" w:styleId="Corpodetexto2">
    <w:name w:val="Body Text 2"/>
    <w:basedOn w:val="Normal"/>
    <w:link w:val="Corpodetexto2Carter"/>
    <w:rsid w:val="001F3B20"/>
    <w:pPr>
      <w:tabs>
        <w:tab w:val="left" w:pos="450"/>
      </w:tabs>
      <w:ind w:left="450" w:hanging="450"/>
      <w:jc w:val="both"/>
    </w:pPr>
    <w:rPr>
      <w:rFonts w:ascii="Palatino" w:hAnsi="Palatino"/>
      <w:sz w:val="20"/>
      <w:szCs w:val="20"/>
      <w:lang w:eastAsia="en-US"/>
    </w:rPr>
  </w:style>
  <w:style w:type="character" w:customStyle="1" w:styleId="Corpodetexto2Carter">
    <w:name w:val="Corpo de texto 2 Caráter"/>
    <w:link w:val="Corpodetexto2"/>
    <w:rsid w:val="001F3B20"/>
    <w:rPr>
      <w:rFonts w:ascii="Palatino" w:hAnsi="Palatino"/>
      <w:lang w:eastAsia="en-US"/>
    </w:rPr>
  </w:style>
  <w:style w:type="paragraph" w:styleId="Corpodetexto">
    <w:name w:val="Body Text"/>
    <w:basedOn w:val="Normal"/>
    <w:link w:val="CorpodetextoCarter"/>
    <w:rsid w:val="001F3B20"/>
    <w:rPr>
      <w:rFonts w:ascii="Arial" w:hAnsi="Arial" w:cs="Mangal"/>
      <w:sz w:val="18"/>
      <w:szCs w:val="20"/>
      <w:lang w:bidi="hi-IN"/>
    </w:rPr>
  </w:style>
  <w:style w:type="character" w:customStyle="1" w:styleId="CorpodetextoCarter">
    <w:name w:val="Corpo de texto Caráter"/>
    <w:link w:val="Corpodetexto"/>
    <w:rsid w:val="001F3B20"/>
    <w:rPr>
      <w:rFonts w:ascii="Arial" w:hAnsi="Arial" w:cs="Mangal"/>
      <w:sz w:val="18"/>
      <w:lang w:bidi="hi-IN"/>
    </w:rPr>
  </w:style>
  <w:style w:type="paragraph" w:styleId="Mapadodocumento">
    <w:name w:val="Document Map"/>
    <w:basedOn w:val="Normal"/>
    <w:link w:val="MapadodocumentoCarter"/>
    <w:rsid w:val="001F3B20"/>
    <w:pPr>
      <w:shd w:val="clear" w:color="auto" w:fill="000080"/>
      <w:spacing w:line="240" w:lineRule="atLeast"/>
      <w:jc w:val="both"/>
    </w:pPr>
    <w:rPr>
      <w:rFonts w:ascii="Tahoma" w:hAnsi="Tahoma"/>
      <w:sz w:val="20"/>
      <w:szCs w:val="20"/>
      <w:lang w:eastAsia="en-US"/>
    </w:rPr>
  </w:style>
  <w:style w:type="character" w:customStyle="1" w:styleId="MapadodocumentoCarter">
    <w:name w:val="Mapa do documento Caráter"/>
    <w:link w:val="Mapadodocumento"/>
    <w:rsid w:val="001F3B20"/>
    <w:rPr>
      <w:rFonts w:ascii="Tahoma" w:hAnsi="Tahoma" w:cs="Tahoma"/>
      <w:shd w:val="clear" w:color="auto" w:fill="000080"/>
      <w:lang w:eastAsia="en-US"/>
    </w:rPr>
  </w:style>
  <w:style w:type="paragraph" w:customStyle="1" w:styleId="xl24">
    <w:name w:val="xl24"/>
    <w:basedOn w:val="Normal"/>
    <w:rsid w:val="001F3B20"/>
    <w:pPr>
      <w:spacing w:before="100" w:beforeAutospacing="1" w:after="100" w:afterAutospacing="1"/>
    </w:pPr>
    <w:rPr>
      <w:rFonts w:ascii="Arial" w:eastAsia="Arial Unicode MS" w:hAnsi="Arial" w:cs="Arial"/>
      <w:sz w:val="18"/>
      <w:szCs w:val="18"/>
      <w:lang w:val="en-US" w:eastAsia="en-US"/>
    </w:rPr>
  </w:style>
  <w:style w:type="paragraph" w:styleId="Textodebloco">
    <w:name w:val="Block Text"/>
    <w:basedOn w:val="Normal"/>
    <w:rsid w:val="001F3B20"/>
    <w:pPr>
      <w:suppressLineNumbers/>
      <w:tabs>
        <w:tab w:val="left" w:pos="426"/>
        <w:tab w:val="left" w:pos="709"/>
        <w:tab w:val="left" w:pos="993"/>
        <w:tab w:val="right" w:pos="8080"/>
      </w:tabs>
      <w:ind w:left="426" w:right="-53" w:hanging="426"/>
      <w:jc w:val="both"/>
    </w:pPr>
    <w:rPr>
      <w:rFonts w:ascii="Palatino" w:hAnsi="Palatino"/>
      <w:sz w:val="20"/>
      <w:szCs w:val="20"/>
      <w:lang w:eastAsia="en-US"/>
    </w:rPr>
  </w:style>
  <w:style w:type="paragraph" w:styleId="Legenda">
    <w:name w:val="caption"/>
    <w:basedOn w:val="Normal"/>
    <w:next w:val="Normal"/>
    <w:qFormat/>
    <w:rsid w:val="004C18CF"/>
    <w:pPr>
      <w:ind w:right="340"/>
      <w:jc w:val="center"/>
    </w:pPr>
    <w:rPr>
      <w:sz w:val="22"/>
      <w:szCs w:val="20"/>
      <w:u w:val="single"/>
      <w:lang w:eastAsia="en-US"/>
    </w:rPr>
  </w:style>
  <w:style w:type="paragraph" w:styleId="NormalWeb">
    <w:name w:val="Normal (Web)"/>
    <w:basedOn w:val="Normal"/>
    <w:uiPriority w:val="99"/>
    <w:unhideWhenUsed/>
    <w:rsid w:val="00CE5C9C"/>
    <w:pPr>
      <w:spacing w:before="100" w:beforeAutospacing="1" w:after="100" w:afterAutospacing="1"/>
    </w:pPr>
  </w:style>
  <w:style w:type="paragraph" w:styleId="ndice3">
    <w:name w:val="toc 3"/>
    <w:basedOn w:val="Normal"/>
    <w:next w:val="Normal"/>
    <w:autoRedefine/>
    <w:uiPriority w:val="39"/>
    <w:unhideWhenUsed/>
    <w:qFormat/>
    <w:rsid w:val="00031ABA"/>
    <w:pPr>
      <w:spacing w:after="100" w:line="276" w:lineRule="auto"/>
      <w:ind w:left="440"/>
    </w:pPr>
    <w:rPr>
      <w:rFonts w:ascii="Calibri" w:eastAsia="SimSun" w:hAnsi="Calibri"/>
      <w:sz w:val="22"/>
      <w:szCs w:val="22"/>
    </w:rPr>
  </w:style>
  <w:style w:type="paragraph" w:styleId="ndice4">
    <w:name w:val="toc 4"/>
    <w:basedOn w:val="Normal"/>
    <w:next w:val="Normal"/>
    <w:autoRedefine/>
    <w:uiPriority w:val="39"/>
    <w:unhideWhenUsed/>
    <w:rsid w:val="00031ABA"/>
    <w:pPr>
      <w:spacing w:after="100" w:line="276" w:lineRule="auto"/>
      <w:ind w:left="660"/>
    </w:pPr>
    <w:rPr>
      <w:rFonts w:ascii="Calibri" w:eastAsia="SimSun" w:hAnsi="Calibri"/>
      <w:sz w:val="22"/>
      <w:szCs w:val="22"/>
    </w:rPr>
  </w:style>
  <w:style w:type="paragraph" w:styleId="ndice5">
    <w:name w:val="toc 5"/>
    <w:basedOn w:val="Normal"/>
    <w:next w:val="Normal"/>
    <w:autoRedefine/>
    <w:uiPriority w:val="39"/>
    <w:unhideWhenUsed/>
    <w:rsid w:val="00031ABA"/>
    <w:pPr>
      <w:spacing w:after="100" w:line="276" w:lineRule="auto"/>
      <w:ind w:left="880"/>
    </w:pPr>
    <w:rPr>
      <w:rFonts w:ascii="Calibri" w:eastAsia="SimSun" w:hAnsi="Calibri"/>
      <w:sz w:val="22"/>
      <w:szCs w:val="22"/>
    </w:rPr>
  </w:style>
  <w:style w:type="paragraph" w:styleId="ndice6">
    <w:name w:val="toc 6"/>
    <w:basedOn w:val="Normal"/>
    <w:next w:val="Normal"/>
    <w:autoRedefine/>
    <w:uiPriority w:val="39"/>
    <w:unhideWhenUsed/>
    <w:rsid w:val="00031ABA"/>
    <w:pPr>
      <w:spacing w:after="100" w:line="276" w:lineRule="auto"/>
      <w:ind w:left="1100"/>
    </w:pPr>
    <w:rPr>
      <w:rFonts w:ascii="Calibri" w:eastAsia="SimSun" w:hAnsi="Calibri"/>
      <w:sz w:val="22"/>
      <w:szCs w:val="22"/>
    </w:rPr>
  </w:style>
  <w:style w:type="paragraph" w:styleId="ndice7">
    <w:name w:val="toc 7"/>
    <w:basedOn w:val="Normal"/>
    <w:next w:val="Normal"/>
    <w:autoRedefine/>
    <w:uiPriority w:val="39"/>
    <w:unhideWhenUsed/>
    <w:rsid w:val="00031ABA"/>
    <w:pPr>
      <w:spacing w:after="100" w:line="276" w:lineRule="auto"/>
      <w:ind w:left="1320"/>
    </w:pPr>
    <w:rPr>
      <w:rFonts w:ascii="Calibri" w:eastAsia="SimSun" w:hAnsi="Calibri"/>
      <w:sz w:val="22"/>
      <w:szCs w:val="22"/>
    </w:rPr>
  </w:style>
  <w:style w:type="paragraph" w:styleId="ndice8">
    <w:name w:val="toc 8"/>
    <w:basedOn w:val="Normal"/>
    <w:next w:val="Normal"/>
    <w:autoRedefine/>
    <w:uiPriority w:val="39"/>
    <w:unhideWhenUsed/>
    <w:rsid w:val="00031ABA"/>
    <w:pPr>
      <w:spacing w:after="100" w:line="276" w:lineRule="auto"/>
      <w:ind w:left="1540"/>
    </w:pPr>
    <w:rPr>
      <w:rFonts w:ascii="Calibri" w:eastAsia="SimSun" w:hAnsi="Calibri"/>
      <w:sz w:val="22"/>
      <w:szCs w:val="22"/>
    </w:rPr>
  </w:style>
  <w:style w:type="paragraph" w:styleId="ndice9">
    <w:name w:val="toc 9"/>
    <w:basedOn w:val="Normal"/>
    <w:next w:val="Normal"/>
    <w:autoRedefine/>
    <w:uiPriority w:val="39"/>
    <w:unhideWhenUsed/>
    <w:rsid w:val="00031ABA"/>
    <w:pPr>
      <w:spacing w:after="100" w:line="276" w:lineRule="auto"/>
      <w:ind w:left="1760"/>
    </w:pPr>
    <w:rPr>
      <w:rFonts w:ascii="Calibri" w:eastAsia="SimSun" w:hAnsi="Calibri"/>
      <w:sz w:val="22"/>
      <w:szCs w:val="22"/>
    </w:rPr>
  </w:style>
  <w:style w:type="character" w:customStyle="1" w:styleId="Ttulo1Carter">
    <w:name w:val="Título 1 Caráter"/>
    <w:link w:val="Ttulo1"/>
    <w:rsid w:val="00F02F58"/>
    <w:rPr>
      <w:rFonts w:ascii="Cambria" w:eastAsia="SimSun" w:hAnsi="Cambria" w:cs="Times New Roman"/>
      <w:b/>
      <w:bCs/>
      <w:color w:val="365F91"/>
      <w:sz w:val="28"/>
      <w:szCs w:val="28"/>
    </w:rPr>
  </w:style>
  <w:style w:type="character" w:customStyle="1" w:styleId="Ttulo2Carter">
    <w:name w:val="Título 2 Caráter"/>
    <w:link w:val="Ttulo2"/>
    <w:rsid w:val="000647AA"/>
    <w:rPr>
      <w:rFonts w:ascii="Palatino" w:hAnsi="Palatino"/>
      <w:b/>
      <w:lang w:eastAsia="en-US"/>
    </w:rPr>
  </w:style>
  <w:style w:type="character" w:customStyle="1" w:styleId="Ttulo3Carter">
    <w:name w:val="Título 3 Caráter"/>
    <w:link w:val="Ttulo3"/>
    <w:rsid w:val="000647AA"/>
    <w:rPr>
      <w:rFonts w:ascii="Arial" w:hAnsi="Arial"/>
      <w:sz w:val="19"/>
      <w:u w:val="single"/>
      <w:lang w:eastAsia="en-US"/>
    </w:rPr>
  </w:style>
  <w:style w:type="character" w:customStyle="1" w:styleId="RodapCarter">
    <w:name w:val="Rodapé Caráter"/>
    <w:link w:val="Rodap"/>
    <w:uiPriority w:val="99"/>
    <w:rsid w:val="000647AA"/>
    <w:rPr>
      <w:sz w:val="24"/>
      <w:szCs w:val="24"/>
    </w:rPr>
  </w:style>
  <w:style w:type="character" w:styleId="Refdecomentrio">
    <w:name w:val="annotation reference"/>
    <w:rsid w:val="000647AA"/>
    <w:rPr>
      <w:sz w:val="16"/>
      <w:szCs w:val="16"/>
    </w:rPr>
  </w:style>
  <w:style w:type="paragraph" w:styleId="Textodecomentrio">
    <w:name w:val="annotation text"/>
    <w:basedOn w:val="Normal"/>
    <w:link w:val="TextodecomentrioCarter"/>
    <w:rsid w:val="000647AA"/>
    <w:pPr>
      <w:spacing w:line="240" w:lineRule="atLeast"/>
      <w:jc w:val="both"/>
    </w:pPr>
    <w:rPr>
      <w:rFonts w:ascii="Times" w:hAnsi="Times"/>
      <w:sz w:val="20"/>
      <w:szCs w:val="20"/>
      <w:lang w:eastAsia="en-US"/>
    </w:rPr>
  </w:style>
  <w:style w:type="character" w:customStyle="1" w:styleId="TextodecomentrioCarter">
    <w:name w:val="Texto de comentário Caráter"/>
    <w:link w:val="Textodecomentrio"/>
    <w:rsid w:val="000647AA"/>
    <w:rPr>
      <w:rFonts w:ascii="Times" w:hAnsi="Times"/>
      <w:lang w:eastAsia="en-US"/>
    </w:rPr>
  </w:style>
  <w:style w:type="paragraph" w:styleId="Assuntodecomentrio">
    <w:name w:val="annotation subject"/>
    <w:basedOn w:val="Textodecomentrio"/>
    <w:next w:val="Textodecomentrio"/>
    <w:link w:val="AssuntodecomentrioCarter"/>
    <w:rsid w:val="000647AA"/>
    <w:rPr>
      <w:b/>
      <w:bCs/>
    </w:rPr>
  </w:style>
  <w:style w:type="character" w:customStyle="1" w:styleId="AssuntodecomentrioCarter">
    <w:name w:val="Assunto de comentário Caráter"/>
    <w:link w:val="Assuntodecomentrio"/>
    <w:rsid w:val="000647AA"/>
    <w:rPr>
      <w:rFonts w:ascii="Times" w:hAnsi="Times"/>
      <w:b/>
      <w:bCs/>
      <w:lang w:eastAsia="en-US"/>
    </w:rPr>
  </w:style>
  <w:style w:type="paragraph" w:styleId="Textosimples">
    <w:name w:val="Plain Text"/>
    <w:basedOn w:val="Normal"/>
    <w:link w:val="TextosimplesCarter"/>
    <w:uiPriority w:val="99"/>
    <w:unhideWhenUsed/>
    <w:rsid w:val="000647AA"/>
    <w:rPr>
      <w:rFonts w:ascii="Calibri" w:hAnsi="Calibri"/>
      <w:sz w:val="22"/>
      <w:szCs w:val="21"/>
      <w:lang w:val="en-US" w:eastAsia="en-US"/>
    </w:rPr>
  </w:style>
  <w:style w:type="character" w:customStyle="1" w:styleId="TextosimplesCarter">
    <w:name w:val="Texto simples Caráter"/>
    <w:link w:val="Textosimples"/>
    <w:uiPriority w:val="99"/>
    <w:rsid w:val="000647AA"/>
    <w:rPr>
      <w:rFonts w:ascii="Calibri" w:hAnsi="Calibri"/>
      <w:sz w:val="22"/>
      <w:szCs w:val="21"/>
      <w:lang w:val="en-US" w:eastAsia="en-US"/>
    </w:rPr>
  </w:style>
  <w:style w:type="character" w:customStyle="1" w:styleId="Cabealho2Carcter1">
    <w:name w:val="Cabeçalho 2 Carácter1"/>
    <w:uiPriority w:val="99"/>
    <w:locked/>
    <w:rsid w:val="001E6275"/>
    <w:rPr>
      <w:b/>
      <w:bCs/>
      <w:iCs/>
      <w:sz w:val="24"/>
      <w:szCs w:val="24"/>
      <w:lang w:eastAsia="en-US"/>
    </w:rPr>
  </w:style>
  <w:style w:type="paragraph" w:customStyle="1" w:styleId="Estilo">
    <w:name w:val="Estilo"/>
    <w:rsid w:val="00A603D3"/>
    <w:pPr>
      <w:widowControl w:val="0"/>
      <w:autoSpaceDE w:val="0"/>
      <w:autoSpaceDN w:val="0"/>
      <w:adjustRightInd w:val="0"/>
    </w:pPr>
    <w:rPr>
      <w:rFonts w:ascii="Arial" w:hAnsi="Arial" w:cs="Arial"/>
      <w:sz w:val="24"/>
      <w:szCs w:val="24"/>
    </w:rPr>
  </w:style>
  <w:style w:type="character" w:customStyle="1" w:styleId="TextodebaloCarter">
    <w:name w:val="Texto de balão Caráter"/>
    <w:rsid w:val="00FB668D"/>
    <w:rPr>
      <w:rFonts w:ascii="Segoe UI" w:hAnsi="Segoe UI" w:cs="Segoe UI"/>
      <w:sz w:val="18"/>
      <w:szCs w:val="18"/>
    </w:rPr>
  </w:style>
  <w:style w:type="paragraph" w:styleId="Reviso">
    <w:name w:val="Revision"/>
    <w:hidden/>
    <w:uiPriority w:val="99"/>
    <w:semiHidden/>
    <w:rsid w:val="00B6395E"/>
    <w:rPr>
      <w:sz w:val="24"/>
      <w:szCs w:val="24"/>
    </w:rPr>
  </w:style>
  <w:style w:type="character" w:customStyle="1" w:styleId="TextodenotaderodapCarter">
    <w:name w:val="Texto de nota de rodapé Caráter"/>
    <w:basedOn w:val="Tipodeletrapredefinidodopargrafo"/>
    <w:link w:val="Textodenotaderodap"/>
    <w:uiPriority w:val="99"/>
    <w:rsid w:val="00027A49"/>
  </w:style>
  <w:style w:type="paragraph" w:customStyle="1" w:styleId="Default">
    <w:name w:val="Default"/>
    <w:rsid w:val="00D952E7"/>
    <w:pPr>
      <w:autoSpaceDE w:val="0"/>
      <w:autoSpaceDN w:val="0"/>
      <w:adjustRightInd w:val="0"/>
    </w:pPr>
    <w:rPr>
      <w:rFonts w:ascii="Arial" w:eastAsiaTheme="minorHAnsi" w:hAnsi="Arial" w:cs="Arial"/>
      <w:color w:val="000000"/>
      <w:sz w:val="24"/>
      <w:szCs w:val="24"/>
      <w:lang w:eastAsia="en-US"/>
    </w:rPr>
  </w:style>
  <w:style w:type="table" w:customStyle="1" w:styleId="TabeladeGrelha5Escura-Destaque31">
    <w:name w:val="Tabela de Grelha 5 Escura - Destaque 31"/>
    <w:basedOn w:val="Tabelanormal"/>
    <w:uiPriority w:val="50"/>
    <w:rsid w:val="00CB26A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CabealhoCarcter">
    <w:name w:val="Cabeçalho Carácter"/>
    <w:rsid w:val="006855EC"/>
    <w:rPr>
      <w:sz w:val="24"/>
      <w:szCs w:val="24"/>
    </w:rPr>
  </w:style>
  <w:style w:type="character" w:customStyle="1" w:styleId="RodapCarcter">
    <w:name w:val="Rodapé Carácter"/>
    <w:rsid w:val="006855EC"/>
    <w:rPr>
      <w:sz w:val="24"/>
      <w:szCs w:val="24"/>
    </w:rPr>
  </w:style>
  <w:style w:type="paragraph" w:customStyle="1" w:styleId="PargrafodaLista2">
    <w:name w:val="Parágrafo da Lista2"/>
    <w:basedOn w:val="Normal"/>
    <w:rsid w:val="00883C39"/>
    <w:pPr>
      <w:spacing w:after="200" w:line="276" w:lineRule="auto"/>
      <w:ind w:left="720"/>
      <w:contextualSpacing/>
    </w:pPr>
    <w:rPr>
      <w:rFonts w:ascii="Calibri" w:hAnsi="Calibri"/>
      <w:sz w:val="22"/>
      <w:szCs w:val="22"/>
      <w:lang w:eastAsia="en-US"/>
    </w:rPr>
  </w:style>
  <w:style w:type="paragraph" w:customStyle="1" w:styleId="CorpodotextoMP">
    <w:name w:val="Corpo do texto MP"/>
    <w:basedOn w:val="Normal"/>
    <w:link w:val="CorpodotextoMPCarter"/>
    <w:qFormat/>
    <w:rsid w:val="009A2261"/>
    <w:pPr>
      <w:spacing w:after="160"/>
      <w:jc w:val="both"/>
    </w:pPr>
    <w:rPr>
      <w:rFonts w:eastAsiaTheme="minorHAnsi"/>
      <w:lang w:eastAsia="en-US"/>
    </w:rPr>
  </w:style>
  <w:style w:type="paragraph" w:customStyle="1" w:styleId="Ttulo22">
    <w:name w:val="Título 22"/>
    <w:basedOn w:val="Normal"/>
    <w:next w:val="Normal"/>
    <w:autoRedefine/>
    <w:qFormat/>
    <w:rsid w:val="00E50831"/>
    <w:pPr>
      <w:keepNext/>
      <w:spacing w:before="240" w:after="60" w:line="360" w:lineRule="auto"/>
      <w:ind w:right="-342"/>
      <w:outlineLvl w:val="1"/>
    </w:pPr>
    <w:rPr>
      <w:rFonts w:asciiTheme="minorHAnsi" w:hAnsiTheme="minorHAnsi"/>
      <w:b/>
      <w:bCs/>
      <w:iCs/>
      <w:sz w:val="22"/>
      <w:szCs w:val="22"/>
      <w:lang w:eastAsia="en-US"/>
    </w:rPr>
  </w:style>
  <w:style w:type="character" w:customStyle="1" w:styleId="CorpodotextoMPCarter">
    <w:name w:val="Corpo do texto MP Caráter"/>
    <w:basedOn w:val="Tipodeletrapredefinidodopargrafo"/>
    <w:link w:val="CorpodotextoMP"/>
    <w:rsid w:val="009A2261"/>
    <w:rPr>
      <w:rFonts w:eastAsiaTheme="minorHAnsi"/>
      <w:sz w:val="24"/>
      <w:szCs w:val="24"/>
      <w:lang w:eastAsia="en-US"/>
    </w:rPr>
  </w:style>
  <w:style w:type="paragraph" w:customStyle="1" w:styleId="CorpotextoMP">
    <w:name w:val="Corpo texto MP"/>
    <w:basedOn w:val="Normal"/>
    <w:link w:val="CorpotextoMPCarter"/>
    <w:qFormat/>
    <w:rsid w:val="00EE4FA8"/>
    <w:pPr>
      <w:jc w:val="both"/>
    </w:pPr>
  </w:style>
  <w:style w:type="character" w:customStyle="1" w:styleId="CorpotextoMPCarter">
    <w:name w:val="Corpo texto MP Caráter"/>
    <w:basedOn w:val="Tipodeletrapredefinidodopargrafo"/>
    <w:link w:val="CorpotextoMP"/>
    <w:rsid w:val="00EE4FA8"/>
    <w:rPr>
      <w:sz w:val="24"/>
      <w:szCs w:val="24"/>
    </w:rPr>
  </w:style>
  <w:style w:type="character" w:customStyle="1" w:styleId="PargrafodaListaCarter">
    <w:name w:val="Parágrafo da Lista Caráter"/>
    <w:basedOn w:val="Tipodeletrapredefinidodopargrafo"/>
    <w:link w:val="PargrafodaLista"/>
    <w:uiPriority w:val="34"/>
    <w:rsid w:val="0025488C"/>
    <w:rPr>
      <w:sz w:val="24"/>
      <w:szCs w:val="24"/>
    </w:rPr>
  </w:style>
  <w:style w:type="paragraph" w:customStyle="1" w:styleId="informao">
    <w:name w:val="informação"/>
    <w:basedOn w:val="Normal"/>
    <w:uiPriority w:val="99"/>
    <w:rsid w:val="0025488C"/>
    <w:pPr>
      <w:ind w:left="284" w:right="142"/>
      <w:jc w:val="both"/>
    </w:pPr>
    <w:rPr>
      <w:szCs w:val="20"/>
    </w:rPr>
  </w:style>
  <w:style w:type="character" w:styleId="TtulodoLivro">
    <w:name w:val="Book Title"/>
    <w:basedOn w:val="Tipodeletrapredefinidodopargrafo"/>
    <w:uiPriority w:val="33"/>
    <w:qFormat/>
    <w:rsid w:val="00FB1B99"/>
    <w:rPr>
      <w:b/>
      <w:bCs/>
      <w:i/>
      <w:iCs/>
      <w:spacing w:val="5"/>
    </w:rPr>
  </w:style>
  <w:style w:type="character" w:styleId="nfase">
    <w:name w:val="Emphasis"/>
    <w:basedOn w:val="Tipodeletrapredefinidodopargrafo"/>
    <w:uiPriority w:val="20"/>
    <w:qFormat/>
    <w:rsid w:val="006634E1"/>
    <w:rPr>
      <w:i/>
      <w:iCs/>
    </w:rPr>
  </w:style>
  <w:style w:type="paragraph" w:customStyle="1" w:styleId="RodapDataPgina">
    <w:name w:val="Rodapé Data/Página"/>
    <w:basedOn w:val="Normal"/>
    <w:rsid w:val="005754DC"/>
    <w:pPr>
      <w:jc w:val="center"/>
    </w:pPr>
    <w:rPr>
      <w:rFonts w:ascii="Arial" w:hAnsi="Arial"/>
      <w:b/>
      <w:sz w:val="18"/>
      <w:szCs w:val="20"/>
      <w:lang w:eastAsia="en-US"/>
    </w:rPr>
  </w:style>
  <w:style w:type="paragraph" w:styleId="Corpodetexto3">
    <w:name w:val="Body Text 3"/>
    <w:basedOn w:val="Normal"/>
    <w:link w:val="Corpodetexto3Carter"/>
    <w:rsid w:val="005754DC"/>
    <w:pPr>
      <w:spacing w:after="120"/>
    </w:pPr>
    <w:rPr>
      <w:sz w:val="16"/>
      <w:szCs w:val="16"/>
    </w:rPr>
  </w:style>
  <w:style w:type="character" w:customStyle="1" w:styleId="Corpodetexto3Carter">
    <w:name w:val="Corpo de texto 3 Caráter"/>
    <w:basedOn w:val="Tipodeletrapredefinidodopargrafo"/>
    <w:link w:val="Corpodetexto3"/>
    <w:rsid w:val="005754DC"/>
    <w:rPr>
      <w:sz w:val="16"/>
      <w:szCs w:val="16"/>
    </w:rPr>
  </w:style>
  <w:style w:type="paragraph" w:styleId="Cabealhodondice">
    <w:name w:val="TOC Heading"/>
    <w:basedOn w:val="Ttulo1"/>
    <w:next w:val="Normal"/>
    <w:uiPriority w:val="39"/>
    <w:unhideWhenUsed/>
    <w:qFormat/>
    <w:rsid w:val="005754DC"/>
    <w:pPr>
      <w:spacing w:line="276" w:lineRule="auto"/>
      <w:outlineLvl w:val="9"/>
    </w:pPr>
    <w:rPr>
      <w:rFonts w:asciiTheme="majorHAnsi" w:eastAsiaTheme="majorEastAsia" w:hAnsiTheme="majorHAnsi" w:cstheme="majorBidi"/>
      <w:color w:val="2E74B5" w:themeColor="accent1" w:themeShade="BF"/>
      <w:lang w:eastAsia="en-US"/>
    </w:rPr>
  </w:style>
  <w:style w:type="character" w:styleId="Refdenotadefim">
    <w:name w:val="endnote reference"/>
    <w:basedOn w:val="Tipodeletrapredefinidodopargrafo"/>
    <w:semiHidden/>
    <w:unhideWhenUsed/>
    <w:rsid w:val="005754DC"/>
    <w:rPr>
      <w:vertAlign w:val="superscript"/>
    </w:rPr>
  </w:style>
  <w:style w:type="paragraph" w:customStyle="1" w:styleId="xmsonormal">
    <w:name w:val="x_msonormal"/>
    <w:basedOn w:val="Normal"/>
    <w:rsid w:val="004F4150"/>
    <w:pPr>
      <w:spacing w:before="100" w:beforeAutospacing="1" w:after="100" w:afterAutospacing="1"/>
    </w:pPr>
    <w:rPr>
      <w:lang w:val="en-US" w:eastAsia="en-US"/>
    </w:rPr>
  </w:style>
  <w:style w:type="paragraph" w:customStyle="1" w:styleId="efcorpodetextoRGS">
    <w:name w:val="ef corpo de texto RGS"/>
    <w:basedOn w:val="Normal"/>
    <w:link w:val="efcorpodetextoRGSCarter"/>
    <w:qFormat/>
    <w:rsid w:val="00F80120"/>
    <w:pPr>
      <w:spacing w:line="276" w:lineRule="auto"/>
      <w:jc w:val="both"/>
    </w:pPr>
    <w:rPr>
      <w:rFonts w:asciiTheme="minorHAnsi" w:eastAsiaTheme="minorHAnsi" w:hAnsiTheme="minorHAnsi" w:cstheme="minorHAnsi"/>
      <w:kern w:val="22"/>
      <w:sz w:val="22"/>
      <w:szCs w:val="22"/>
      <w:lang w:eastAsia="en-US"/>
    </w:rPr>
  </w:style>
  <w:style w:type="character" w:customStyle="1" w:styleId="efcorpodetextoRGSCarter">
    <w:name w:val="ef corpo de texto RGS Caráter"/>
    <w:basedOn w:val="Tipodeletrapredefinidodopargrafo"/>
    <w:link w:val="efcorpodetextoRGS"/>
    <w:rsid w:val="00F80120"/>
    <w:rPr>
      <w:rFonts w:asciiTheme="minorHAnsi" w:eastAsiaTheme="minorHAnsi" w:hAnsiTheme="minorHAnsi" w:cstheme="minorHAnsi"/>
      <w:kern w:val="22"/>
      <w:sz w:val="22"/>
      <w:szCs w:val="22"/>
      <w:lang w:eastAsia="en-US"/>
    </w:rPr>
  </w:style>
  <w:style w:type="paragraph" w:customStyle="1" w:styleId="xxxmsonormal">
    <w:name w:val="x_xxmsonormal"/>
    <w:basedOn w:val="Normal"/>
    <w:rsid w:val="0097291E"/>
    <w:rPr>
      <w:rFonts w:ascii="Calibri" w:eastAsiaTheme="minorHAnsi" w:hAnsi="Calibri" w:cs="Calibri"/>
      <w:sz w:val="22"/>
      <w:szCs w:val="22"/>
    </w:rPr>
  </w:style>
  <w:style w:type="character" w:styleId="MenoNoResolvida">
    <w:name w:val="Unresolved Mention"/>
    <w:basedOn w:val="Tipodeletrapredefinidodopargrafo"/>
    <w:uiPriority w:val="99"/>
    <w:semiHidden/>
    <w:unhideWhenUsed/>
    <w:rsid w:val="003C2451"/>
    <w:rPr>
      <w:color w:val="605E5C"/>
      <w:shd w:val="clear" w:color="auto" w:fill="E1DFDD"/>
    </w:rPr>
  </w:style>
  <w:style w:type="paragraph" w:customStyle="1" w:styleId="StyleUnivers47CondensedLightAfter0ptLinespacing15l">
    <w:name w:val="Style Univers 47 CondensedLight After:  0 pt Line spacing:  1.5 l..."/>
    <w:basedOn w:val="Normal"/>
    <w:autoRedefine/>
    <w:rsid w:val="000534B6"/>
    <w:pPr>
      <w:ind w:left="357"/>
      <w:jc w:val="both"/>
    </w:pPr>
    <w:rPr>
      <w:sz w:val="22"/>
      <w:szCs w:val="22"/>
      <w:lang w:eastAsia="en-US"/>
    </w:rPr>
  </w:style>
  <w:style w:type="character" w:styleId="Hiperligaovisitada">
    <w:name w:val="FollowedHyperlink"/>
    <w:basedOn w:val="Tipodeletrapredefinidodopargrafo"/>
    <w:semiHidden/>
    <w:unhideWhenUsed/>
    <w:rsid w:val="00B06BC3"/>
    <w:rPr>
      <w:color w:val="954F72" w:themeColor="followedHyperlink"/>
      <w:u w:val="single"/>
    </w:rPr>
  </w:style>
  <w:style w:type="character" w:customStyle="1" w:styleId="normaltextrun">
    <w:name w:val="normaltextrun"/>
    <w:basedOn w:val="Tipodeletrapredefinidodopargrafo"/>
    <w:rsid w:val="0088525B"/>
  </w:style>
  <w:style w:type="character" w:customStyle="1" w:styleId="eop">
    <w:name w:val="eop"/>
    <w:basedOn w:val="Tipodeletrapredefinidodopargrafo"/>
    <w:rsid w:val="0088525B"/>
  </w:style>
  <w:style w:type="paragraph" w:customStyle="1" w:styleId="ef3TITURGS">
    <w:name w:val="ef 3 TITU RGS"/>
    <w:basedOn w:val="PargrafodaLista"/>
    <w:link w:val="ef3TITURGSCarter"/>
    <w:autoRedefine/>
    <w:qFormat/>
    <w:rsid w:val="00D17875"/>
    <w:pPr>
      <w:numPr>
        <w:numId w:val="34"/>
      </w:numPr>
      <w:spacing w:before="240" w:after="240"/>
      <w:ind w:left="0" w:firstLine="0"/>
      <w:outlineLvl w:val="2"/>
    </w:pPr>
    <w:rPr>
      <w:rFonts w:ascii="Calibri" w:eastAsiaTheme="minorHAnsi" w:hAnsi="Calibri" w:cstheme="minorBidi"/>
      <w:b/>
      <w:color w:val="5B9BD5" w:themeColor="accent1"/>
      <w:sz w:val="22"/>
      <w:szCs w:val="22"/>
      <w:lang w:eastAsia="en-US"/>
      <w14:textFill>
        <w14:solidFill>
          <w14:schemeClr w14:val="accent1">
            <w14:lumMod w14:val="75000"/>
            <w14:lumMod w14:val="60000"/>
            <w14:lumOff w14:val="40000"/>
          </w14:schemeClr>
        </w14:solidFill>
      </w14:textFill>
    </w:rPr>
  </w:style>
  <w:style w:type="character" w:customStyle="1" w:styleId="ef3TITURGSCarter">
    <w:name w:val="ef 3 TITU RGS Caráter"/>
    <w:basedOn w:val="PargrafodaListaCarter"/>
    <w:link w:val="ef3TITURGS"/>
    <w:rsid w:val="00D17875"/>
    <w:rPr>
      <w:rFonts w:ascii="Calibri" w:eastAsiaTheme="minorHAnsi" w:hAnsi="Calibri" w:cstheme="minorBidi"/>
      <w:b/>
      <w:color w:val="5B9BD5" w:themeColor="accent1"/>
      <w:sz w:val="22"/>
      <w:szCs w:val="22"/>
      <w:lang w:eastAsia="en-US"/>
      <w14:textFill>
        <w14:solidFill>
          <w14:schemeClr w14:val="accent1">
            <w14:lumMod w14:val="75000"/>
            <w14:lumMod w14:val="60000"/>
            <w14:lumOff w14:val="40000"/>
          </w14:schemeClr>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152">
      <w:bodyDiv w:val="1"/>
      <w:marLeft w:val="0"/>
      <w:marRight w:val="0"/>
      <w:marTop w:val="0"/>
      <w:marBottom w:val="0"/>
      <w:divBdr>
        <w:top w:val="none" w:sz="0" w:space="0" w:color="auto"/>
        <w:left w:val="none" w:sz="0" w:space="0" w:color="auto"/>
        <w:bottom w:val="none" w:sz="0" w:space="0" w:color="auto"/>
        <w:right w:val="none" w:sz="0" w:space="0" w:color="auto"/>
      </w:divBdr>
    </w:div>
    <w:div w:id="40057070">
      <w:bodyDiv w:val="1"/>
      <w:marLeft w:val="0"/>
      <w:marRight w:val="0"/>
      <w:marTop w:val="0"/>
      <w:marBottom w:val="0"/>
      <w:divBdr>
        <w:top w:val="none" w:sz="0" w:space="0" w:color="auto"/>
        <w:left w:val="none" w:sz="0" w:space="0" w:color="auto"/>
        <w:bottom w:val="none" w:sz="0" w:space="0" w:color="auto"/>
        <w:right w:val="none" w:sz="0" w:space="0" w:color="auto"/>
      </w:divBdr>
    </w:div>
    <w:div w:id="46534380">
      <w:bodyDiv w:val="1"/>
      <w:marLeft w:val="0"/>
      <w:marRight w:val="0"/>
      <w:marTop w:val="0"/>
      <w:marBottom w:val="0"/>
      <w:divBdr>
        <w:top w:val="none" w:sz="0" w:space="0" w:color="auto"/>
        <w:left w:val="none" w:sz="0" w:space="0" w:color="auto"/>
        <w:bottom w:val="none" w:sz="0" w:space="0" w:color="auto"/>
        <w:right w:val="none" w:sz="0" w:space="0" w:color="auto"/>
      </w:divBdr>
    </w:div>
    <w:div w:id="48890555">
      <w:bodyDiv w:val="1"/>
      <w:marLeft w:val="0"/>
      <w:marRight w:val="0"/>
      <w:marTop w:val="0"/>
      <w:marBottom w:val="0"/>
      <w:divBdr>
        <w:top w:val="none" w:sz="0" w:space="0" w:color="auto"/>
        <w:left w:val="none" w:sz="0" w:space="0" w:color="auto"/>
        <w:bottom w:val="none" w:sz="0" w:space="0" w:color="auto"/>
        <w:right w:val="none" w:sz="0" w:space="0" w:color="auto"/>
      </w:divBdr>
    </w:div>
    <w:div w:id="50277499">
      <w:bodyDiv w:val="1"/>
      <w:marLeft w:val="0"/>
      <w:marRight w:val="0"/>
      <w:marTop w:val="0"/>
      <w:marBottom w:val="0"/>
      <w:divBdr>
        <w:top w:val="none" w:sz="0" w:space="0" w:color="auto"/>
        <w:left w:val="none" w:sz="0" w:space="0" w:color="auto"/>
        <w:bottom w:val="none" w:sz="0" w:space="0" w:color="auto"/>
        <w:right w:val="none" w:sz="0" w:space="0" w:color="auto"/>
      </w:divBdr>
    </w:div>
    <w:div w:id="61608751">
      <w:bodyDiv w:val="1"/>
      <w:marLeft w:val="0"/>
      <w:marRight w:val="0"/>
      <w:marTop w:val="0"/>
      <w:marBottom w:val="0"/>
      <w:divBdr>
        <w:top w:val="none" w:sz="0" w:space="0" w:color="auto"/>
        <w:left w:val="none" w:sz="0" w:space="0" w:color="auto"/>
        <w:bottom w:val="none" w:sz="0" w:space="0" w:color="auto"/>
        <w:right w:val="none" w:sz="0" w:space="0" w:color="auto"/>
      </w:divBdr>
    </w:div>
    <w:div w:id="62995400">
      <w:bodyDiv w:val="1"/>
      <w:marLeft w:val="0"/>
      <w:marRight w:val="0"/>
      <w:marTop w:val="0"/>
      <w:marBottom w:val="0"/>
      <w:divBdr>
        <w:top w:val="none" w:sz="0" w:space="0" w:color="auto"/>
        <w:left w:val="none" w:sz="0" w:space="0" w:color="auto"/>
        <w:bottom w:val="none" w:sz="0" w:space="0" w:color="auto"/>
        <w:right w:val="none" w:sz="0" w:space="0" w:color="auto"/>
      </w:divBdr>
    </w:div>
    <w:div w:id="66194698">
      <w:bodyDiv w:val="1"/>
      <w:marLeft w:val="0"/>
      <w:marRight w:val="0"/>
      <w:marTop w:val="0"/>
      <w:marBottom w:val="0"/>
      <w:divBdr>
        <w:top w:val="none" w:sz="0" w:space="0" w:color="auto"/>
        <w:left w:val="none" w:sz="0" w:space="0" w:color="auto"/>
        <w:bottom w:val="none" w:sz="0" w:space="0" w:color="auto"/>
        <w:right w:val="none" w:sz="0" w:space="0" w:color="auto"/>
      </w:divBdr>
    </w:div>
    <w:div w:id="68427827">
      <w:bodyDiv w:val="1"/>
      <w:marLeft w:val="0"/>
      <w:marRight w:val="0"/>
      <w:marTop w:val="0"/>
      <w:marBottom w:val="0"/>
      <w:divBdr>
        <w:top w:val="none" w:sz="0" w:space="0" w:color="auto"/>
        <w:left w:val="none" w:sz="0" w:space="0" w:color="auto"/>
        <w:bottom w:val="none" w:sz="0" w:space="0" w:color="auto"/>
        <w:right w:val="none" w:sz="0" w:space="0" w:color="auto"/>
      </w:divBdr>
    </w:div>
    <w:div w:id="74017710">
      <w:bodyDiv w:val="1"/>
      <w:marLeft w:val="0"/>
      <w:marRight w:val="0"/>
      <w:marTop w:val="0"/>
      <w:marBottom w:val="0"/>
      <w:divBdr>
        <w:top w:val="none" w:sz="0" w:space="0" w:color="auto"/>
        <w:left w:val="none" w:sz="0" w:space="0" w:color="auto"/>
        <w:bottom w:val="none" w:sz="0" w:space="0" w:color="auto"/>
        <w:right w:val="none" w:sz="0" w:space="0" w:color="auto"/>
      </w:divBdr>
    </w:div>
    <w:div w:id="75173091">
      <w:bodyDiv w:val="1"/>
      <w:marLeft w:val="0"/>
      <w:marRight w:val="0"/>
      <w:marTop w:val="0"/>
      <w:marBottom w:val="0"/>
      <w:divBdr>
        <w:top w:val="none" w:sz="0" w:space="0" w:color="auto"/>
        <w:left w:val="none" w:sz="0" w:space="0" w:color="auto"/>
        <w:bottom w:val="none" w:sz="0" w:space="0" w:color="auto"/>
        <w:right w:val="none" w:sz="0" w:space="0" w:color="auto"/>
      </w:divBdr>
    </w:div>
    <w:div w:id="86535631">
      <w:bodyDiv w:val="1"/>
      <w:marLeft w:val="0"/>
      <w:marRight w:val="0"/>
      <w:marTop w:val="0"/>
      <w:marBottom w:val="0"/>
      <w:divBdr>
        <w:top w:val="none" w:sz="0" w:space="0" w:color="auto"/>
        <w:left w:val="none" w:sz="0" w:space="0" w:color="auto"/>
        <w:bottom w:val="none" w:sz="0" w:space="0" w:color="auto"/>
        <w:right w:val="none" w:sz="0" w:space="0" w:color="auto"/>
      </w:divBdr>
    </w:div>
    <w:div w:id="92749797">
      <w:bodyDiv w:val="1"/>
      <w:marLeft w:val="0"/>
      <w:marRight w:val="0"/>
      <w:marTop w:val="0"/>
      <w:marBottom w:val="0"/>
      <w:divBdr>
        <w:top w:val="none" w:sz="0" w:space="0" w:color="auto"/>
        <w:left w:val="none" w:sz="0" w:space="0" w:color="auto"/>
        <w:bottom w:val="none" w:sz="0" w:space="0" w:color="auto"/>
        <w:right w:val="none" w:sz="0" w:space="0" w:color="auto"/>
      </w:divBdr>
    </w:div>
    <w:div w:id="97138268">
      <w:bodyDiv w:val="1"/>
      <w:marLeft w:val="0"/>
      <w:marRight w:val="0"/>
      <w:marTop w:val="0"/>
      <w:marBottom w:val="0"/>
      <w:divBdr>
        <w:top w:val="none" w:sz="0" w:space="0" w:color="auto"/>
        <w:left w:val="none" w:sz="0" w:space="0" w:color="auto"/>
        <w:bottom w:val="none" w:sz="0" w:space="0" w:color="auto"/>
        <w:right w:val="none" w:sz="0" w:space="0" w:color="auto"/>
      </w:divBdr>
    </w:div>
    <w:div w:id="103690314">
      <w:bodyDiv w:val="1"/>
      <w:marLeft w:val="0"/>
      <w:marRight w:val="0"/>
      <w:marTop w:val="0"/>
      <w:marBottom w:val="0"/>
      <w:divBdr>
        <w:top w:val="none" w:sz="0" w:space="0" w:color="auto"/>
        <w:left w:val="none" w:sz="0" w:space="0" w:color="auto"/>
        <w:bottom w:val="none" w:sz="0" w:space="0" w:color="auto"/>
        <w:right w:val="none" w:sz="0" w:space="0" w:color="auto"/>
      </w:divBdr>
    </w:div>
    <w:div w:id="105587560">
      <w:bodyDiv w:val="1"/>
      <w:marLeft w:val="0"/>
      <w:marRight w:val="0"/>
      <w:marTop w:val="0"/>
      <w:marBottom w:val="0"/>
      <w:divBdr>
        <w:top w:val="none" w:sz="0" w:space="0" w:color="auto"/>
        <w:left w:val="none" w:sz="0" w:space="0" w:color="auto"/>
        <w:bottom w:val="none" w:sz="0" w:space="0" w:color="auto"/>
        <w:right w:val="none" w:sz="0" w:space="0" w:color="auto"/>
      </w:divBdr>
    </w:div>
    <w:div w:id="107703585">
      <w:bodyDiv w:val="1"/>
      <w:marLeft w:val="0"/>
      <w:marRight w:val="0"/>
      <w:marTop w:val="0"/>
      <w:marBottom w:val="0"/>
      <w:divBdr>
        <w:top w:val="none" w:sz="0" w:space="0" w:color="auto"/>
        <w:left w:val="none" w:sz="0" w:space="0" w:color="auto"/>
        <w:bottom w:val="none" w:sz="0" w:space="0" w:color="auto"/>
        <w:right w:val="none" w:sz="0" w:space="0" w:color="auto"/>
      </w:divBdr>
    </w:div>
    <w:div w:id="112141402">
      <w:bodyDiv w:val="1"/>
      <w:marLeft w:val="0"/>
      <w:marRight w:val="0"/>
      <w:marTop w:val="0"/>
      <w:marBottom w:val="0"/>
      <w:divBdr>
        <w:top w:val="none" w:sz="0" w:space="0" w:color="auto"/>
        <w:left w:val="none" w:sz="0" w:space="0" w:color="auto"/>
        <w:bottom w:val="none" w:sz="0" w:space="0" w:color="auto"/>
        <w:right w:val="none" w:sz="0" w:space="0" w:color="auto"/>
      </w:divBdr>
    </w:div>
    <w:div w:id="116729650">
      <w:bodyDiv w:val="1"/>
      <w:marLeft w:val="0"/>
      <w:marRight w:val="0"/>
      <w:marTop w:val="0"/>
      <w:marBottom w:val="0"/>
      <w:divBdr>
        <w:top w:val="none" w:sz="0" w:space="0" w:color="auto"/>
        <w:left w:val="none" w:sz="0" w:space="0" w:color="auto"/>
        <w:bottom w:val="none" w:sz="0" w:space="0" w:color="auto"/>
        <w:right w:val="none" w:sz="0" w:space="0" w:color="auto"/>
      </w:divBdr>
      <w:divsChild>
        <w:div w:id="384329666">
          <w:marLeft w:val="1411"/>
          <w:marRight w:val="0"/>
          <w:marTop w:val="0"/>
          <w:marBottom w:val="0"/>
          <w:divBdr>
            <w:top w:val="none" w:sz="0" w:space="0" w:color="auto"/>
            <w:left w:val="none" w:sz="0" w:space="0" w:color="auto"/>
            <w:bottom w:val="none" w:sz="0" w:space="0" w:color="auto"/>
            <w:right w:val="none" w:sz="0" w:space="0" w:color="auto"/>
          </w:divBdr>
        </w:div>
        <w:div w:id="737170396">
          <w:marLeft w:val="1411"/>
          <w:marRight w:val="0"/>
          <w:marTop w:val="0"/>
          <w:marBottom w:val="0"/>
          <w:divBdr>
            <w:top w:val="none" w:sz="0" w:space="0" w:color="auto"/>
            <w:left w:val="none" w:sz="0" w:space="0" w:color="auto"/>
            <w:bottom w:val="none" w:sz="0" w:space="0" w:color="auto"/>
            <w:right w:val="none" w:sz="0" w:space="0" w:color="auto"/>
          </w:divBdr>
        </w:div>
        <w:div w:id="933585200">
          <w:marLeft w:val="1411"/>
          <w:marRight w:val="0"/>
          <w:marTop w:val="0"/>
          <w:marBottom w:val="0"/>
          <w:divBdr>
            <w:top w:val="none" w:sz="0" w:space="0" w:color="auto"/>
            <w:left w:val="none" w:sz="0" w:space="0" w:color="auto"/>
            <w:bottom w:val="none" w:sz="0" w:space="0" w:color="auto"/>
            <w:right w:val="none" w:sz="0" w:space="0" w:color="auto"/>
          </w:divBdr>
        </w:div>
        <w:div w:id="2146005306">
          <w:marLeft w:val="1411"/>
          <w:marRight w:val="0"/>
          <w:marTop w:val="0"/>
          <w:marBottom w:val="0"/>
          <w:divBdr>
            <w:top w:val="none" w:sz="0" w:space="0" w:color="auto"/>
            <w:left w:val="none" w:sz="0" w:space="0" w:color="auto"/>
            <w:bottom w:val="none" w:sz="0" w:space="0" w:color="auto"/>
            <w:right w:val="none" w:sz="0" w:space="0" w:color="auto"/>
          </w:divBdr>
        </w:div>
      </w:divsChild>
    </w:div>
    <w:div w:id="126163130">
      <w:bodyDiv w:val="1"/>
      <w:marLeft w:val="0"/>
      <w:marRight w:val="0"/>
      <w:marTop w:val="0"/>
      <w:marBottom w:val="0"/>
      <w:divBdr>
        <w:top w:val="none" w:sz="0" w:space="0" w:color="auto"/>
        <w:left w:val="none" w:sz="0" w:space="0" w:color="auto"/>
        <w:bottom w:val="none" w:sz="0" w:space="0" w:color="auto"/>
        <w:right w:val="none" w:sz="0" w:space="0" w:color="auto"/>
      </w:divBdr>
    </w:div>
    <w:div w:id="129326302">
      <w:bodyDiv w:val="1"/>
      <w:marLeft w:val="0"/>
      <w:marRight w:val="0"/>
      <w:marTop w:val="0"/>
      <w:marBottom w:val="0"/>
      <w:divBdr>
        <w:top w:val="none" w:sz="0" w:space="0" w:color="auto"/>
        <w:left w:val="none" w:sz="0" w:space="0" w:color="auto"/>
        <w:bottom w:val="none" w:sz="0" w:space="0" w:color="auto"/>
        <w:right w:val="none" w:sz="0" w:space="0" w:color="auto"/>
      </w:divBdr>
    </w:div>
    <w:div w:id="130363478">
      <w:bodyDiv w:val="1"/>
      <w:marLeft w:val="0"/>
      <w:marRight w:val="0"/>
      <w:marTop w:val="0"/>
      <w:marBottom w:val="0"/>
      <w:divBdr>
        <w:top w:val="none" w:sz="0" w:space="0" w:color="auto"/>
        <w:left w:val="none" w:sz="0" w:space="0" w:color="auto"/>
        <w:bottom w:val="none" w:sz="0" w:space="0" w:color="auto"/>
        <w:right w:val="none" w:sz="0" w:space="0" w:color="auto"/>
      </w:divBdr>
    </w:div>
    <w:div w:id="135297713">
      <w:bodyDiv w:val="1"/>
      <w:marLeft w:val="0"/>
      <w:marRight w:val="0"/>
      <w:marTop w:val="0"/>
      <w:marBottom w:val="0"/>
      <w:divBdr>
        <w:top w:val="none" w:sz="0" w:space="0" w:color="auto"/>
        <w:left w:val="none" w:sz="0" w:space="0" w:color="auto"/>
        <w:bottom w:val="none" w:sz="0" w:space="0" w:color="auto"/>
        <w:right w:val="none" w:sz="0" w:space="0" w:color="auto"/>
      </w:divBdr>
    </w:div>
    <w:div w:id="142702516">
      <w:bodyDiv w:val="1"/>
      <w:marLeft w:val="0"/>
      <w:marRight w:val="0"/>
      <w:marTop w:val="0"/>
      <w:marBottom w:val="0"/>
      <w:divBdr>
        <w:top w:val="none" w:sz="0" w:space="0" w:color="auto"/>
        <w:left w:val="none" w:sz="0" w:space="0" w:color="auto"/>
        <w:bottom w:val="none" w:sz="0" w:space="0" w:color="auto"/>
        <w:right w:val="none" w:sz="0" w:space="0" w:color="auto"/>
      </w:divBdr>
    </w:div>
    <w:div w:id="147862508">
      <w:bodyDiv w:val="1"/>
      <w:marLeft w:val="0"/>
      <w:marRight w:val="0"/>
      <w:marTop w:val="0"/>
      <w:marBottom w:val="0"/>
      <w:divBdr>
        <w:top w:val="none" w:sz="0" w:space="0" w:color="auto"/>
        <w:left w:val="none" w:sz="0" w:space="0" w:color="auto"/>
        <w:bottom w:val="none" w:sz="0" w:space="0" w:color="auto"/>
        <w:right w:val="none" w:sz="0" w:space="0" w:color="auto"/>
      </w:divBdr>
    </w:div>
    <w:div w:id="153491892">
      <w:bodyDiv w:val="1"/>
      <w:marLeft w:val="0"/>
      <w:marRight w:val="0"/>
      <w:marTop w:val="0"/>
      <w:marBottom w:val="0"/>
      <w:divBdr>
        <w:top w:val="none" w:sz="0" w:space="0" w:color="auto"/>
        <w:left w:val="none" w:sz="0" w:space="0" w:color="auto"/>
        <w:bottom w:val="none" w:sz="0" w:space="0" w:color="auto"/>
        <w:right w:val="none" w:sz="0" w:space="0" w:color="auto"/>
      </w:divBdr>
      <w:divsChild>
        <w:div w:id="491532124">
          <w:marLeft w:val="1123"/>
          <w:marRight w:val="0"/>
          <w:marTop w:val="0"/>
          <w:marBottom w:val="0"/>
          <w:divBdr>
            <w:top w:val="none" w:sz="0" w:space="0" w:color="auto"/>
            <w:left w:val="none" w:sz="0" w:space="0" w:color="auto"/>
            <w:bottom w:val="none" w:sz="0" w:space="0" w:color="auto"/>
            <w:right w:val="none" w:sz="0" w:space="0" w:color="auto"/>
          </w:divBdr>
        </w:div>
        <w:div w:id="596520222">
          <w:marLeft w:val="1123"/>
          <w:marRight w:val="0"/>
          <w:marTop w:val="0"/>
          <w:marBottom w:val="0"/>
          <w:divBdr>
            <w:top w:val="none" w:sz="0" w:space="0" w:color="auto"/>
            <w:left w:val="none" w:sz="0" w:space="0" w:color="auto"/>
            <w:bottom w:val="none" w:sz="0" w:space="0" w:color="auto"/>
            <w:right w:val="none" w:sz="0" w:space="0" w:color="auto"/>
          </w:divBdr>
        </w:div>
        <w:div w:id="1482888022">
          <w:marLeft w:val="1123"/>
          <w:marRight w:val="0"/>
          <w:marTop w:val="0"/>
          <w:marBottom w:val="0"/>
          <w:divBdr>
            <w:top w:val="none" w:sz="0" w:space="0" w:color="auto"/>
            <w:left w:val="none" w:sz="0" w:space="0" w:color="auto"/>
            <w:bottom w:val="none" w:sz="0" w:space="0" w:color="auto"/>
            <w:right w:val="none" w:sz="0" w:space="0" w:color="auto"/>
          </w:divBdr>
        </w:div>
        <w:div w:id="1648588007">
          <w:marLeft w:val="1123"/>
          <w:marRight w:val="0"/>
          <w:marTop w:val="0"/>
          <w:marBottom w:val="0"/>
          <w:divBdr>
            <w:top w:val="none" w:sz="0" w:space="0" w:color="auto"/>
            <w:left w:val="none" w:sz="0" w:space="0" w:color="auto"/>
            <w:bottom w:val="none" w:sz="0" w:space="0" w:color="auto"/>
            <w:right w:val="none" w:sz="0" w:space="0" w:color="auto"/>
          </w:divBdr>
        </w:div>
        <w:div w:id="1950962314">
          <w:marLeft w:val="1123"/>
          <w:marRight w:val="0"/>
          <w:marTop w:val="0"/>
          <w:marBottom w:val="0"/>
          <w:divBdr>
            <w:top w:val="none" w:sz="0" w:space="0" w:color="auto"/>
            <w:left w:val="none" w:sz="0" w:space="0" w:color="auto"/>
            <w:bottom w:val="none" w:sz="0" w:space="0" w:color="auto"/>
            <w:right w:val="none" w:sz="0" w:space="0" w:color="auto"/>
          </w:divBdr>
        </w:div>
      </w:divsChild>
    </w:div>
    <w:div w:id="179901571">
      <w:bodyDiv w:val="1"/>
      <w:marLeft w:val="0"/>
      <w:marRight w:val="0"/>
      <w:marTop w:val="0"/>
      <w:marBottom w:val="0"/>
      <w:divBdr>
        <w:top w:val="none" w:sz="0" w:space="0" w:color="auto"/>
        <w:left w:val="none" w:sz="0" w:space="0" w:color="auto"/>
        <w:bottom w:val="none" w:sz="0" w:space="0" w:color="auto"/>
        <w:right w:val="none" w:sz="0" w:space="0" w:color="auto"/>
      </w:divBdr>
      <w:divsChild>
        <w:div w:id="159347384">
          <w:marLeft w:val="1123"/>
          <w:marRight w:val="0"/>
          <w:marTop w:val="0"/>
          <w:marBottom w:val="0"/>
          <w:divBdr>
            <w:top w:val="none" w:sz="0" w:space="0" w:color="auto"/>
            <w:left w:val="none" w:sz="0" w:space="0" w:color="auto"/>
            <w:bottom w:val="none" w:sz="0" w:space="0" w:color="auto"/>
            <w:right w:val="none" w:sz="0" w:space="0" w:color="auto"/>
          </w:divBdr>
        </w:div>
        <w:div w:id="499077971">
          <w:marLeft w:val="1123"/>
          <w:marRight w:val="0"/>
          <w:marTop w:val="0"/>
          <w:marBottom w:val="0"/>
          <w:divBdr>
            <w:top w:val="none" w:sz="0" w:space="0" w:color="auto"/>
            <w:left w:val="none" w:sz="0" w:space="0" w:color="auto"/>
            <w:bottom w:val="none" w:sz="0" w:space="0" w:color="auto"/>
            <w:right w:val="none" w:sz="0" w:space="0" w:color="auto"/>
          </w:divBdr>
        </w:div>
        <w:div w:id="1315640081">
          <w:marLeft w:val="1123"/>
          <w:marRight w:val="0"/>
          <w:marTop w:val="0"/>
          <w:marBottom w:val="0"/>
          <w:divBdr>
            <w:top w:val="none" w:sz="0" w:space="0" w:color="auto"/>
            <w:left w:val="none" w:sz="0" w:space="0" w:color="auto"/>
            <w:bottom w:val="none" w:sz="0" w:space="0" w:color="auto"/>
            <w:right w:val="none" w:sz="0" w:space="0" w:color="auto"/>
          </w:divBdr>
        </w:div>
        <w:div w:id="1364987748">
          <w:marLeft w:val="1123"/>
          <w:marRight w:val="0"/>
          <w:marTop w:val="0"/>
          <w:marBottom w:val="0"/>
          <w:divBdr>
            <w:top w:val="none" w:sz="0" w:space="0" w:color="auto"/>
            <w:left w:val="none" w:sz="0" w:space="0" w:color="auto"/>
            <w:bottom w:val="none" w:sz="0" w:space="0" w:color="auto"/>
            <w:right w:val="none" w:sz="0" w:space="0" w:color="auto"/>
          </w:divBdr>
        </w:div>
        <w:div w:id="2030064792">
          <w:marLeft w:val="1123"/>
          <w:marRight w:val="0"/>
          <w:marTop w:val="0"/>
          <w:marBottom w:val="0"/>
          <w:divBdr>
            <w:top w:val="none" w:sz="0" w:space="0" w:color="auto"/>
            <w:left w:val="none" w:sz="0" w:space="0" w:color="auto"/>
            <w:bottom w:val="none" w:sz="0" w:space="0" w:color="auto"/>
            <w:right w:val="none" w:sz="0" w:space="0" w:color="auto"/>
          </w:divBdr>
        </w:div>
      </w:divsChild>
    </w:div>
    <w:div w:id="182286951">
      <w:bodyDiv w:val="1"/>
      <w:marLeft w:val="0"/>
      <w:marRight w:val="0"/>
      <w:marTop w:val="0"/>
      <w:marBottom w:val="0"/>
      <w:divBdr>
        <w:top w:val="none" w:sz="0" w:space="0" w:color="auto"/>
        <w:left w:val="none" w:sz="0" w:space="0" w:color="auto"/>
        <w:bottom w:val="none" w:sz="0" w:space="0" w:color="auto"/>
        <w:right w:val="none" w:sz="0" w:space="0" w:color="auto"/>
      </w:divBdr>
    </w:div>
    <w:div w:id="182941969">
      <w:bodyDiv w:val="1"/>
      <w:marLeft w:val="0"/>
      <w:marRight w:val="0"/>
      <w:marTop w:val="0"/>
      <w:marBottom w:val="0"/>
      <w:divBdr>
        <w:top w:val="none" w:sz="0" w:space="0" w:color="auto"/>
        <w:left w:val="none" w:sz="0" w:space="0" w:color="auto"/>
        <w:bottom w:val="none" w:sz="0" w:space="0" w:color="auto"/>
        <w:right w:val="none" w:sz="0" w:space="0" w:color="auto"/>
      </w:divBdr>
    </w:div>
    <w:div w:id="191496916">
      <w:bodyDiv w:val="1"/>
      <w:marLeft w:val="0"/>
      <w:marRight w:val="0"/>
      <w:marTop w:val="0"/>
      <w:marBottom w:val="0"/>
      <w:divBdr>
        <w:top w:val="none" w:sz="0" w:space="0" w:color="auto"/>
        <w:left w:val="none" w:sz="0" w:space="0" w:color="auto"/>
        <w:bottom w:val="none" w:sz="0" w:space="0" w:color="auto"/>
        <w:right w:val="none" w:sz="0" w:space="0" w:color="auto"/>
      </w:divBdr>
    </w:div>
    <w:div w:id="195701268">
      <w:bodyDiv w:val="1"/>
      <w:marLeft w:val="0"/>
      <w:marRight w:val="0"/>
      <w:marTop w:val="0"/>
      <w:marBottom w:val="0"/>
      <w:divBdr>
        <w:top w:val="none" w:sz="0" w:space="0" w:color="auto"/>
        <w:left w:val="none" w:sz="0" w:space="0" w:color="auto"/>
        <w:bottom w:val="none" w:sz="0" w:space="0" w:color="auto"/>
        <w:right w:val="none" w:sz="0" w:space="0" w:color="auto"/>
      </w:divBdr>
    </w:div>
    <w:div w:id="195972010">
      <w:bodyDiv w:val="1"/>
      <w:marLeft w:val="0"/>
      <w:marRight w:val="0"/>
      <w:marTop w:val="0"/>
      <w:marBottom w:val="0"/>
      <w:divBdr>
        <w:top w:val="none" w:sz="0" w:space="0" w:color="auto"/>
        <w:left w:val="none" w:sz="0" w:space="0" w:color="auto"/>
        <w:bottom w:val="none" w:sz="0" w:space="0" w:color="auto"/>
        <w:right w:val="none" w:sz="0" w:space="0" w:color="auto"/>
      </w:divBdr>
    </w:div>
    <w:div w:id="197201325">
      <w:bodyDiv w:val="1"/>
      <w:marLeft w:val="0"/>
      <w:marRight w:val="0"/>
      <w:marTop w:val="0"/>
      <w:marBottom w:val="0"/>
      <w:divBdr>
        <w:top w:val="none" w:sz="0" w:space="0" w:color="auto"/>
        <w:left w:val="none" w:sz="0" w:space="0" w:color="auto"/>
        <w:bottom w:val="none" w:sz="0" w:space="0" w:color="auto"/>
        <w:right w:val="none" w:sz="0" w:space="0" w:color="auto"/>
      </w:divBdr>
    </w:div>
    <w:div w:id="201330203">
      <w:bodyDiv w:val="1"/>
      <w:marLeft w:val="0"/>
      <w:marRight w:val="0"/>
      <w:marTop w:val="0"/>
      <w:marBottom w:val="0"/>
      <w:divBdr>
        <w:top w:val="none" w:sz="0" w:space="0" w:color="auto"/>
        <w:left w:val="none" w:sz="0" w:space="0" w:color="auto"/>
        <w:bottom w:val="none" w:sz="0" w:space="0" w:color="auto"/>
        <w:right w:val="none" w:sz="0" w:space="0" w:color="auto"/>
      </w:divBdr>
    </w:div>
    <w:div w:id="202137206">
      <w:bodyDiv w:val="1"/>
      <w:marLeft w:val="0"/>
      <w:marRight w:val="0"/>
      <w:marTop w:val="0"/>
      <w:marBottom w:val="0"/>
      <w:divBdr>
        <w:top w:val="none" w:sz="0" w:space="0" w:color="auto"/>
        <w:left w:val="none" w:sz="0" w:space="0" w:color="auto"/>
        <w:bottom w:val="none" w:sz="0" w:space="0" w:color="auto"/>
        <w:right w:val="none" w:sz="0" w:space="0" w:color="auto"/>
      </w:divBdr>
      <w:divsChild>
        <w:div w:id="608706854">
          <w:marLeft w:val="1411"/>
          <w:marRight w:val="0"/>
          <w:marTop w:val="0"/>
          <w:marBottom w:val="0"/>
          <w:divBdr>
            <w:top w:val="none" w:sz="0" w:space="0" w:color="auto"/>
            <w:left w:val="none" w:sz="0" w:space="0" w:color="auto"/>
            <w:bottom w:val="none" w:sz="0" w:space="0" w:color="auto"/>
            <w:right w:val="none" w:sz="0" w:space="0" w:color="auto"/>
          </w:divBdr>
        </w:div>
        <w:div w:id="630014289">
          <w:marLeft w:val="1411"/>
          <w:marRight w:val="0"/>
          <w:marTop w:val="0"/>
          <w:marBottom w:val="0"/>
          <w:divBdr>
            <w:top w:val="none" w:sz="0" w:space="0" w:color="auto"/>
            <w:left w:val="none" w:sz="0" w:space="0" w:color="auto"/>
            <w:bottom w:val="none" w:sz="0" w:space="0" w:color="auto"/>
            <w:right w:val="none" w:sz="0" w:space="0" w:color="auto"/>
          </w:divBdr>
        </w:div>
        <w:div w:id="1057170251">
          <w:marLeft w:val="1411"/>
          <w:marRight w:val="0"/>
          <w:marTop w:val="0"/>
          <w:marBottom w:val="0"/>
          <w:divBdr>
            <w:top w:val="none" w:sz="0" w:space="0" w:color="auto"/>
            <w:left w:val="none" w:sz="0" w:space="0" w:color="auto"/>
            <w:bottom w:val="none" w:sz="0" w:space="0" w:color="auto"/>
            <w:right w:val="none" w:sz="0" w:space="0" w:color="auto"/>
          </w:divBdr>
        </w:div>
        <w:div w:id="1314720329">
          <w:marLeft w:val="1411"/>
          <w:marRight w:val="0"/>
          <w:marTop w:val="0"/>
          <w:marBottom w:val="0"/>
          <w:divBdr>
            <w:top w:val="none" w:sz="0" w:space="0" w:color="auto"/>
            <w:left w:val="none" w:sz="0" w:space="0" w:color="auto"/>
            <w:bottom w:val="none" w:sz="0" w:space="0" w:color="auto"/>
            <w:right w:val="none" w:sz="0" w:space="0" w:color="auto"/>
          </w:divBdr>
        </w:div>
      </w:divsChild>
    </w:div>
    <w:div w:id="203100887">
      <w:bodyDiv w:val="1"/>
      <w:marLeft w:val="0"/>
      <w:marRight w:val="0"/>
      <w:marTop w:val="0"/>
      <w:marBottom w:val="0"/>
      <w:divBdr>
        <w:top w:val="none" w:sz="0" w:space="0" w:color="auto"/>
        <w:left w:val="none" w:sz="0" w:space="0" w:color="auto"/>
        <w:bottom w:val="none" w:sz="0" w:space="0" w:color="auto"/>
        <w:right w:val="none" w:sz="0" w:space="0" w:color="auto"/>
      </w:divBdr>
    </w:div>
    <w:div w:id="207110026">
      <w:bodyDiv w:val="1"/>
      <w:marLeft w:val="0"/>
      <w:marRight w:val="0"/>
      <w:marTop w:val="0"/>
      <w:marBottom w:val="0"/>
      <w:divBdr>
        <w:top w:val="none" w:sz="0" w:space="0" w:color="auto"/>
        <w:left w:val="none" w:sz="0" w:space="0" w:color="auto"/>
        <w:bottom w:val="none" w:sz="0" w:space="0" w:color="auto"/>
        <w:right w:val="none" w:sz="0" w:space="0" w:color="auto"/>
      </w:divBdr>
    </w:div>
    <w:div w:id="214782483">
      <w:bodyDiv w:val="1"/>
      <w:marLeft w:val="0"/>
      <w:marRight w:val="0"/>
      <w:marTop w:val="0"/>
      <w:marBottom w:val="0"/>
      <w:divBdr>
        <w:top w:val="none" w:sz="0" w:space="0" w:color="auto"/>
        <w:left w:val="none" w:sz="0" w:space="0" w:color="auto"/>
        <w:bottom w:val="none" w:sz="0" w:space="0" w:color="auto"/>
        <w:right w:val="none" w:sz="0" w:space="0" w:color="auto"/>
      </w:divBdr>
    </w:div>
    <w:div w:id="220869944">
      <w:bodyDiv w:val="1"/>
      <w:marLeft w:val="0"/>
      <w:marRight w:val="0"/>
      <w:marTop w:val="0"/>
      <w:marBottom w:val="0"/>
      <w:divBdr>
        <w:top w:val="none" w:sz="0" w:space="0" w:color="auto"/>
        <w:left w:val="none" w:sz="0" w:space="0" w:color="auto"/>
        <w:bottom w:val="none" w:sz="0" w:space="0" w:color="auto"/>
        <w:right w:val="none" w:sz="0" w:space="0" w:color="auto"/>
      </w:divBdr>
    </w:div>
    <w:div w:id="232349292">
      <w:bodyDiv w:val="1"/>
      <w:marLeft w:val="0"/>
      <w:marRight w:val="0"/>
      <w:marTop w:val="0"/>
      <w:marBottom w:val="0"/>
      <w:divBdr>
        <w:top w:val="none" w:sz="0" w:space="0" w:color="auto"/>
        <w:left w:val="none" w:sz="0" w:space="0" w:color="auto"/>
        <w:bottom w:val="none" w:sz="0" w:space="0" w:color="auto"/>
        <w:right w:val="none" w:sz="0" w:space="0" w:color="auto"/>
      </w:divBdr>
    </w:div>
    <w:div w:id="233130599">
      <w:bodyDiv w:val="1"/>
      <w:marLeft w:val="0"/>
      <w:marRight w:val="0"/>
      <w:marTop w:val="0"/>
      <w:marBottom w:val="0"/>
      <w:divBdr>
        <w:top w:val="none" w:sz="0" w:space="0" w:color="auto"/>
        <w:left w:val="none" w:sz="0" w:space="0" w:color="auto"/>
        <w:bottom w:val="none" w:sz="0" w:space="0" w:color="auto"/>
        <w:right w:val="none" w:sz="0" w:space="0" w:color="auto"/>
      </w:divBdr>
    </w:div>
    <w:div w:id="233852976">
      <w:bodyDiv w:val="1"/>
      <w:marLeft w:val="0"/>
      <w:marRight w:val="0"/>
      <w:marTop w:val="0"/>
      <w:marBottom w:val="0"/>
      <w:divBdr>
        <w:top w:val="none" w:sz="0" w:space="0" w:color="auto"/>
        <w:left w:val="none" w:sz="0" w:space="0" w:color="auto"/>
        <w:bottom w:val="none" w:sz="0" w:space="0" w:color="auto"/>
        <w:right w:val="none" w:sz="0" w:space="0" w:color="auto"/>
      </w:divBdr>
    </w:div>
    <w:div w:id="245503157">
      <w:bodyDiv w:val="1"/>
      <w:marLeft w:val="0"/>
      <w:marRight w:val="0"/>
      <w:marTop w:val="0"/>
      <w:marBottom w:val="0"/>
      <w:divBdr>
        <w:top w:val="none" w:sz="0" w:space="0" w:color="auto"/>
        <w:left w:val="none" w:sz="0" w:space="0" w:color="auto"/>
        <w:bottom w:val="none" w:sz="0" w:space="0" w:color="auto"/>
        <w:right w:val="none" w:sz="0" w:space="0" w:color="auto"/>
      </w:divBdr>
    </w:div>
    <w:div w:id="246110868">
      <w:bodyDiv w:val="1"/>
      <w:marLeft w:val="0"/>
      <w:marRight w:val="0"/>
      <w:marTop w:val="0"/>
      <w:marBottom w:val="0"/>
      <w:divBdr>
        <w:top w:val="none" w:sz="0" w:space="0" w:color="auto"/>
        <w:left w:val="none" w:sz="0" w:space="0" w:color="auto"/>
        <w:bottom w:val="none" w:sz="0" w:space="0" w:color="auto"/>
        <w:right w:val="none" w:sz="0" w:space="0" w:color="auto"/>
      </w:divBdr>
    </w:div>
    <w:div w:id="246117025">
      <w:bodyDiv w:val="1"/>
      <w:marLeft w:val="0"/>
      <w:marRight w:val="0"/>
      <w:marTop w:val="0"/>
      <w:marBottom w:val="0"/>
      <w:divBdr>
        <w:top w:val="none" w:sz="0" w:space="0" w:color="auto"/>
        <w:left w:val="none" w:sz="0" w:space="0" w:color="auto"/>
        <w:bottom w:val="none" w:sz="0" w:space="0" w:color="auto"/>
        <w:right w:val="none" w:sz="0" w:space="0" w:color="auto"/>
      </w:divBdr>
    </w:div>
    <w:div w:id="246306613">
      <w:bodyDiv w:val="1"/>
      <w:marLeft w:val="0"/>
      <w:marRight w:val="0"/>
      <w:marTop w:val="0"/>
      <w:marBottom w:val="0"/>
      <w:divBdr>
        <w:top w:val="none" w:sz="0" w:space="0" w:color="auto"/>
        <w:left w:val="none" w:sz="0" w:space="0" w:color="auto"/>
        <w:bottom w:val="none" w:sz="0" w:space="0" w:color="auto"/>
        <w:right w:val="none" w:sz="0" w:space="0" w:color="auto"/>
      </w:divBdr>
      <w:divsChild>
        <w:div w:id="102504791">
          <w:marLeft w:val="1440"/>
          <w:marRight w:val="0"/>
          <w:marTop w:val="0"/>
          <w:marBottom w:val="0"/>
          <w:divBdr>
            <w:top w:val="none" w:sz="0" w:space="0" w:color="auto"/>
            <w:left w:val="none" w:sz="0" w:space="0" w:color="auto"/>
            <w:bottom w:val="none" w:sz="0" w:space="0" w:color="auto"/>
            <w:right w:val="none" w:sz="0" w:space="0" w:color="auto"/>
          </w:divBdr>
        </w:div>
        <w:div w:id="585580166">
          <w:marLeft w:val="1440"/>
          <w:marRight w:val="0"/>
          <w:marTop w:val="0"/>
          <w:marBottom w:val="0"/>
          <w:divBdr>
            <w:top w:val="none" w:sz="0" w:space="0" w:color="auto"/>
            <w:left w:val="none" w:sz="0" w:space="0" w:color="auto"/>
            <w:bottom w:val="none" w:sz="0" w:space="0" w:color="auto"/>
            <w:right w:val="none" w:sz="0" w:space="0" w:color="auto"/>
          </w:divBdr>
        </w:div>
        <w:div w:id="826631195">
          <w:marLeft w:val="1440"/>
          <w:marRight w:val="0"/>
          <w:marTop w:val="0"/>
          <w:marBottom w:val="0"/>
          <w:divBdr>
            <w:top w:val="none" w:sz="0" w:space="0" w:color="auto"/>
            <w:left w:val="none" w:sz="0" w:space="0" w:color="auto"/>
            <w:bottom w:val="none" w:sz="0" w:space="0" w:color="auto"/>
            <w:right w:val="none" w:sz="0" w:space="0" w:color="auto"/>
          </w:divBdr>
        </w:div>
        <w:div w:id="967249021">
          <w:marLeft w:val="1440"/>
          <w:marRight w:val="0"/>
          <w:marTop w:val="0"/>
          <w:marBottom w:val="0"/>
          <w:divBdr>
            <w:top w:val="none" w:sz="0" w:space="0" w:color="auto"/>
            <w:left w:val="none" w:sz="0" w:space="0" w:color="auto"/>
            <w:bottom w:val="none" w:sz="0" w:space="0" w:color="auto"/>
            <w:right w:val="none" w:sz="0" w:space="0" w:color="auto"/>
          </w:divBdr>
        </w:div>
        <w:div w:id="1519930972">
          <w:marLeft w:val="1440"/>
          <w:marRight w:val="0"/>
          <w:marTop w:val="0"/>
          <w:marBottom w:val="0"/>
          <w:divBdr>
            <w:top w:val="none" w:sz="0" w:space="0" w:color="auto"/>
            <w:left w:val="none" w:sz="0" w:space="0" w:color="auto"/>
            <w:bottom w:val="none" w:sz="0" w:space="0" w:color="auto"/>
            <w:right w:val="none" w:sz="0" w:space="0" w:color="auto"/>
          </w:divBdr>
        </w:div>
        <w:div w:id="1754086651">
          <w:marLeft w:val="1440"/>
          <w:marRight w:val="0"/>
          <w:marTop w:val="0"/>
          <w:marBottom w:val="0"/>
          <w:divBdr>
            <w:top w:val="none" w:sz="0" w:space="0" w:color="auto"/>
            <w:left w:val="none" w:sz="0" w:space="0" w:color="auto"/>
            <w:bottom w:val="none" w:sz="0" w:space="0" w:color="auto"/>
            <w:right w:val="none" w:sz="0" w:space="0" w:color="auto"/>
          </w:divBdr>
        </w:div>
        <w:div w:id="1907229041">
          <w:marLeft w:val="1440"/>
          <w:marRight w:val="0"/>
          <w:marTop w:val="0"/>
          <w:marBottom w:val="0"/>
          <w:divBdr>
            <w:top w:val="none" w:sz="0" w:space="0" w:color="auto"/>
            <w:left w:val="none" w:sz="0" w:space="0" w:color="auto"/>
            <w:bottom w:val="none" w:sz="0" w:space="0" w:color="auto"/>
            <w:right w:val="none" w:sz="0" w:space="0" w:color="auto"/>
          </w:divBdr>
        </w:div>
      </w:divsChild>
    </w:div>
    <w:div w:id="250702856">
      <w:bodyDiv w:val="1"/>
      <w:marLeft w:val="0"/>
      <w:marRight w:val="0"/>
      <w:marTop w:val="0"/>
      <w:marBottom w:val="0"/>
      <w:divBdr>
        <w:top w:val="none" w:sz="0" w:space="0" w:color="auto"/>
        <w:left w:val="none" w:sz="0" w:space="0" w:color="auto"/>
        <w:bottom w:val="none" w:sz="0" w:space="0" w:color="auto"/>
        <w:right w:val="none" w:sz="0" w:space="0" w:color="auto"/>
      </w:divBdr>
    </w:div>
    <w:div w:id="251670620">
      <w:bodyDiv w:val="1"/>
      <w:marLeft w:val="0"/>
      <w:marRight w:val="0"/>
      <w:marTop w:val="0"/>
      <w:marBottom w:val="0"/>
      <w:divBdr>
        <w:top w:val="none" w:sz="0" w:space="0" w:color="auto"/>
        <w:left w:val="none" w:sz="0" w:space="0" w:color="auto"/>
        <w:bottom w:val="none" w:sz="0" w:space="0" w:color="auto"/>
        <w:right w:val="none" w:sz="0" w:space="0" w:color="auto"/>
      </w:divBdr>
    </w:div>
    <w:div w:id="260534866">
      <w:bodyDiv w:val="1"/>
      <w:marLeft w:val="0"/>
      <w:marRight w:val="0"/>
      <w:marTop w:val="0"/>
      <w:marBottom w:val="0"/>
      <w:divBdr>
        <w:top w:val="none" w:sz="0" w:space="0" w:color="auto"/>
        <w:left w:val="none" w:sz="0" w:space="0" w:color="auto"/>
        <w:bottom w:val="none" w:sz="0" w:space="0" w:color="auto"/>
        <w:right w:val="none" w:sz="0" w:space="0" w:color="auto"/>
      </w:divBdr>
    </w:div>
    <w:div w:id="262609461">
      <w:bodyDiv w:val="1"/>
      <w:marLeft w:val="0"/>
      <w:marRight w:val="0"/>
      <w:marTop w:val="0"/>
      <w:marBottom w:val="0"/>
      <w:divBdr>
        <w:top w:val="none" w:sz="0" w:space="0" w:color="auto"/>
        <w:left w:val="none" w:sz="0" w:space="0" w:color="auto"/>
        <w:bottom w:val="none" w:sz="0" w:space="0" w:color="auto"/>
        <w:right w:val="none" w:sz="0" w:space="0" w:color="auto"/>
      </w:divBdr>
    </w:div>
    <w:div w:id="266010874">
      <w:bodyDiv w:val="1"/>
      <w:marLeft w:val="0"/>
      <w:marRight w:val="0"/>
      <w:marTop w:val="0"/>
      <w:marBottom w:val="0"/>
      <w:divBdr>
        <w:top w:val="none" w:sz="0" w:space="0" w:color="auto"/>
        <w:left w:val="none" w:sz="0" w:space="0" w:color="auto"/>
        <w:bottom w:val="none" w:sz="0" w:space="0" w:color="auto"/>
        <w:right w:val="none" w:sz="0" w:space="0" w:color="auto"/>
      </w:divBdr>
    </w:div>
    <w:div w:id="268239712">
      <w:bodyDiv w:val="1"/>
      <w:marLeft w:val="0"/>
      <w:marRight w:val="0"/>
      <w:marTop w:val="0"/>
      <w:marBottom w:val="0"/>
      <w:divBdr>
        <w:top w:val="none" w:sz="0" w:space="0" w:color="auto"/>
        <w:left w:val="none" w:sz="0" w:space="0" w:color="auto"/>
        <w:bottom w:val="none" w:sz="0" w:space="0" w:color="auto"/>
        <w:right w:val="none" w:sz="0" w:space="0" w:color="auto"/>
      </w:divBdr>
    </w:div>
    <w:div w:id="269432150">
      <w:bodyDiv w:val="1"/>
      <w:marLeft w:val="0"/>
      <w:marRight w:val="0"/>
      <w:marTop w:val="0"/>
      <w:marBottom w:val="0"/>
      <w:divBdr>
        <w:top w:val="none" w:sz="0" w:space="0" w:color="auto"/>
        <w:left w:val="none" w:sz="0" w:space="0" w:color="auto"/>
        <w:bottom w:val="none" w:sz="0" w:space="0" w:color="auto"/>
        <w:right w:val="none" w:sz="0" w:space="0" w:color="auto"/>
      </w:divBdr>
    </w:div>
    <w:div w:id="271668153">
      <w:bodyDiv w:val="1"/>
      <w:marLeft w:val="0"/>
      <w:marRight w:val="0"/>
      <w:marTop w:val="0"/>
      <w:marBottom w:val="0"/>
      <w:divBdr>
        <w:top w:val="none" w:sz="0" w:space="0" w:color="auto"/>
        <w:left w:val="none" w:sz="0" w:space="0" w:color="auto"/>
        <w:bottom w:val="none" w:sz="0" w:space="0" w:color="auto"/>
        <w:right w:val="none" w:sz="0" w:space="0" w:color="auto"/>
      </w:divBdr>
    </w:div>
    <w:div w:id="272396231">
      <w:bodyDiv w:val="1"/>
      <w:marLeft w:val="0"/>
      <w:marRight w:val="0"/>
      <w:marTop w:val="0"/>
      <w:marBottom w:val="0"/>
      <w:divBdr>
        <w:top w:val="none" w:sz="0" w:space="0" w:color="auto"/>
        <w:left w:val="none" w:sz="0" w:space="0" w:color="auto"/>
        <w:bottom w:val="none" w:sz="0" w:space="0" w:color="auto"/>
        <w:right w:val="none" w:sz="0" w:space="0" w:color="auto"/>
      </w:divBdr>
    </w:div>
    <w:div w:id="279186960">
      <w:bodyDiv w:val="1"/>
      <w:marLeft w:val="0"/>
      <w:marRight w:val="0"/>
      <w:marTop w:val="0"/>
      <w:marBottom w:val="0"/>
      <w:divBdr>
        <w:top w:val="none" w:sz="0" w:space="0" w:color="auto"/>
        <w:left w:val="none" w:sz="0" w:space="0" w:color="auto"/>
        <w:bottom w:val="none" w:sz="0" w:space="0" w:color="auto"/>
        <w:right w:val="none" w:sz="0" w:space="0" w:color="auto"/>
      </w:divBdr>
    </w:div>
    <w:div w:id="280259514">
      <w:bodyDiv w:val="1"/>
      <w:marLeft w:val="0"/>
      <w:marRight w:val="0"/>
      <w:marTop w:val="0"/>
      <w:marBottom w:val="0"/>
      <w:divBdr>
        <w:top w:val="none" w:sz="0" w:space="0" w:color="auto"/>
        <w:left w:val="none" w:sz="0" w:space="0" w:color="auto"/>
        <w:bottom w:val="none" w:sz="0" w:space="0" w:color="auto"/>
        <w:right w:val="none" w:sz="0" w:space="0" w:color="auto"/>
      </w:divBdr>
    </w:div>
    <w:div w:id="280263751">
      <w:bodyDiv w:val="1"/>
      <w:marLeft w:val="0"/>
      <w:marRight w:val="0"/>
      <w:marTop w:val="0"/>
      <w:marBottom w:val="0"/>
      <w:divBdr>
        <w:top w:val="none" w:sz="0" w:space="0" w:color="auto"/>
        <w:left w:val="none" w:sz="0" w:space="0" w:color="auto"/>
        <w:bottom w:val="none" w:sz="0" w:space="0" w:color="auto"/>
        <w:right w:val="none" w:sz="0" w:space="0" w:color="auto"/>
      </w:divBdr>
    </w:div>
    <w:div w:id="282347313">
      <w:bodyDiv w:val="1"/>
      <w:marLeft w:val="0"/>
      <w:marRight w:val="0"/>
      <w:marTop w:val="0"/>
      <w:marBottom w:val="0"/>
      <w:divBdr>
        <w:top w:val="none" w:sz="0" w:space="0" w:color="auto"/>
        <w:left w:val="none" w:sz="0" w:space="0" w:color="auto"/>
        <w:bottom w:val="none" w:sz="0" w:space="0" w:color="auto"/>
        <w:right w:val="none" w:sz="0" w:space="0" w:color="auto"/>
      </w:divBdr>
    </w:div>
    <w:div w:id="298417372">
      <w:bodyDiv w:val="1"/>
      <w:marLeft w:val="0"/>
      <w:marRight w:val="0"/>
      <w:marTop w:val="0"/>
      <w:marBottom w:val="0"/>
      <w:divBdr>
        <w:top w:val="none" w:sz="0" w:space="0" w:color="auto"/>
        <w:left w:val="none" w:sz="0" w:space="0" w:color="auto"/>
        <w:bottom w:val="none" w:sz="0" w:space="0" w:color="auto"/>
        <w:right w:val="none" w:sz="0" w:space="0" w:color="auto"/>
      </w:divBdr>
    </w:div>
    <w:div w:id="300351780">
      <w:bodyDiv w:val="1"/>
      <w:marLeft w:val="0"/>
      <w:marRight w:val="0"/>
      <w:marTop w:val="0"/>
      <w:marBottom w:val="0"/>
      <w:divBdr>
        <w:top w:val="none" w:sz="0" w:space="0" w:color="auto"/>
        <w:left w:val="none" w:sz="0" w:space="0" w:color="auto"/>
        <w:bottom w:val="none" w:sz="0" w:space="0" w:color="auto"/>
        <w:right w:val="none" w:sz="0" w:space="0" w:color="auto"/>
      </w:divBdr>
      <w:divsChild>
        <w:div w:id="214976759">
          <w:marLeft w:val="1757"/>
          <w:marRight w:val="0"/>
          <w:marTop w:val="0"/>
          <w:marBottom w:val="0"/>
          <w:divBdr>
            <w:top w:val="none" w:sz="0" w:space="0" w:color="auto"/>
            <w:left w:val="none" w:sz="0" w:space="0" w:color="auto"/>
            <w:bottom w:val="none" w:sz="0" w:space="0" w:color="auto"/>
            <w:right w:val="none" w:sz="0" w:space="0" w:color="auto"/>
          </w:divBdr>
        </w:div>
        <w:div w:id="748162746">
          <w:marLeft w:val="1757"/>
          <w:marRight w:val="0"/>
          <w:marTop w:val="0"/>
          <w:marBottom w:val="0"/>
          <w:divBdr>
            <w:top w:val="none" w:sz="0" w:space="0" w:color="auto"/>
            <w:left w:val="none" w:sz="0" w:space="0" w:color="auto"/>
            <w:bottom w:val="none" w:sz="0" w:space="0" w:color="auto"/>
            <w:right w:val="none" w:sz="0" w:space="0" w:color="auto"/>
          </w:divBdr>
        </w:div>
        <w:div w:id="906259243">
          <w:marLeft w:val="1757"/>
          <w:marRight w:val="0"/>
          <w:marTop w:val="0"/>
          <w:marBottom w:val="0"/>
          <w:divBdr>
            <w:top w:val="none" w:sz="0" w:space="0" w:color="auto"/>
            <w:left w:val="none" w:sz="0" w:space="0" w:color="auto"/>
            <w:bottom w:val="none" w:sz="0" w:space="0" w:color="auto"/>
            <w:right w:val="none" w:sz="0" w:space="0" w:color="auto"/>
          </w:divBdr>
        </w:div>
        <w:div w:id="1364593533">
          <w:marLeft w:val="1757"/>
          <w:marRight w:val="0"/>
          <w:marTop w:val="0"/>
          <w:marBottom w:val="0"/>
          <w:divBdr>
            <w:top w:val="none" w:sz="0" w:space="0" w:color="auto"/>
            <w:left w:val="none" w:sz="0" w:space="0" w:color="auto"/>
            <w:bottom w:val="none" w:sz="0" w:space="0" w:color="auto"/>
            <w:right w:val="none" w:sz="0" w:space="0" w:color="auto"/>
          </w:divBdr>
        </w:div>
      </w:divsChild>
    </w:div>
    <w:div w:id="301351586">
      <w:bodyDiv w:val="1"/>
      <w:marLeft w:val="0"/>
      <w:marRight w:val="0"/>
      <w:marTop w:val="0"/>
      <w:marBottom w:val="0"/>
      <w:divBdr>
        <w:top w:val="none" w:sz="0" w:space="0" w:color="auto"/>
        <w:left w:val="none" w:sz="0" w:space="0" w:color="auto"/>
        <w:bottom w:val="none" w:sz="0" w:space="0" w:color="auto"/>
        <w:right w:val="none" w:sz="0" w:space="0" w:color="auto"/>
      </w:divBdr>
    </w:div>
    <w:div w:id="311328662">
      <w:bodyDiv w:val="1"/>
      <w:marLeft w:val="0"/>
      <w:marRight w:val="0"/>
      <w:marTop w:val="0"/>
      <w:marBottom w:val="0"/>
      <w:divBdr>
        <w:top w:val="none" w:sz="0" w:space="0" w:color="auto"/>
        <w:left w:val="none" w:sz="0" w:space="0" w:color="auto"/>
        <w:bottom w:val="none" w:sz="0" w:space="0" w:color="auto"/>
        <w:right w:val="none" w:sz="0" w:space="0" w:color="auto"/>
      </w:divBdr>
    </w:div>
    <w:div w:id="314377782">
      <w:bodyDiv w:val="1"/>
      <w:marLeft w:val="0"/>
      <w:marRight w:val="0"/>
      <w:marTop w:val="0"/>
      <w:marBottom w:val="0"/>
      <w:divBdr>
        <w:top w:val="none" w:sz="0" w:space="0" w:color="auto"/>
        <w:left w:val="none" w:sz="0" w:space="0" w:color="auto"/>
        <w:bottom w:val="none" w:sz="0" w:space="0" w:color="auto"/>
        <w:right w:val="none" w:sz="0" w:space="0" w:color="auto"/>
      </w:divBdr>
    </w:div>
    <w:div w:id="325286504">
      <w:bodyDiv w:val="1"/>
      <w:marLeft w:val="0"/>
      <w:marRight w:val="0"/>
      <w:marTop w:val="0"/>
      <w:marBottom w:val="0"/>
      <w:divBdr>
        <w:top w:val="none" w:sz="0" w:space="0" w:color="auto"/>
        <w:left w:val="none" w:sz="0" w:space="0" w:color="auto"/>
        <w:bottom w:val="none" w:sz="0" w:space="0" w:color="auto"/>
        <w:right w:val="none" w:sz="0" w:space="0" w:color="auto"/>
      </w:divBdr>
      <w:divsChild>
        <w:div w:id="744495109">
          <w:marLeft w:val="720"/>
          <w:marRight w:val="0"/>
          <w:marTop w:val="0"/>
          <w:marBottom w:val="0"/>
          <w:divBdr>
            <w:top w:val="none" w:sz="0" w:space="0" w:color="auto"/>
            <w:left w:val="none" w:sz="0" w:space="0" w:color="auto"/>
            <w:bottom w:val="none" w:sz="0" w:space="0" w:color="auto"/>
            <w:right w:val="none" w:sz="0" w:space="0" w:color="auto"/>
          </w:divBdr>
        </w:div>
        <w:div w:id="1043098172">
          <w:marLeft w:val="720"/>
          <w:marRight w:val="0"/>
          <w:marTop w:val="0"/>
          <w:marBottom w:val="0"/>
          <w:divBdr>
            <w:top w:val="none" w:sz="0" w:space="0" w:color="auto"/>
            <w:left w:val="none" w:sz="0" w:space="0" w:color="auto"/>
            <w:bottom w:val="none" w:sz="0" w:space="0" w:color="auto"/>
            <w:right w:val="none" w:sz="0" w:space="0" w:color="auto"/>
          </w:divBdr>
        </w:div>
        <w:div w:id="1676686355">
          <w:marLeft w:val="720"/>
          <w:marRight w:val="0"/>
          <w:marTop w:val="0"/>
          <w:marBottom w:val="0"/>
          <w:divBdr>
            <w:top w:val="none" w:sz="0" w:space="0" w:color="auto"/>
            <w:left w:val="none" w:sz="0" w:space="0" w:color="auto"/>
            <w:bottom w:val="none" w:sz="0" w:space="0" w:color="auto"/>
            <w:right w:val="none" w:sz="0" w:space="0" w:color="auto"/>
          </w:divBdr>
        </w:div>
        <w:div w:id="2039502978">
          <w:marLeft w:val="720"/>
          <w:marRight w:val="0"/>
          <w:marTop w:val="0"/>
          <w:marBottom w:val="0"/>
          <w:divBdr>
            <w:top w:val="none" w:sz="0" w:space="0" w:color="auto"/>
            <w:left w:val="none" w:sz="0" w:space="0" w:color="auto"/>
            <w:bottom w:val="none" w:sz="0" w:space="0" w:color="auto"/>
            <w:right w:val="none" w:sz="0" w:space="0" w:color="auto"/>
          </w:divBdr>
        </w:div>
      </w:divsChild>
    </w:div>
    <w:div w:id="326909079">
      <w:bodyDiv w:val="1"/>
      <w:marLeft w:val="0"/>
      <w:marRight w:val="0"/>
      <w:marTop w:val="0"/>
      <w:marBottom w:val="0"/>
      <w:divBdr>
        <w:top w:val="none" w:sz="0" w:space="0" w:color="auto"/>
        <w:left w:val="none" w:sz="0" w:space="0" w:color="auto"/>
        <w:bottom w:val="none" w:sz="0" w:space="0" w:color="auto"/>
        <w:right w:val="none" w:sz="0" w:space="0" w:color="auto"/>
      </w:divBdr>
      <w:divsChild>
        <w:div w:id="330180047">
          <w:marLeft w:val="2030"/>
          <w:marRight w:val="0"/>
          <w:marTop w:val="0"/>
          <w:marBottom w:val="0"/>
          <w:divBdr>
            <w:top w:val="none" w:sz="0" w:space="0" w:color="auto"/>
            <w:left w:val="none" w:sz="0" w:space="0" w:color="auto"/>
            <w:bottom w:val="none" w:sz="0" w:space="0" w:color="auto"/>
            <w:right w:val="none" w:sz="0" w:space="0" w:color="auto"/>
          </w:divBdr>
        </w:div>
        <w:div w:id="744231773">
          <w:marLeft w:val="2030"/>
          <w:marRight w:val="0"/>
          <w:marTop w:val="0"/>
          <w:marBottom w:val="0"/>
          <w:divBdr>
            <w:top w:val="none" w:sz="0" w:space="0" w:color="auto"/>
            <w:left w:val="none" w:sz="0" w:space="0" w:color="auto"/>
            <w:bottom w:val="none" w:sz="0" w:space="0" w:color="auto"/>
            <w:right w:val="none" w:sz="0" w:space="0" w:color="auto"/>
          </w:divBdr>
        </w:div>
      </w:divsChild>
    </w:div>
    <w:div w:id="336152612">
      <w:bodyDiv w:val="1"/>
      <w:marLeft w:val="0"/>
      <w:marRight w:val="0"/>
      <w:marTop w:val="0"/>
      <w:marBottom w:val="0"/>
      <w:divBdr>
        <w:top w:val="none" w:sz="0" w:space="0" w:color="auto"/>
        <w:left w:val="none" w:sz="0" w:space="0" w:color="auto"/>
        <w:bottom w:val="none" w:sz="0" w:space="0" w:color="auto"/>
        <w:right w:val="none" w:sz="0" w:space="0" w:color="auto"/>
      </w:divBdr>
    </w:div>
    <w:div w:id="336616288">
      <w:bodyDiv w:val="1"/>
      <w:marLeft w:val="0"/>
      <w:marRight w:val="0"/>
      <w:marTop w:val="0"/>
      <w:marBottom w:val="0"/>
      <w:divBdr>
        <w:top w:val="none" w:sz="0" w:space="0" w:color="auto"/>
        <w:left w:val="none" w:sz="0" w:space="0" w:color="auto"/>
        <w:bottom w:val="none" w:sz="0" w:space="0" w:color="auto"/>
        <w:right w:val="none" w:sz="0" w:space="0" w:color="auto"/>
      </w:divBdr>
    </w:div>
    <w:div w:id="338121548">
      <w:bodyDiv w:val="1"/>
      <w:marLeft w:val="0"/>
      <w:marRight w:val="0"/>
      <w:marTop w:val="0"/>
      <w:marBottom w:val="0"/>
      <w:divBdr>
        <w:top w:val="none" w:sz="0" w:space="0" w:color="auto"/>
        <w:left w:val="none" w:sz="0" w:space="0" w:color="auto"/>
        <w:bottom w:val="none" w:sz="0" w:space="0" w:color="auto"/>
        <w:right w:val="none" w:sz="0" w:space="0" w:color="auto"/>
      </w:divBdr>
    </w:div>
    <w:div w:id="338235457">
      <w:bodyDiv w:val="1"/>
      <w:marLeft w:val="0"/>
      <w:marRight w:val="0"/>
      <w:marTop w:val="0"/>
      <w:marBottom w:val="0"/>
      <w:divBdr>
        <w:top w:val="none" w:sz="0" w:space="0" w:color="auto"/>
        <w:left w:val="none" w:sz="0" w:space="0" w:color="auto"/>
        <w:bottom w:val="none" w:sz="0" w:space="0" w:color="auto"/>
        <w:right w:val="none" w:sz="0" w:space="0" w:color="auto"/>
      </w:divBdr>
      <w:divsChild>
        <w:div w:id="56826412">
          <w:marLeft w:val="1123"/>
          <w:marRight w:val="0"/>
          <w:marTop w:val="0"/>
          <w:marBottom w:val="0"/>
          <w:divBdr>
            <w:top w:val="none" w:sz="0" w:space="0" w:color="auto"/>
            <w:left w:val="none" w:sz="0" w:space="0" w:color="auto"/>
            <w:bottom w:val="none" w:sz="0" w:space="0" w:color="auto"/>
            <w:right w:val="none" w:sz="0" w:space="0" w:color="auto"/>
          </w:divBdr>
        </w:div>
        <w:div w:id="681057392">
          <w:marLeft w:val="1123"/>
          <w:marRight w:val="0"/>
          <w:marTop w:val="0"/>
          <w:marBottom w:val="0"/>
          <w:divBdr>
            <w:top w:val="none" w:sz="0" w:space="0" w:color="auto"/>
            <w:left w:val="none" w:sz="0" w:space="0" w:color="auto"/>
            <w:bottom w:val="none" w:sz="0" w:space="0" w:color="auto"/>
            <w:right w:val="none" w:sz="0" w:space="0" w:color="auto"/>
          </w:divBdr>
        </w:div>
      </w:divsChild>
    </w:div>
    <w:div w:id="338502851">
      <w:bodyDiv w:val="1"/>
      <w:marLeft w:val="0"/>
      <w:marRight w:val="0"/>
      <w:marTop w:val="0"/>
      <w:marBottom w:val="0"/>
      <w:divBdr>
        <w:top w:val="none" w:sz="0" w:space="0" w:color="auto"/>
        <w:left w:val="none" w:sz="0" w:space="0" w:color="auto"/>
        <w:bottom w:val="none" w:sz="0" w:space="0" w:color="auto"/>
        <w:right w:val="none" w:sz="0" w:space="0" w:color="auto"/>
      </w:divBdr>
    </w:div>
    <w:div w:id="348332498">
      <w:bodyDiv w:val="1"/>
      <w:marLeft w:val="0"/>
      <w:marRight w:val="0"/>
      <w:marTop w:val="0"/>
      <w:marBottom w:val="0"/>
      <w:divBdr>
        <w:top w:val="none" w:sz="0" w:space="0" w:color="auto"/>
        <w:left w:val="none" w:sz="0" w:space="0" w:color="auto"/>
        <w:bottom w:val="none" w:sz="0" w:space="0" w:color="auto"/>
        <w:right w:val="none" w:sz="0" w:space="0" w:color="auto"/>
      </w:divBdr>
    </w:div>
    <w:div w:id="355233399">
      <w:bodyDiv w:val="1"/>
      <w:marLeft w:val="0"/>
      <w:marRight w:val="0"/>
      <w:marTop w:val="0"/>
      <w:marBottom w:val="0"/>
      <w:divBdr>
        <w:top w:val="none" w:sz="0" w:space="0" w:color="auto"/>
        <w:left w:val="none" w:sz="0" w:space="0" w:color="auto"/>
        <w:bottom w:val="none" w:sz="0" w:space="0" w:color="auto"/>
        <w:right w:val="none" w:sz="0" w:space="0" w:color="auto"/>
      </w:divBdr>
    </w:div>
    <w:div w:id="372728383">
      <w:bodyDiv w:val="1"/>
      <w:marLeft w:val="0"/>
      <w:marRight w:val="0"/>
      <w:marTop w:val="0"/>
      <w:marBottom w:val="0"/>
      <w:divBdr>
        <w:top w:val="none" w:sz="0" w:space="0" w:color="auto"/>
        <w:left w:val="none" w:sz="0" w:space="0" w:color="auto"/>
        <w:bottom w:val="none" w:sz="0" w:space="0" w:color="auto"/>
        <w:right w:val="none" w:sz="0" w:space="0" w:color="auto"/>
      </w:divBdr>
    </w:div>
    <w:div w:id="373192125">
      <w:bodyDiv w:val="1"/>
      <w:marLeft w:val="0"/>
      <w:marRight w:val="0"/>
      <w:marTop w:val="0"/>
      <w:marBottom w:val="0"/>
      <w:divBdr>
        <w:top w:val="none" w:sz="0" w:space="0" w:color="auto"/>
        <w:left w:val="none" w:sz="0" w:space="0" w:color="auto"/>
        <w:bottom w:val="none" w:sz="0" w:space="0" w:color="auto"/>
        <w:right w:val="none" w:sz="0" w:space="0" w:color="auto"/>
      </w:divBdr>
    </w:div>
    <w:div w:id="382756078">
      <w:bodyDiv w:val="1"/>
      <w:marLeft w:val="0"/>
      <w:marRight w:val="0"/>
      <w:marTop w:val="0"/>
      <w:marBottom w:val="0"/>
      <w:divBdr>
        <w:top w:val="none" w:sz="0" w:space="0" w:color="auto"/>
        <w:left w:val="none" w:sz="0" w:space="0" w:color="auto"/>
        <w:bottom w:val="none" w:sz="0" w:space="0" w:color="auto"/>
        <w:right w:val="none" w:sz="0" w:space="0" w:color="auto"/>
      </w:divBdr>
    </w:div>
    <w:div w:id="384066955">
      <w:bodyDiv w:val="1"/>
      <w:marLeft w:val="0"/>
      <w:marRight w:val="0"/>
      <w:marTop w:val="0"/>
      <w:marBottom w:val="0"/>
      <w:divBdr>
        <w:top w:val="none" w:sz="0" w:space="0" w:color="auto"/>
        <w:left w:val="none" w:sz="0" w:space="0" w:color="auto"/>
        <w:bottom w:val="none" w:sz="0" w:space="0" w:color="auto"/>
        <w:right w:val="none" w:sz="0" w:space="0" w:color="auto"/>
      </w:divBdr>
    </w:div>
    <w:div w:id="387190118">
      <w:bodyDiv w:val="1"/>
      <w:marLeft w:val="0"/>
      <w:marRight w:val="0"/>
      <w:marTop w:val="0"/>
      <w:marBottom w:val="0"/>
      <w:divBdr>
        <w:top w:val="none" w:sz="0" w:space="0" w:color="auto"/>
        <w:left w:val="none" w:sz="0" w:space="0" w:color="auto"/>
        <w:bottom w:val="none" w:sz="0" w:space="0" w:color="auto"/>
        <w:right w:val="none" w:sz="0" w:space="0" w:color="auto"/>
      </w:divBdr>
    </w:div>
    <w:div w:id="397217159">
      <w:bodyDiv w:val="1"/>
      <w:marLeft w:val="0"/>
      <w:marRight w:val="0"/>
      <w:marTop w:val="0"/>
      <w:marBottom w:val="0"/>
      <w:divBdr>
        <w:top w:val="none" w:sz="0" w:space="0" w:color="auto"/>
        <w:left w:val="none" w:sz="0" w:space="0" w:color="auto"/>
        <w:bottom w:val="none" w:sz="0" w:space="0" w:color="auto"/>
        <w:right w:val="none" w:sz="0" w:space="0" w:color="auto"/>
      </w:divBdr>
    </w:div>
    <w:div w:id="397360287">
      <w:bodyDiv w:val="1"/>
      <w:marLeft w:val="0"/>
      <w:marRight w:val="0"/>
      <w:marTop w:val="0"/>
      <w:marBottom w:val="0"/>
      <w:divBdr>
        <w:top w:val="none" w:sz="0" w:space="0" w:color="auto"/>
        <w:left w:val="none" w:sz="0" w:space="0" w:color="auto"/>
        <w:bottom w:val="none" w:sz="0" w:space="0" w:color="auto"/>
        <w:right w:val="none" w:sz="0" w:space="0" w:color="auto"/>
      </w:divBdr>
    </w:div>
    <w:div w:id="402873481">
      <w:bodyDiv w:val="1"/>
      <w:marLeft w:val="0"/>
      <w:marRight w:val="0"/>
      <w:marTop w:val="0"/>
      <w:marBottom w:val="0"/>
      <w:divBdr>
        <w:top w:val="none" w:sz="0" w:space="0" w:color="auto"/>
        <w:left w:val="none" w:sz="0" w:space="0" w:color="auto"/>
        <w:bottom w:val="none" w:sz="0" w:space="0" w:color="auto"/>
        <w:right w:val="none" w:sz="0" w:space="0" w:color="auto"/>
      </w:divBdr>
    </w:div>
    <w:div w:id="414789906">
      <w:bodyDiv w:val="1"/>
      <w:marLeft w:val="0"/>
      <w:marRight w:val="0"/>
      <w:marTop w:val="0"/>
      <w:marBottom w:val="0"/>
      <w:divBdr>
        <w:top w:val="none" w:sz="0" w:space="0" w:color="auto"/>
        <w:left w:val="none" w:sz="0" w:space="0" w:color="auto"/>
        <w:bottom w:val="none" w:sz="0" w:space="0" w:color="auto"/>
        <w:right w:val="none" w:sz="0" w:space="0" w:color="auto"/>
      </w:divBdr>
    </w:div>
    <w:div w:id="430978497">
      <w:bodyDiv w:val="1"/>
      <w:marLeft w:val="0"/>
      <w:marRight w:val="0"/>
      <w:marTop w:val="0"/>
      <w:marBottom w:val="0"/>
      <w:divBdr>
        <w:top w:val="none" w:sz="0" w:space="0" w:color="auto"/>
        <w:left w:val="none" w:sz="0" w:space="0" w:color="auto"/>
        <w:bottom w:val="none" w:sz="0" w:space="0" w:color="auto"/>
        <w:right w:val="none" w:sz="0" w:space="0" w:color="auto"/>
      </w:divBdr>
    </w:div>
    <w:div w:id="438526983">
      <w:bodyDiv w:val="1"/>
      <w:marLeft w:val="0"/>
      <w:marRight w:val="0"/>
      <w:marTop w:val="0"/>
      <w:marBottom w:val="0"/>
      <w:divBdr>
        <w:top w:val="none" w:sz="0" w:space="0" w:color="auto"/>
        <w:left w:val="none" w:sz="0" w:space="0" w:color="auto"/>
        <w:bottom w:val="none" w:sz="0" w:space="0" w:color="auto"/>
        <w:right w:val="none" w:sz="0" w:space="0" w:color="auto"/>
      </w:divBdr>
    </w:div>
    <w:div w:id="439253780">
      <w:bodyDiv w:val="1"/>
      <w:marLeft w:val="0"/>
      <w:marRight w:val="0"/>
      <w:marTop w:val="0"/>
      <w:marBottom w:val="0"/>
      <w:divBdr>
        <w:top w:val="none" w:sz="0" w:space="0" w:color="auto"/>
        <w:left w:val="none" w:sz="0" w:space="0" w:color="auto"/>
        <w:bottom w:val="none" w:sz="0" w:space="0" w:color="auto"/>
        <w:right w:val="none" w:sz="0" w:space="0" w:color="auto"/>
      </w:divBdr>
    </w:div>
    <w:div w:id="440808839">
      <w:bodyDiv w:val="1"/>
      <w:marLeft w:val="0"/>
      <w:marRight w:val="0"/>
      <w:marTop w:val="0"/>
      <w:marBottom w:val="0"/>
      <w:divBdr>
        <w:top w:val="none" w:sz="0" w:space="0" w:color="auto"/>
        <w:left w:val="none" w:sz="0" w:space="0" w:color="auto"/>
        <w:bottom w:val="none" w:sz="0" w:space="0" w:color="auto"/>
        <w:right w:val="none" w:sz="0" w:space="0" w:color="auto"/>
      </w:divBdr>
    </w:div>
    <w:div w:id="443497955">
      <w:bodyDiv w:val="1"/>
      <w:marLeft w:val="0"/>
      <w:marRight w:val="0"/>
      <w:marTop w:val="0"/>
      <w:marBottom w:val="0"/>
      <w:divBdr>
        <w:top w:val="none" w:sz="0" w:space="0" w:color="auto"/>
        <w:left w:val="none" w:sz="0" w:space="0" w:color="auto"/>
        <w:bottom w:val="none" w:sz="0" w:space="0" w:color="auto"/>
        <w:right w:val="none" w:sz="0" w:space="0" w:color="auto"/>
      </w:divBdr>
    </w:div>
    <w:div w:id="459226051">
      <w:bodyDiv w:val="1"/>
      <w:marLeft w:val="0"/>
      <w:marRight w:val="0"/>
      <w:marTop w:val="0"/>
      <w:marBottom w:val="0"/>
      <w:divBdr>
        <w:top w:val="none" w:sz="0" w:space="0" w:color="auto"/>
        <w:left w:val="none" w:sz="0" w:space="0" w:color="auto"/>
        <w:bottom w:val="none" w:sz="0" w:space="0" w:color="auto"/>
        <w:right w:val="none" w:sz="0" w:space="0" w:color="auto"/>
      </w:divBdr>
      <w:divsChild>
        <w:div w:id="1411539025">
          <w:marLeft w:val="0"/>
          <w:marRight w:val="0"/>
          <w:marTop w:val="144"/>
          <w:marBottom w:val="0"/>
          <w:divBdr>
            <w:top w:val="none" w:sz="0" w:space="0" w:color="auto"/>
            <w:left w:val="none" w:sz="0" w:space="0" w:color="auto"/>
            <w:bottom w:val="none" w:sz="0" w:space="0" w:color="auto"/>
            <w:right w:val="none" w:sz="0" w:space="0" w:color="auto"/>
          </w:divBdr>
        </w:div>
      </w:divsChild>
    </w:div>
    <w:div w:id="460154863">
      <w:bodyDiv w:val="1"/>
      <w:marLeft w:val="0"/>
      <w:marRight w:val="0"/>
      <w:marTop w:val="0"/>
      <w:marBottom w:val="0"/>
      <w:divBdr>
        <w:top w:val="none" w:sz="0" w:space="0" w:color="auto"/>
        <w:left w:val="none" w:sz="0" w:space="0" w:color="auto"/>
        <w:bottom w:val="none" w:sz="0" w:space="0" w:color="auto"/>
        <w:right w:val="none" w:sz="0" w:space="0" w:color="auto"/>
      </w:divBdr>
    </w:div>
    <w:div w:id="464398094">
      <w:bodyDiv w:val="1"/>
      <w:marLeft w:val="0"/>
      <w:marRight w:val="0"/>
      <w:marTop w:val="0"/>
      <w:marBottom w:val="0"/>
      <w:divBdr>
        <w:top w:val="none" w:sz="0" w:space="0" w:color="auto"/>
        <w:left w:val="none" w:sz="0" w:space="0" w:color="auto"/>
        <w:bottom w:val="none" w:sz="0" w:space="0" w:color="auto"/>
        <w:right w:val="none" w:sz="0" w:space="0" w:color="auto"/>
      </w:divBdr>
    </w:div>
    <w:div w:id="467553914">
      <w:bodyDiv w:val="1"/>
      <w:marLeft w:val="0"/>
      <w:marRight w:val="0"/>
      <w:marTop w:val="0"/>
      <w:marBottom w:val="0"/>
      <w:divBdr>
        <w:top w:val="none" w:sz="0" w:space="0" w:color="auto"/>
        <w:left w:val="none" w:sz="0" w:space="0" w:color="auto"/>
        <w:bottom w:val="none" w:sz="0" w:space="0" w:color="auto"/>
        <w:right w:val="none" w:sz="0" w:space="0" w:color="auto"/>
      </w:divBdr>
    </w:div>
    <w:div w:id="469903407">
      <w:bodyDiv w:val="1"/>
      <w:marLeft w:val="0"/>
      <w:marRight w:val="0"/>
      <w:marTop w:val="0"/>
      <w:marBottom w:val="0"/>
      <w:divBdr>
        <w:top w:val="none" w:sz="0" w:space="0" w:color="auto"/>
        <w:left w:val="none" w:sz="0" w:space="0" w:color="auto"/>
        <w:bottom w:val="none" w:sz="0" w:space="0" w:color="auto"/>
        <w:right w:val="none" w:sz="0" w:space="0" w:color="auto"/>
      </w:divBdr>
    </w:div>
    <w:div w:id="470054057">
      <w:bodyDiv w:val="1"/>
      <w:marLeft w:val="0"/>
      <w:marRight w:val="0"/>
      <w:marTop w:val="0"/>
      <w:marBottom w:val="0"/>
      <w:divBdr>
        <w:top w:val="none" w:sz="0" w:space="0" w:color="auto"/>
        <w:left w:val="none" w:sz="0" w:space="0" w:color="auto"/>
        <w:bottom w:val="none" w:sz="0" w:space="0" w:color="auto"/>
        <w:right w:val="none" w:sz="0" w:space="0" w:color="auto"/>
      </w:divBdr>
    </w:div>
    <w:div w:id="471101311">
      <w:bodyDiv w:val="1"/>
      <w:marLeft w:val="0"/>
      <w:marRight w:val="0"/>
      <w:marTop w:val="0"/>
      <w:marBottom w:val="0"/>
      <w:divBdr>
        <w:top w:val="none" w:sz="0" w:space="0" w:color="auto"/>
        <w:left w:val="none" w:sz="0" w:space="0" w:color="auto"/>
        <w:bottom w:val="none" w:sz="0" w:space="0" w:color="auto"/>
        <w:right w:val="none" w:sz="0" w:space="0" w:color="auto"/>
      </w:divBdr>
    </w:div>
    <w:div w:id="479150618">
      <w:bodyDiv w:val="1"/>
      <w:marLeft w:val="0"/>
      <w:marRight w:val="0"/>
      <w:marTop w:val="0"/>
      <w:marBottom w:val="0"/>
      <w:divBdr>
        <w:top w:val="none" w:sz="0" w:space="0" w:color="auto"/>
        <w:left w:val="none" w:sz="0" w:space="0" w:color="auto"/>
        <w:bottom w:val="none" w:sz="0" w:space="0" w:color="auto"/>
        <w:right w:val="none" w:sz="0" w:space="0" w:color="auto"/>
      </w:divBdr>
    </w:div>
    <w:div w:id="485364822">
      <w:bodyDiv w:val="1"/>
      <w:marLeft w:val="0"/>
      <w:marRight w:val="0"/>
      <w:marTop w:val="0"/>
      <w:marBottom w:val="0"/>
      <w:divBdr>
        <w:top w:val="none" w:sz="0" w:space="0" w:color="auto"/>
        <w:left w:val="none" w:sz="0" w:space="0" w:color="auto"/>
        <w:bottom w:val="none" w:sz="0" w:space="0" w:color="auto"/>
        <w:right w:val="none" w:sz="0" w:space="0" w:color="auto"/>
      </w:divBdr>
    </w:div>
    <w:div w:id="486166675">
      <w:bodyDiv w:val="1"/>
      <w:marLeft w:val="0"/>
      <w:marRight w:val="0"/>
      <w:marTop w:val="0"/>
      <w:marBottom w:val="0"/>
      <w:divBdr>
        <w:top w:val="none" w:sz="0" w:space="0" w:color="auto"/>
        <w:left w:val="none" w:sz="0" w:space="0" w:color="auto"/>
        <w:bottom w:val="none" w:sz="0" w:space="0" w:color="auto"/>
        <w:right w:val="none" w:sz="0" w:space="0" w:color="auto"/>
      </w:divBdr>
    </w:div>
    <w:div w:id="500005643">
      <w:bodyDiv w:val="1"/>
      <w:marLeft w:val="0"/>
      <w:marRight w:val="0"/>
      <w:marTop w:val="0"/>
      <w:marBottom w:val="0"/>
      <w:divBdr>
        <w:top w:val="none" w:sz="0" w:space="0" w:color="auto"/>
        <w:left w:val="none" w:sz="0" w:space="0" w:color="auto"/>
        <w:bottom w:val="none" w:sz="0" w:space="0" w:color="auto"/>
        <w:right w:val="none" w:sz="0" w:space="0" w:color="auto"/>
      </w:divBdr>
    </w:div>
    <w:div w:id="503204265">
      <w:bodyDiv w:val="1"/>
      <w:marLeft w:val="0"/>
      <w:marRight w:val="0"/>
      <w:marTop w:val="0"/>
      <w:marBottom w:val="0"/>
      <w:divBdr>
        <w:top w:val="none" w:sz="0" w:space="0" w:color="auto"/>
        <w:left w:val="none" w:sz="0" w:space="0" w:color="auto"/>
        <w:bottom w:val="none" w:sz="0" w:space="0" w:color="auto"/>
        <w:right w:val="none" w:sz="0" w:space="0" w:color="auto"/>
      </w:divBdr>
    </w:div>
    <w:div w:id="510872031">
      <w:bodyDiv w:val="1"/>
      <w:marLeft w:val="0"/>
      <w:marRight w:val="0"/>
      <w:marTop w:val="0"/>
      <w:marBottom w:val="0"/>
      <w:divBdr>
        <w:top w:val="none" w:sz="0" w:space="0" w:color="auto"/>
        <w:left w:val="none" w:sz="0" w:space="0" w:color="auto"/>
        <w:bottom w:val="none" w:sz="0" w:space="0" w:color="auto"/>
        <w:right w:val="none" w:sz="0" w:space="0" w:color="auto"/>
      </w:divBdr>
    </w:div>
    <w:div w:id="524756489">
      <w:bodyDiv w:val="1"/>
      <w:marLeft w:val="0"/>
      <w:marRight w:val="0"/>
      <w:marTop w:val="0"/>
      <w:marBottom w:val="0"/>
      <w:divBdr>
        <w:top w:val="none" w:sz="0" w:space="0" w:color="auto"/>
        <w:left w:val="none" w:sz="0" w:space="0" w:color="auto"/>
        <w:bottom w:val="none" w:sz="0" w:space="0" w:color="auto"/>
        <w:right w:val="none" w:sz="0" w:space="0" w:color="auto"/>
      </w:divBdr>
    </w:div>
    <w:div w:id="528644209">
      <w:bodyDiv w:val="1"/>
      <w:marLeft w:val="0"/>
      <w:marRight w:val="0"/>
      <w:marTop w:val="0"/>
      <w:marBottom w:val="0"/>
      <w:divBdr>
        <w:top w:val="none" w:sz="0" w:space="0" w:color="auto"/>
        <w:left w:val="none" w:sz="0" w:space="0" w:color="auto"/>
        <w:bottom w:val="none" w:sz="0" w:space="0" w:color="auto"/>
        <w:right w:val="none" w:sz="0" w:space="0" w:color="auto"/>
      </w:divBdr>
      <w:divsChild>
        <w:div w:id="1406688954">
          <w:marLeft w:val="965"/>
          <w:marRight w:val="0"/>
          <w:marTop w:val="0"/>
          <w:marBottom w:val="0"/>
          <w:divBdr>
            <w:top w:val="none" w:sz="0" w:space="0" w:color="auto"/>
            <w:left w:val="none" w:sz="0" w:space="0" w:color="auto"/>
            <w:bottom w:val="none" w:sz="0" w:space="0" w:color="auto"/>
            <w:right w:val="none" w:sz="0" w:space="0" w:color="auto"/>
          </w:divBdr>
        </w:div>
      </w:divsChild>
    </w:div>
    <w:div w:id="532962077">
      <w:bodyDiv w:val="1"/>
      <w:marLeft w:val="0"/>
      <w:marRight w:val="0"/>
      <w:marTop w:val="0"/>
      <w:marBottom w:val="0"/>
      <w:divBdr>
        <w:top w:val="none" w:sz="0" w:space="0" w:color="auto"/>
        <w:left w:val="none" w:sz="0" w:space="0" w:color="auto"/>
        <w:bottom w:val="none" w:sz="0" w:space="0" w:color="auto"/>
        <w:right w:val="none" w:sz="0" w:space="0" w:color="auto"/>
      </w:divBdr>
    </w:div>
    <w:div w:id="539710235">
      <w:bodyDiv w:val="1"/>
      <w:marLeft w:val="0"/>
      <w:marRight w:val="0"/>
      <w:marTop w:val="0"/>
      <w:marBottom w:val="0"/>
      <w:divBdr>
        <w:top w:val="none" w:sz="0" w:space="0" w:color="auto"/>
        <w:left w:val="none" w:sz="0" w:space="0" w:color="auto"/>
        <w:bottom w:val="none" w:sz="0" w:space="0" w:color="auto"/>
        <w:right w:val="none" w:sz="0" w:space="0" w:color="auto"/>
      </w:divBdr>
    </w:div>
    <w:div w:id="543370833">
      <w:bodyDiv w:val="1"/>
      <w:marLeft w:val="0"/>
      <w:marRight w:val="0"/>
      <w:marTop w:val="0"/>
      <w:marBottom w:val="0"/>
      <w:divBdr>
        <w:top w:val="none" w:sz="0" w:space="0" w:color="auto"/>
        <w:left w:val="none" w:sz="0" w:space="0" w:color="auto"/>
        <w:bottom w:val="none" w:sz="0" w:space="0" w:color="auto"/>
        <w:right w:val="none" w:sz="0" w:space="0" w:color="auto"/>
      </w:divBdr>
    </w:div>
    <w:div w:id="543521141">
      <w:bodyDiv w:val="1"/>
      <w:marLeft w:val="0"/>
      <w:marRight w:val="0"/>
      <w:marTop w:val="0"/>
      <w:marBottom w:val="0"/>
      <w:divBdr>
        <w:top w:val="none" w:sz="0" w:space="0" w:color="auto"/>
        <w:left w:val="none" w:sz="0" w:space="0" w:color="auto"/>
        <w:bottom w:val="none" w:sz="0" w:space="0" w:color="auto"/>
        <w:right w:val="none" w:sz="0" w:space="0" w:color="auto"/>
      </w:divBdr>
    </w:div>
    <w:div w:id="547491263">
      <w:bodyDiv w:val="1"/>
      <w:marLeft w:val="0"/>
      <w:marRight w:val="0"/>
      <w:marTop w:val="0"/>
      <w:marBottom w:val="0"/>
      <w:divBdr>
        <w:top w:val="none" w:sz="0" w:space="0" w:color="auto"/>
        <w:left w:val="none" w:sz="0" w:space="0" w:color="auto"/>
        <w:bottom w:val="none" w:sz="0" w:space="0" w:color="auto"/>
        <w:right w:val="none" w:sz="0" w:space="0" w:color="auto"/>
      </w:divBdr>
    </w:div>
    <w:div w:id="561598682">
      <w:bodyDiv w:val="1"/>
      <w:marLeft w:val="0"/>
      <w:marRight w:val="0"/>
      <w:marTop w:val="0"/>
      <w:marBottom w:val="0"/>
      <w:divBdr>
        <w:top w:val="none" w:sz="0" w:space="0" w:color="auto"/>
        <w:left w:val="none" w:sz="0" w:space="0" w:color="auto"/>
        <w:bottom w:val="none" w:sz="0" w:space="0" w:color="auto"/>
        <w:right w:val="none" w:sz="0" w:space="0" w:color="auto"/>
      </w:divBdr>
    </w:div>
    <w:div w:id="571045083">
      <w:bodyDiv w:val="1"/>
      <w:marLeft w:val="0"/>
      <w:marRight w:val="0"/>
      <w:marTop w:val="0"/>
      <w:marBottom w:val="0"/>
      <w:divBdr>
        <w:top w:val="none" w:sz="0" w:space="0" w:color="auto"/>
        <w:left w:val="none" w:sz="0" w:space="0" w:color="auto"/>
        <w:bottom w:val="none" w:sz="0" w:space="0" w:color="auto"/>
        <w:right w:val="none" w:sz="0" w:space="0" w:color="auto"/>
      </w:divBdr>
    </w:div>
    <w:div w:id="572159977">
      <w:bodyDiv w:val="1"/>
      <w:marLeft w:val="0"/>
      <w:marRight w:val="0"/>
      <w:marTop w:val="0"/>
      <w:marBottom w:val="0"/>
      <w:divBdr>
        <w:top w:val="none" w:sz="0" w:space="0" w:color="auto"/>
        <w:left w:val="none" w:sz="0" w:space="0" w:color="auto"/>
        <w:bottom w:val="none" w:sz="0" w:space="0" w:color="auto"/>
        <w:right w:val="none" w:sz="0" w:space="0" w:color="auto"/>
      </w:divBdr>
    </w:div>
    <w:div w:id="576405996">
      <w:bodyDiv w:val="1"/>
      <w:marLeft w:val="0"/>
      <w:marRight w:val="0"/>
      <w:marTop w:val="0"/>
      <w:marBottom w:val="0"/>
      <w:divBdr>
        <w:top w:val="none" w:sz="0" w:space="0" w:color="auto"/>
        <w:left w:val="none" w:sz="0" w:space="0" w:color="auto"/>
        <w:bottom w:val="none" w:sz="0" w:space="0" w:color="auto"/>
        <w:right w:val="none" w:sz="0" w:space="0" w:color="auto"/>
      </w:divBdr>
    </w:div>
    <w:div w:id="579103587">
      <w:bodyDiv w:val="1"/>
      <w:marLeft w:val="0"/>
      <w:marRight w:val="0"/>
      <w:marTop w:val="0"/>
      <w:marBottom w:val="0"/>
      <w:divBdr>
        <w:top w:val="none" w:sz="0" w:space="0" w:color="auto"/>
        <w:left w:val="none" w:sz="0" w:space="0" w:color="auto"/>
        <w:bottom w:val="none" w:sz="0" w:space="0" w:color="auto"/>
        <w:right w:val="none" w:sz="0" w:space="0" w:color="auto"/>
      </w:divBdr>
    </w:div>
    <w:div w:id="580872886">
      <w:bodyDiv w:val="1"/>
      <w:marLeft w:val="0"/>
      <w:marRight w:val="0"/>
      <w:marTop w:val="0"/>
      <w:marBottom w:val="0"/>
      <w:divBdr>
        <w:top w:val="none" w:sz="0" w:space="0" w:color="auto"/>
        <w:left w:val="none" w:sz="0" w:space="0" w:color="auto"/>
        <w:bottom w:val="none" w:sz="0" w:space="0" w:color="auto"/>
        <w:right w:val="none" w:sz="0" w:space="0" w:color="auto"/>
      </w:divBdr>
    </w:div>
    <w:div w:id="582682013">
      <w:bodyDiv w:val="1"/>
      <w:marLeft w:val="0"/>
      <w:marRight w:val="0"/>
      <w:marTop w:val="0"/>
      <w:marBottom w:val="0"/>
      <w:divBdr>
        <w:top w:val="none" w:sz="0" w:space="0" w:color="auto"/>
        <w:left w:val="none" w:sz="0" w:space="0" w:color="auto"/>
        <w:bottom w:val="none" w:sz="0" w:space="0" w:color="auto"/>
        <w:right w:val="none" w:sz="0" w:space="0" w:color="auto"/>
      </w:divBdr>
    </w:div>
    <w:div w:id="604655759">
      <w:bodyDiv w:val="1"/>
      <w:marLeft w:val="0"/>
      <w:marRight w:val="0"/>
      <w:marTop w:val="0"/>
      <w:marBottom w:val="0"/>
      <w:divBdr>
        <w:top w:val="none" w:sz="0" w:space="0" w:color="auto"/>
        <w:left w:val="none" w:sz="0" w:space="0" w:color="auto"/>
        <w:bottom w:val="none" w:sz="0" w:space="0" w:color="auto"/>
        <w:right w:val="none" w:sz="0" w:space="0" w:color="auto"/>
      </w:divBdr>
    </w:div>
    <w:div w:id="607349306">
      <w:bodyDiv w:val="1"/>
      <w:marLeft w:val="0"/>
      <w:marRight w:val="0"/>
      <w:marTop w:val="0"/>
      <w:marBottom w:val="0"/>
      <w:divBdr>
        <w:top w:val="none" w:sz="0" w:space="0" w:color="auto"/>
        <w:left w:val="none" w:sz="0" w:space="0" w:color="auto"/>
        <w:bottom w:val="none" w:sz="0" w:space="0" w:color="auto"/>
        <w:right w:val="none" w:sz="0" w:space="0" w:color="auto"/>
      </w:divBdr>
    </w:div>
    <w:div w:id="607467310">
      <w:bodyDiv w:val="1"/>
      <w:marLeft w:val="0"/>
      <w:marRight w:val="0"/>
      <w:marTop w:val="0"/>
      <w:marBottom w:val="0"/>
      <w:divBdr>
        <w:top w:val="none" w:sz="0" w:space="0" w:color="auto"/>
        <w:left w:val="none" w:sz="0" w:space="0" w:color="auto"/>
        <w:bottom w:val="none" w:sz="0" w:space="0" w:color="auto"/>
        <w:right w:val="none" w:sz="0" w:space="0" w:color="auto"/>
      </w:divBdr>
    </w:div>
    <w:div w:id="609360967">
      <w:bodyDiv w:val="1"/>
      <w:marLeft w:val="0"/>
      <w:marRight w:val="0"/>
      <w:marTop w:val="0"/>
      <w:marBottom w:val="0"/>
      <w:divBdr>
        <w:top w:val="none" w:sz="0" w:space="0" w:color="auto"/>
        <w:left w:val="none" w:sz="0" w:space="0" w:color="auto"/>
        <w:bottom w:val="none" w:sz="0" w:space="0" w:color="auto"/>
        <w:right w:val="none" w:sz="0" w:space="0" w:color="auto"/>
      </w:divBdr>
    </w:div>
    <w:div w:id="618882007">
      <w:bodyDiv w:val="1"/>
      <w:marLeft w:val="0"/>
      <w:marRight w:val="0"/>
      <w:marTop w:val="0"/>
      <w:marBottom w:val="0"/>
      <w:divBdr>
        <w:top w:val="none" w:sz="0" w:space="0" w:color="auto"/>
        <w:left w:val="none" w:sz="0" w:space="0" w:color="auto"/>
        <w:bottom w:val="none" w:sz="0" w:space="0" w:color="auto"/>
        <w:right w:val="none" w:sz="0" w:space="0" w:color="auto"/>
      </w:divBdr>
    </w:div>
    <w:div w:id="634458003">
      <w:bodyDiv w:val="1"/>
      <w:marLeft w:val="0"/>
      <w:marRight w:val="0"/>
      <w:marTop w:val="0"/>
      <w:marBottom w:val="0"/>
      <w:divBdr>
        <w:top w:val="none" w:sz="0" w:space="0" w:color="auto"/>
        <w:left w:val="none" w:sz="0" w:space="0" w:color="auto"/>
        <w:bottom w:val="none" w:sz="0" w:space="0" w:color="auto"/>
        <w:right w:val="none" w:sz="0" w:space="0" w:color="auto"/>
      </w:divBdr>
    </w:div>
    <w:div w:id="639002124">
      <w:bodyDiv w:val="1"/>
      <w:marLeft w:val="0"/>
      <w:marRight w:val="0"/>
      <w:marTop w:val="0"/>
      <w:marBottom w:val="0"/>
      <w:divBdr>
        <w:top w:val="none" w:sz="0" w:space="0" w:color="auto"/>
        <w:left w:val="none" w:sz="0" w:space="0" w:color="auto"/>
        <w:bottom w:val="none" w:sz="0" w:space="0" w:color="auto"/>
        <w:right w:val="none" w:sz="0" w:space="0" w:color="auto"/>
      </w:divBdr>
    </w:div>
    <w:div w:id="641693403">
      <w:bodyDiv w:val="1"/>
      <w:marLeft w:val="0"/>
      <w:marRight w:val="0"/>
      <w:marTop w:val="0"/>
      <w:marBottom w:val="0"/>
      <w:divBdr>
        <w:top w:val="none" w:sz="0" w:space="0" w:color="auto"/>
        <w:left w:val="none" w:sz="0" w:space="0" w:color="auto"/>
        <w:bottom w:val="none" w:sz="0" w:space="0" w:color="auto"/>
        <w:right w:val="none" w:sz="0" w:space="0" w:color="auto"/>
      </w:divBdr>
    </w:div>
    <w:div w:id="658582733">
      <w:bodyDiv w:val="1"/>
      <w:marLeft w:val="0"/>
      <w:marRight w:val="0"/>
      <w:marTop w:val="0"/>
      <w:marBottom w:val="0"/>
      <w:divBdr>
        <w:top w:val="none" w:sz="0" w:space="0" w:color="auto"/>
        <w:left w:val="none" w:sz="0" w:space="0" w:color="auto"/>
        <w:bottom w:val="none" w:sz="0" w:space="0" w:color="auto"/>
        <w:right w:val="none" w:sz="0" w:space="0" w:color="auto"/>
      </w:divBdr>
    </w:div>
    <w:div w:id="662438102">
      <w:bodyDiv w:val="1"/>
      <w:marLeft w:val="0"/>
      <w:marRight w:val="0"/>
      <w:marTop w:val="0"/>
      <w:marBottom w:val="0"/>
      <w:divBdr>
        <w:top w:val="none" w:sz="0" w:space="0" w:color="auto"/>
        <w:left w:val="none" w:sz="0" w:space="0" w:color="auto"/>
        <w:bottom w:val="none" w:sz="0" w:space="0" w:color="auto"/>
        <w:right w:val="none" w:sz="0" w:space="0" w:color="auto"/>
      </w:divBdr>
    </w:div>
    <w:div w:id="663514044">
      <w:bodyDiv w:val="1"/>
      <w:marLeft w:val="0"/>
      <w:marRight w:val="0"/>
      <w:marTop w:val="0"/>
      <w:marBottom w:val="0"/>
      <w:divBdr>
        <w:top w:val="none" w:sz="0" w:space="0" w:color="auto"/>
        <w:left w:val="none" w:sz="0" w:space="0" w:color="auto"/>
        <w:bottom w:val="none" w:sz="0" w:space="0" w:color="auto"/>
        <w:right w:val="none" w:sz="0" w:space="0" w:color="auto"/>
      </w:divBdr>
    </w:div>
    <w:div w:id="665472437">
      <w:bodyDiv w:val="1"/>
      <w:marLeft w:val="0"/>
      <w:marRight w:val="0"/>
      <w:marTop w:val="0"/>
      <w:marBottom w:val="0"/>
      <w:divBdr>
        <w:top w:val="none" w:sz="0" w:space="0" w:color="auto"/>
        <w:left w:val="none" w:sz="0" w:space="0" w:color="auto"/>
        <w:bottom w:val="none" w:sz="0" w:space="0" w:color="auto"/>
        <w:right w:val="none" w:sz="0" w:space="0" w:color="auto"/>
      </w:divBdr>
    </w:div>
    <w:div w:id="669481706">
      <w:bodyDiv w:val="1"/>
      <w:marLeft w:val="0"/>
      <w:marRight w:val="0"/>
      <w:marTop w:val="0"/>
      <w:marBottom w:val="0"/>
      <w:divBdr>
        <w:top w:val="none" w:sz="0" w:space="0" w:color="auto"/>
        <w:left w:val="none" w:sz="0" w:space="0" w:color="auto"/>
        <w:bottom w:val="none" w:sz="0" w:space="0" w:color="auto"/>
        <w:right w:val="none" w:sz="0" w:space="0" w:color="auto"/>
      </w:divBdr>
    </w:div>
    <w:div w:id="681903097">
      <w:bodyDiv w:val="1"/>
      <w:marLeft w:val="0"/>
      <w:marRight w:val="0"/>
      <w:marTop w:val="0"/>
      <w:marBottom w:val="0"/>
      <w:divBdr>
        <w:top w:val="none" w:sz="0" w:space="0" w:color="auto"/>
        <w:left w:val="none" w:sz="0" w:space="0" w:color="auto"/>
        <w:bottom w:val="none" w:sz="0" w:space="0" w:color="auto"/>
        <w:right w:val="none" w:sz="0" w:space="0" w:color="auto"/>
      </w:divBdr>
    </w:div>
    <w:div w:id="690960771">
      <w:bodyDiv w:val="1"/>
      <w:marLeft w:val="0"/>
      <w:marRight w:val="0"/>
      <w:marTop w:val="0"/>
      <w:marBottom w:val="0"/>
      <w:divBdr>
        <w:top w:val="none" w:sz="0" w:space="0" w:color="auto"/>
        <w:left w:val="none" w:sz="0" w:space="0" w:color="auto"/>
        <w:bottom w:val="none" w:sz="0" w:space="0" w:color="auto"/>
        <w:right w:val="none" w:sz="0" w:space="0" w:color="auto"/>
      </w:divBdr>
    </w:div>
    <w:div w:id="695540546">
      <w:bodyDiv w:val="1"/>
      <w:marLeft w:val="0"/>
      <w:marRight w:val="0"/>
      <w:marTop w:val="0"/>
      <w:marBottom w:val="0"/>
      <w:divBdr>
        <w:top w:val="none" w:sz="0" w:space="0" w:color="auto"/>
        <w:left w:val="none" w:sz="0" w:space="0" w:color="auto"/>
        <w:bottom w:val="none" w:sz="0" w:space="0" w:color="auto"/>
        <w:right w:val="none" w:sz="0" w:space="0" w:color="auto"/>
      </w:divBdr>
    </w:div>
    <w:div w:id="699086911">
      <w:bodyDiv w:val="1"/>
      <w:marLeft w:val="0"/>
      <w:marRight w:val="0"/>
      <w:marTop w:val="0"/>
      <w:marBottom w:val="0"/>
      <w:divBdr>
        <w:top w:val="none" w:sz="0" w:space="0" w:color="auto"/>
        <w:left w:val="none" w:sz="0" w:space="0" w:color="auto"/>
        <w:bottom w:val="none" w:sz="0" w:space="0" w:color="auto"/>
        <w:right w:val="none" w:sz="0" w:space="0" w:color="auto"/>
      </w:divBdr>
    </w:div>
    <w:div w:id="718240831">
      <w:bodyDiv w:val="1"/>
      <w:marLeft w:val="0"/>
      <w:marRight w:val="0"/>
      <w:marTop w:val="0"/>
      <w:marBottom w:val="0"/>
      <w:divBdr>
        <w:top w:val="none" w:sz="0" w:space="0" w:color="auto"/>
        <w:left w:val="none" w:sz="0" w:space="0" w:color="auto"/>
        <w:bottom w:val="none" w:sz="0" w:space="0" w:color="auto"/>
        <w:right w:val="none" w:sz="0" w:space="0" w:color="auto"/>
      </w:divBdr>
    </w:div>
    <w:div w:id="730035010">
      <w:bodyDiv w:val="1"/>
      <w:marLeft w:val="0"/>
      <w:marRight w:val="0"/>
      <w:marTop w:val="0"/>
      <w:marBottom w:val="0"/>
      <w:divBdr>
        <w:top w:val="none" w:sz="0" w:space="0" w:color="auto"/>
        <w:left w:val="none" w:sz="0" w:space="0" w:color="auto"/>
        <w:bottom w:val="none" w:sz="0" w:space="0" w:color="auto"/>
        <w:right w:val="none" w:sz="0" w:space="0" w:color="auto"/>
      </w:divBdr>
    </w:div>
    <w:div w:id="743796329">
      <w:bodyDiv w:val="1"/>
      <w:marLeft w:val="0"/>
      <w:marRight w:val="0"/>
      <w:marTop w:val="0"/>
      <w:marBottom w:val="0"/>
      <w:divBdr>
        <w:top w:val="none" w:sz="0" w:space="0" w:color="auto"/>
        <w:left w:val="none" w:sz="0" w:space="0" w:color="auto"/>
        <w:bottom w:val="none" w:sz="0" w:space="0" w:color="auto"/>
        <w:right w:val="none" w:sz="0" w:space="0" w:color="auto"/>
      </w:divBdr>
    </w:div>
    <w:div w:id="745106196">
      <w:bodyDiv w:val="1"/>
      <w:marLeft w:val="0"/>
      <w:marRight w:val="0"/>
      <w:marTop w:val="0"/>
      <w:marBottom w:val="0"/>
      <w:divBdr>
        <w:top w:val="none" w:sz="0" w:space="0" w:color="auto"/>
        <w:left w:val="none" w:sz="0" w:space="0" w:color="auto"/>
        <w:bottom w:val="none" w:sz="0" w:space="0" w:color="auto"/>
        <w:right w:val="none" w:sz="0" w:space="0" w:color="auto"/>
      </w:divBdr>
      <w:divsChild>
        <w:div w:id="540288584">
          <w:marLeft w:val="1138"/>
          <w:marRight w:val="0"/>
          <w:marTop w:val="0"/>
          <w:marBottom w:val="0"/>
          <w:divBdr>
            <w:top w:val="none" w:sz="0" w:space="0" w:color="auto"/>
            <w:left w:val="none" w:sz="0" w:space="0" w:color="auto"/>
            <w:bottom w:val="none" w:sz="0" w:space="0" w:color="auto"/>
            <w:right w:val="none" w:sz="0" w:space="0" w:color="auto"/>
          </w:divBdr>
        </w:div>
        <w:div w:id="565840594">
          <w:marLeft w:val="1138"/>
          <w:marRight w:val="0"/>
          <w:marTop w:val="0"/>
          <w:marBottom w:val="0"/>
          <w:divBdr>
            <w:top w:val="none" w:sz="0" w:space="0" w:color="auto"/>
            <w:left w:val="none" w:sz="0" w:space="0" w:color="auto"/>
            <w:bottom w:val="none" w:sz="0" w:space="0" w:color="auto"/>
            <w:right w:val="none" w:sz="0" w:space="0" w:color="auto"/>
          </w:divBdr>
        </w:div>
        <w:div w:id="579483735">
          <w:marLeft w:val="1138"/>
          <w:marRight w:val="0"/>
          <w:marTop w:val="0"/>
          <w:marBottom w:val="0"/>
          <w:divBdr>
            <w:top w:val="none" w:sz="0" w:space="0" w:color="auto"/>
            <w:left w:val="none" w:sz="0" w:space="0" w:color="auto"/>
            <w:bottom w:val="none" w:sz="0" w:space="0" w:color="auto"/>
            <w:right w:val="none" w:sz="0" w:space="0" w:color="auto"/>
          </w:divBdr>
        </w:div>
        <w:div w:id="1256473874">
          <w:marLeft w:val="1138"/>
          <w:marRight w:val="0"/>
          <w:marTop w:val="0"/>
          <w:marBottom w:val="0"/>
          <w:divBdr>
            <w:top w:val="none" w:sz="0" w:space="0" w:color="auto"/>
            <w:left w:val="none" w:sz="0" w:space="0" w:color="auto"/>
            <w:bottom w:val="none" w:sz="0" w:space="0" w:color="auto"/>
            <w:right w:val="none" w:sz="0" w:space="0" w:color="auto"/>
          </w:divBdr>
        </w:div>
      </w:divsChild>
    </w:div>
    <w:div w:id="754716159">
      <w:bodyDiv w:val="1"/>
      <w:marLeft w:val="0"/>
      <w:marRight w:val="0"/>
      <w:marTop w:val="0"/>
      <w:marBottom w:val="0"/>
      <w:divBdr>
        <w:top w:val="none" w:sz="0" w:space="0" w:color="auto"/>
        <w:left w:val="none" w:sz="0" w:space="0" w:color="auto"/>
        <w:bottom w:val="none" w:sz="0" w:space="0" w:color="auto"/>
        <w:right w:val="none" w:sz="0" w:space="0" w:color="auto"/>
      </w:divBdr>
    </w:div>
    <w:div w:id="757335633">
      <w:bodyDiv w:val="1"/>
      <w:marLeft w:val="0"/>
      <w:marRight w:val="0"/>
      <w:marTop w:val="0"/>
      <w:marBottom w:val="0"/>
      <w:divBdr>
        <w:top w:val="none" w:sz="0" w:space="0" w:color="auto"/>
        <w:left w:val="none" w:sz="0" w:space="0" w:color="auto"/>
        <w:bottom w:val="none" w:sz="0" w:space="0" w:color="auto"/>
        <w:right w:val="none" w:sz="0" w:space="0" w:color="auto"/>
      </w:divBdr>
    </w:div>
    <w:div w:id="767386500">
      <w:bodyDiv w:val="1"/>
      <w:marLeft w:val="0"/>
      <w:marRight w:val="0"/>
      <w:marTop w:val="0"/>
      <w:marBottom w:val="0"/>
      <w:divBdr>
        <w:top w:val="none" w:sz="0" w:space="0" w:color="auto"/>
        <w:left w:val="none" w:sz="0" w:space="0" w:color="auto"/>
        <w:bottom w:val="none" w:sz="0" w:space="0" w:color="auto"/>
        <w:right w:val="none" w:sz="0" w:space="0" w:color="auto"/>
      </w:divBdr>
    </w:div>
    <w:div w:id="770904404">
      <w:bodyDiv w:val="1"/>
      <w:marLeft w:val="0"/>
      <w:marRight w:val="0"/>
      <w:marTop w:val="0"/>
      <w:marBottom w:val="0"/>
      <w:divBdr>
        <w:top w:val="none" w:sz="0" w:space="0" w:color="auto"/>
        <w:left w:val="none" w:sz="0" w:space="0" w:color="auto"/>
        <w:bottom w:val="none" w:sz="0" w:space="0" w:color="auto"/>
        <w:right w:val="none" w:sz="0" w:space="0" w:color="auto"/>
      </w:divBdr>
    </w:div>
    <w:div w:id="777913448">
      <w:bodyDiv w:val="1"/>
      <w:marLeft w:val="0"/>
      <w:marRight w:val="0"/>
      <w:marTop w:val="0"/>
      <w:marBottom w:val="0"/>
      <w:divBdr>
        <w:top w:val="none" w:sz="0" w:space="0" w:color="auto"/>
        <w:left w:val="none" w:sz="0" w:space="0" w:color="auto"/>
        <w:bottom w:val="none" w:sz="0" w:space="0" w:color="auto"/>
        <w:right w:val="none" w:sz="0" w:space="0" w:color="auto"/>
      </w:divBdr>
    </w:div>
    <w:div w:id="787897058">
      <w:bodyDiv w:val="1"/>
      <w:marLeft w:val="0"/>
      <w:marRight w:val="0"/>
      <w:marTop w:val="0"/>
      <w:marBottom w:val="0"/>
      <w:divBdr>
        <w:top w:val="none" w:sz="0" w:space="0" w:color="auto"/>
        <w:left w:val="none" w:sz="0" w:space="0" w:color="auto"/>
        <w:bottom w:val="none" w:sz="0" w:space="0" w:color="auto"/>
        <w:right w:val="none" w:sz="0" w:space="0" w:color="auto"/>
      </w:divBdr>
    </w:div>
    <w:div w:id="802233084">
      <w:bodyDiv w:val="1"/>
      <w:marLeft w:val="0"/>
      <w:marRight w:val="0"/>
      <w:marTop w:val="0"/>
      <w:marBottom w:val="0"/>
      <w:divBdr>
        <w:top w:val="none" w:sz="0" w:space="0" w:color="auto"/>
        <w:left w:val="none" w:sz="0" w:space="0" w:color="auto"/>
        <w:bottom w:val="none" w:sz="0" w:space="0" w:color="auto"/>
        <w:right w:val="none" w:sz="0" w:space="0" w:color="auto"/>
      </w:divBdr>
    </w:div>
    <w:div w:id="818116520">
      <w:bodyDiv w:val="1"/>
      <w:marLeft w:val="0"/>
      <w:marRight w:val="0"/>
      <w:marTop w:val="0"/>
      <w:marBottom w:val="0"/>
      <w:divBdr>
        <w:top w:val="none" w:sz="0" w:space="0" w:color="auto"/>
        <w:left w:val="none" w:sz="0" w:space="0" w:color="auto"/>
        <w:bottom w:val="none" w:sz="0" w:space="0" w:color="auto"/>
        <w:right w:val="none" w:sz="0" w:space="0" w:color="auto"/>
      </w:divBdr>
      <w:divsChild>
        <w:div w:id="764882837">
          <w:marLeft w:val="1123"/>
          <w:marRight w:val="0"/>
          <w:marTop w:val="0"/>
          <w:marBottom w:val="0"/>
          <w:divBdr>
            <w:top w:val="none" w:sz="0" w:space="0" w:color="auto"/>
            <w:left w:val="none" w:sz="0" w:space="0" w:color="auto"/>
            <w:bottom w:val="none" w:sz="0" w:space="0" w:color="auto"/>
            <w:right w:val="none" w:sz="0" w:space="0" w:color="auto"/>
          </w:divBdr>
        </w:div>
        <w:div w:id="932326117">
          <w:marLeft w:val="1123"/>
          <w:marRight w:val="0"/>
          <w:marTop w:val="0"/>
          <w:marBottom w:val="0"/>
          <w:divBdr>
            <w:top w:val="none" w:sz="0" w:space="0" w:color="auto"/>
            <w:left w:val="none" w:sz="0" w:space="0" w:color="auto"/>
            <w:bottom w:val="none" w:sz="0" w:space="0" w:color="auto"/>
            <w:right w:val="none" w:sz="0" w:space="0" w:color="auto"/>
          </w:divBdr>
        </w:div>
        <w:div w:id="1443038735">
          <w:marLeft w:val="1123"/>
          <w:marRight w:val="0"/>
          <w:marTop w:val="0"/>
          <w:marBottom w:val="0"/>
          <w:divBdr>
            <w:top w:val="none" w:sz="0" w:space="0" w:color="auto"/>
            <w:left w:val="none" w:sz="0" w:space="0" w:color="auto"/>
            <w:bottom w:val="none" w:sz="0" w:space="0" w:color="auto"/>
            <w:right w:val="none" w:sz="0" w:space="0" w:color="auto"/>
          </w:divBdr>
        </w:div>
        <w:div w:id="1836337735">
          <w:marLeft w:val="1123"/>
          <w:marRight w:val="0"/>
          <w:marTop w:val="0"/>
          <w:marBottom w:val="0"/>
          <w:divBdr>
            <w:top w:val="none" w:sz="0" w:space="0" w:color="auto"/>
            <w:left w:val="none" w:sz="0" w:space="0" w:color="auto"/>
            <w:bottom w:val="none" w:sz="0" w:space="0" w:color="auto"/>
            <w:right w:val="none" w:sz="0" w:space="0" w:color="auto"/>
          </w:divBdr>
        </w:div>
      </w:divsChild>
    </w:div>
    <w:div w:id="820346812">
      <w:bodyDiv w:val="1"/>
      <w:marLeft w:val="0"/>
      <w:marRight w:val="0"/>
      <w:marTop w:val="0"/>
      <w:marBottom w:val="0"/>
      <w:divBdr>
        <w:top w:val="none" w:sz="0" w:space="0" w:color="auto"/>
        <w:left w:val="none" w:sz="0" w:space="0" w:color="auto"/>
        <w:bottom w:val="none" w:sz="0" w:space="0" w:color="auto"/>
        <w:right w:val="none" w:sz="0" w:space="0" w:color="auto"/>
      </w:divBdr>
    </w:div>
    <w:div w:id="824971649">
      <w:bodyDiv w:val="1"/>
      <w:marLeft w:val="0"/>
      <w:marRight w:val="0"/>
      <w:marTop w:val="0"/>
      <w:marBottom w:val="0"/>
      <w:divBdr>
        <w:top w:val="none" w:sz="0" w:space="0" w:color="auto"/>
        <w:left w:val="none" w:sz="0" w:space="0" w:color="auto"/>
        <w:bottom w:val="none" w:sz="0" w:space="0" w:color="auto"/>
        <w:right w:val="none" w:sz="0" w:space="0" w:color="auto"/>
      </w:divBdr>
    </w:div>
    <w:div w:id="829103003">
      <w:bodyDiv w:val="1"/>
      <w:marLeft w:val="0"/>
      <w:marRight w:val="0"/>
      <w:marTop w:val="0"/>
      <w:marBottom w:val="0"/>
      <w:divBdr>
        <w:top w:val="none" w:sz="0" w:space="0" w:color="auto"/>
        <w:left w:val="none" w:sz="0" w:space="0" w:color="auto"/>
        <w:bottom w:val="none" w:sz="0" w:space="0" w:color="auto"/>
        <w:right w:val="none" w:sz="0" w:space="0" w:color="auto"/>
      </w:divBdr>
    </w:div>
    <w:div w:id="833453827">
      <w:bodyDiv w:val="1"/>
      <w:marLeft w:val="0"/>
      <w:marRight w:val="0"/>
      <w:marTop w:val="0"/>
      <w:marBottom w:val="0"/>
      <w:divBdr>
        <w:top w:val="none" w:sz="0" w:space="0" w:color="auto"/>
        <w:left w:val="none" w:sz="0" w:space="0" w:color="auto"/>
        <w:bottom w:val="none" w:sz="0" w:space="0" w:color="auto"/>
        <w:right w:val="none" w:sz="0" w:space="0" w:color="auto"/>
      </w:divBdr>
    </w:div>
    <w:div w:id="838084649">
      <w:bodyDiv w:val="1"/>
      <w:marLeft w:val="0"/>
      <w:marRight w:val="0"/>
      <w:marTop w:val="0"/>
      <w:marBottom w:val="0"/>
      <w:divBdr>
        <w:top w:val="none" w:sz="0" w:space="0" w:color="auto"/>
        <w:left w:val="none" w:sz="0" w:space="0" w:color="auto"/>
        <w:bottom w:val="none" w:sz="0" w:space="0" w:color="auto"/>
        <w:right w:val="none" w:sz="0" w:space="0" w:color="auto"/>
      </w:divBdr>
    </w:div>
    <w:div w:id="843671453">
      <w:bodyDiv w:val="1"/>
      <w:marLeft w:val="0"/>
      <w:marRight w:val="0"/>
      <w:marTop w:val="0"/>
      <w:marBottom w:val="0"/>
      <w:divBdr>
        <w:top w:val="none" w:sz="0" w:space="0" w:color="auto"/>
        <w:left w:val="none" w:sz="0" w:space="0" w:color="auto"/>
        <w:bottom w:val="none" w:sz="0" w:space="0" w:color="auto"/>
        <w:right w:val="none" w:sz="0" w:space="0" w:color="auto"/>
      </w:divBdr>
    </w:div>
    <w:div w:id="845707693">
      <w:bodyDiv w:val="1"/>
      <w:marLeft w:val="0"/>
      <w:marRight w:val="0"/>
      <w:marTop w:val="0"/>
      <w:marBottom w:val="0"/>
      <w:divBdr>
        <w:top w:val="none" w:sz="0" w:space="0" w:color="auto"/>
        <w:left w:val="none" w:sz="0" w:space="0" w:color="auto"/>
        <w:bottom w:val="none" w:sz="0" w:space="0" w:color="auto"/>
        <w:right w:val="none" w:sz="0" w:space="0" w:color="auto"/>
      </w:divBdr>
    </w:div>
    <w:div w:id="846099050">
      <w:bodyDiv w:val="1"/>
      <w:marLeft w:val="0"/>
      <w:marRight w:val="0"/>
      <w:marTop w:val="0"/>
      <w:marBottom w:val="0"/>
      <w:divBdr>
        <w:top w:val="none" w:sz="0" w:space="0" w:color="auto"/>
        <w:left w:val="none" w:sz="0" w:space="0" w:color="auto"/>
        <w:bottom w:val="none" w:sz="0" w:space="0" w:color="auto"/>
        <w:right w:val="none" w:sz="0" w:space="0" w:color="auto"/>
      </w:divBdr>
    </w:div>
    <w:div w:id="851996510">
      <w:bodyDiv w:val="1"/>
      <w:marLeft w:val="0"/>
      <w:marRight w:val="0"/>
      <w:marTop w:val="0"/>
      <w:marBottom w:val="0"/>
      <w:divBdr>
        <w:top w:val="none" w:sz="0" w:space="0" w:color="auto"/>
        <w:left w:val="none" w:sz="0" w:space="0" w:color="auto"/>
        <w:bottom w:val="none" w:sz="0" w:space="0" w:color="auto"/>
        <w:right w:val="none" w:sz="0" w:space="0" w:color="auto"/>
      </w:divBdr>
    </w:div>
    <w:div w:id="853569795">
      <w:bodyDiv w:val="1"/>
      <w:marLeft w:val="0"/>
      <w:marRight w:val="0"/>
      <w:marTop w:val="0"/>
      <w:marBottom w:val="0"/>
      <w:divBdr>
        <w:top w:val="none" w:sz="0" w:space="0" w:color="auto"/>
        <w:left w:val="none" w:sz="0" w:space="0" w:color="auto"/>
        <w:bottom w:val="none" w:sz="0" w:space="0" w:color="auto"/>
        <w:right w:val="none" w:sz="0" w:space="0" w:color="auto"/>
      </w:divBdr>
    </w:div>
    <w:div w:id="857041128">
      <w:bodyDiv w:val="1"/>
      <w:marLeft w:val="0"/>
      <w:marRight w:val="0"/>
      <w:marTop w:val="0"/>
      <w:marBottom w:val="0"/>
      <w:divBdr>
        <w:top w:val="none" w:sz="0" w:space="0" w:color="auto"/>
        <w:left w:val="none" w:sz="0" w:space="0" w:color="auto"/>
        <w:bottom w:val="none" w:sz="0" w:space="0" w:color="auto"/>
        <w:right w:val="none" w:sz="0" w:space="0" w:color="auto"/>
      </w:divBdr>
    </w:div>
    <w:div w:id="859121048">
      <w:bodyDiv w:val="1"/>
      <w:marLeft w:val="0"/>
      <w:marRight w:val="0"/>
      <w:marTop w:val="0"/>
      <w:marBottom w:val="0"/>
      <w:divBdr>
        <w:top w:val="none" w:sz="0" w:space="0" w:color="auto"/>
        <w:left w:val="none" w:sz="0" w:space="0" w:color="auto"/>
        <w:bottom w:val="none" w:sz="0" w:space="0" w:color="auto"/>
        <w:right w:val="none" w:sz="0" w:space="0" w:color="auto"/>
      </w:divBdr>
    </w:div>
    <w:div w:id="860053012">
      <w:bodyDiv w:val="1"/>
      <w:marLeft w:val="0"/>
      <w:marRight w:val="0"/>
      <w:marTop w:val="0"/>
      <w:marBottom w:val="0"/>
      <w:divBdr>
        <w:top w:val="none" w:sz="0" w:space="0" w:color="auto"/>
        <w:left w:val="none" w:sz="0" w:space="0" w:color="auto"/>
        <w:bottom w:val="none" w:sz="0" w:space="0" w:color="auto"/>
        <w:right w:val="none" w:sz="0" w:space="0" w:color="auto"/>
      </w:divBdr>
    </w:div>
    <w:div w:id="860237635">
      <w:bodyDiv w:val="1"/>
      <w:marLeft w:val="0"/>
      <w:marRight w:val="0"/>
      <w:marTop w:val="0"/>
      <w:marBottom w:val="0"/>
      <w:divBdr>
        <w:top w:val="none" w:sz="0" w:space="0" w:color="auto"/>
        <w:left w:val="none" w:sz="0" w:space="0" w:color="auto"/>
        <w:bottom w:val="none" w:sz="0" w:space="0" w:color="auto"/>
        <w:right w:val="none" w:sz="0" w:space="0" w:color="auto"/>
      </w:divBdr>
    </w:div>
    <w:div w:id="866523801">
      <w:bodyDiv w:val="1"/>
      <w:marLeft w:val="0"/>
      <w:marRight w:val="0"/>
      <w:marTop w:val="0"/>
      <w:marBottom w:val="0"/>
      <w:divBdr>
        <w:top w:val="none" w:sz="0" w:space="0" w:color="auto"/>
        <w:left w:val="none" w:sz="0" w:space="0" w:color="auto"/>
        <w:bottom w:val="none" w:sz="0" w:space="0" w:color="auto"/>
        <w:right w:val="none" w:sz="0" w:space="0" w:color="auto"/>
      </w:divBdr>
    </w:div>
    <w:div w:id="868225820">
      <w:bodyDiv w:val="1"/>
      <w:marLeft w:val="0"/>
      <w:marRight w:val="0"/>
      <w:marTop w:val="0"/>
      <w:marBottom w:val="0"/>
      <w:divBdr>
        <w:top w:val="none" w:sz="0" w:space="0" w:color="auto"/>
        <w:left w:val="none" w:sz="0" w:space="0" w:color="auto"/>
        <w:bottom w:val="none" w:sz="0" w:space="0" w:color="auto"/>
        <w:right w:val="none" w:sz="0" w:space="0" w:color="auto"/>
      </w:divBdr>
    </w:div>
    <w:div w:id="869686485">
      <w:bodyDiv w:val="1"/>
      <w:marLeft w:val="0"/>
      <w:marRight w:val="0"/>
      <w:marTop w:val="0"/>
      <w:marBottom w:val="0"/>
      <w:divBdr>
        <w:top w:val="none" w:sz="0" w:space="0" w:color="auto"/>
        <w:left w:val="none" w:sz="0" w:space="0" w:color="auto"/>
        <w:bottom w:val="none" w:sz="0" w:space="0" w:color="auto"/>
        <w:right w:val="none" w:sz="0" w:space="0" w:color="auto"/>
      </w:divBdr>
      <w:divsChild>
        <w:div w:id="575820854">
          <w:marLeft w:val="1541"/>
          <w:marRight w:val="0"/>
          <w:marTop w:val="0"/>
          <w:marBottom w:val="0"/>
          <w:divBdr>
            <w:top w:val="none" w:sz="0" w:space="0" w:color="auto"/>
            <w:left w:val="none" w:sz="0" w:space="0" w:color="auto"/>
            <w:bottom w:val="none" w:sz="0" w:space="0" w:color="auto"/>
            <w:right w:val="none" w:sz="0" w:space="0" w:color="auto"/>
          </w:divBdr>
        </w:div>
        <w:div w:id="1292059706">
          <w:marLeft w:val="1541"/>
          <w:marRight w:val="0"/>
          <w:marTop w:val="0"/>
          <w:marBottom w:val="0"/>
          <w:divBdr>
            <w:top w:val="none" w:sz="0" w:space="0" w:color="auto"/>
            <w:left w:val="none" w:sz="0" w:space="0" w:color="auto"/>
            <w:bottom w:val="none" w:sz="0" w:space="0" w:color="auto"/>
            <w:right w:val="none" w:sz="0" w:space="0" w:color="auto"/>
          </w:divBdr>
        </w:div>
        <w:div w:id="1822497910">
          <w:marLeft w:val="1541"/>
          <w:marRight w:val="0"/>
          <w:marTop w:val="0"/>
          <w:marBottom w:val="0"/>
          <w:divBdr>
            <w:top w:val="none" w:sz="0" w:space="0" w:color="auto"/>
            <w:left w:val="none" w:sz="0" w:space="0" w:color="auto"/>
            <w:bottom w:val="none" w:sz="0" w:space="0" w:color="auto"/>
            <w:right w:val="none" w:sz="0" w:space="0" w:color="auto"/>
          </w:divBdr>
        </w:div>
        <w:div w:id="1835023220">
          <w:marLeft w:val="1541"/>
          <w:marRight w:val="0"/>
          <w:marTop w:val="0"/>
          <w:marBottom w:val="0"/>
          <w:divBdr>
            <w:top w:val="none" w:sz="0" w:space="0" w:color="auto"/>
            <w:left w:val="none" w:sz="0" w:space="0" w:color="auto"/>
            <w:bottom w:val="none" w:sz="0" w:space="0" w:color="auto"/>
            <w:right w:val="none" w:sz="0" w:space="0" w:color="auto"/>
          </w:divBdr>
        </w:div>
        <w:div w:id="1905144859">
          <w:marLeft w:val="1541"/>
          <w:marRight w:val="0"/>
          <w:marTop w:val="0"/>
          <w:marBottom w:val="0"/>
          <w:divBdr>
            <w:top w:val="none" w:sz="0" w:space="0" w:color="auto"/>
            <w:left w:val="none" w:sz="0" w:space="0" w:color="auto"/>
            <w:bottom w:val="none" w:sz="0" w:space="0" w:color="auto"/>
            <w:right w:val="none" w:sz="0" w:space="0" w:color="auto"/>
          </w:divBdr>
        </w:div>
        <w:div w:id="2119762342">
          <w:marLeft w:val="1541"/>
          <w:marRight w:val="0"/>
          <w:marTop w:val="0"/>
          <w:marBottom w:val="0"/>
          <w:divBdr>
            <w:top w:val="none" w:sz="0" w:space="0" w:color="auto"/>
            <w:left w:val="none" w:sz="0" w:space="0" w:color="auto"/>
            <w:bottom w:val="none" w:sz="0" w:space="0" w:color="auto"/>
            <w:right w:val="none" w:sz="0" w:space="0" w:color="auto"/>
          </w:divBdr>
        </w:div>
      </w:divsChild>
    </w:div>
    <w:div w:id="871769080">
      <w:bodyDiv w:val="1"/>
      <w:marLeft w:val="0"/>
      <w:marRight w:val="0"/>
      <w:marTop w:val="0"/>
      <w:marBottom w:val="0"/>
      <w:divBdr>
        <w:top w:val="none" w:sz="0" w:space="0" w:color="auto"/>
        <w:left w:val="none" w:sz="0" w:space="0" w:color="auto"/>
        <w:bottom w:val="none" w:sz="0" w:space="0" w:color="auto"/>
        <w:right w:val="none" w:sz="0" w:space="0" w:color="auto"/>
      </w:divBdr>
    </w:div>
    <w:div w:id="877817119">
      <w:bodyDiv w:val="1"/>
      <w:marLeft w:val="0"/>
      <w:marRight w:val="0"/>
      <w:marTop w:val="0"/>
      <w:marBottom w:val="0"/>
      <w:divBdr>
        <w:top w:val="none" w:sz="0" w:space="0" w:color="auto"/>
        <w:left w:val="none" w:sz="0" w:space="0" w:color="auto"/>
        <w:bottom w:val="none" w:sz="0" w:space="0" w:color="auto"/>
        <w:right w:val="none" w:sz="0" w:space="0" w:color="auto"/>
      </w:divBdr>
    </w:div>
    <w:div w:id="878128876">
      <w:bodyDiv w:val="1"/>
      <w:marLeft w:val="0"/>
      <w:marRight w:val="0"/>
      <w:marTop w:val="0"/>
      <w:marBottom w:val="0"/>
      <w:divBdr>
        <w:top w:val="none" w:sz="0" w:space="0" w:color="auto"/>
        <w:left w:val="none" w:sz="0" w:space="0" w:color="auto"/>
        <w:bottom w:val="none" w:sz="0" w:space="0" w:color="auto"/>
        <w:right w:val="none" w:sz="0" w:space="0" w:color="auto"/>
      </w:divBdr>
    </w:div>
    <w:div w:id="883178698">
      <w:bodyDiv w:val="1"/>
      <w:marLeft w:val="0"/>
      <w:marRight w:val="0"/>
      <w:marTop w:val="0"/>
      <w:marBottom w:val="0"/>
      <w:divBdr>
        <w:top w:val="none" w:sz="0" w:space="0" w:color="auto"/>
        <w:left w:val="none" w:sz="0" w:space="0" w:color="auto"/>
        <w:bottom w:val="none" w:sz="0" w:space="0" w:color="auto"/>
        <w:right w:val="none" w:sz="0" w:space="0" w:color="auto"/>
      </w:divBdr>
    </w:div>
    <w:div w:id="886456950">
      <w:bodyDiv w:val="1"/>
      <w:marLeft w:val="0"/>
      <w:marRight w:val="0"/>
      <w:marTop w:val="0"/>
      <w:marBottom w:val="0"/>
      <w:divBdr>
        <w:top w:val="none" w:sz="0" w:space="0" w:color="auto"/>
        <w:left w:val="none" w:sz="0" w:space="0" w:color="auto"/>
        <w:bottom w:val="none" w:sz="0" w:space="0" w:color="auto"/>
        <w:right w:val="none" w:sz="0" w:space="0" w:color="auto"/>
      </w:divBdr>
    </w:div>
    <w:div w:id="892958823">
      <w:bodyDiv w:val="1"/>
      <w:marLeft w:val="0"/>
      <w:marRight w:val="0"/>
      <w:marTop w:val="0"/>
      <w:marBottom w:val="0"/>
      <w:divBdr>
        <w:top w:val="none" w:sz="0" w:space="0" w:color="auto"/>
        <w:left w:val="none" w:sz="0" w:space="0" w:color="auto"/>
        <w:bottom w:val="none" w:sz="0" w:space="0" w:color="auto"/>
        <w:right w:val="none" w:sz="0" w:space="0" w:color="auto"/>
      </w:divBdr>
      <w:divsChild>
        <w:div w:id="1833445060">
          <w:marLeft w:val="720"/>
          <w:marRight w:val="0"/>
          <w:marTop w:val="0"/>
          <w:marBottom w:val="0"/>
          <w:divBdr>
            <w:top w:val="none" w:sz="0" w:space="0" w:color="auto"/>
            <w:left w:val="none" w:sz="0" w:space="0" w:color="auto"/>
            <w:bottom w:val="none" w:sz="0" w:space="0" w:color="auto"/>
            <w:right w:val="none" w:sz="0" w:space="0" w:color="auto"/>
          </w:divBdr>
        </w:div>
      </w:divsChild>
    </w:div>
    <w:div w:id="903179449">
      <w:bodyDiv w:val="1"/>
      <w:marLeft w:val="0"/>
      <w:marRight w:val="0"/>
      <w:marTop w:val="0"/>
      <w:marBottom w:val="0"/>
      <w:divBdr>
        <w:top w:val="none" w:sz="0" w:space="0" w:color="auto"/>
        <w:left w:val="none" w:sz="0" w:space="0" w:color="auto"/>
        <w:bottom w:val="none" w:sz="0" w:space="0" w:color="auto"/>
        <w:right w:val="none" w:sz="0" w:space="0" w:color="auto"/>
      </w:divBdr>
    </w:div>
    <w:div w:id="922178242">
      <w:bodyDiv w:val="1"/>
      <w:marLeft w:val="0"/>
      <w:marRight w:val="0"/>
      <w:marTop w:val="0"/>
      <w:marBottom w:val="0"/>
      <w:divBdr>
        <w:top w:val="none" w:sz="0" w:space="0" w:color="auto"/>
        <w:left w:val="none" w:sz="0" w:space="0" w:color="auto"/>
        <w:bottom w:val="none" w:sz="0" w:space="0" w:color="auto"/>
        <w:right w:val="none" w:sz="0" w:space="0" w:color="auto"/>
      </w:divBdr>
    </w:div>
    <w:div w:id="924845426">
      <w:bodyDiv w:val="1"/>
      <w:marLeft w:val="0"/>
      <w:marRight w:val="0"/>
      <w:marTop w:val="0"/>
      <w:marBottom w:val="0"/>
      <w:divBdr>
        <w:top w:val="none" w:sz="0" w:space="0" w:color="auto"/>
        <w:left w:val="none" w:sz="0" w:space="0" w:color="auto"/>
        <w:bottom w:val="none" w:sz="0" w:space="0" w:color="auto"/>
        <w:right w:val="none" w:sz="0" w:space="0" w:color="auto"/>
      </w:divBdr>
    </w:div>
    <w:div w:id="934441570">
      <w:bodyDiv w:val="1"/>
      <w:marLeft w:val="0"/>
      <w:marRight w:val="0"/>
      <w:marTop w:val="0"/>
      <w:marBottom w:val="0"/>
      <w:divBdr>
        <w:top w:val="none" w:sz="0" w:space="0" w:color="auto"/>
        <w:left w:val="none" w:sz="0" w:space="0" w:color="auto"/>
        <w:bottom w:val="none" w:sz="0" w:space="0" w:color="auto"/>
        <w:right w:val="none" w:sz="0" w:space="0" w:color="auto"/>
      </w:divBdr>
      <w:divsChild>
        <w:div w:id="642153558">
          <w:marLeft w:val="1440"/>
          <w:marRight w:val="0"/>
          <w:marTop w:val="0"/>
          <w:marBottom w:val="0"/>
          <w:divBdr>
            <w:top w:val="none" w:sz="0" w:space="0" w:color="auto"/>
            <w:left w:val="none" w:sz="0" w:space="0" w:color="auto"/>
            <w:bottom w:val="none" w:sz="0" w:space="0" w:color="auto"/>
            <w:right w:val="none" w:sz="0" w:space="0" w:color="auto"/>
          </w:divBdr>
        </w:div>
        <w:div w:id="699355250">
          <w:marLeft w:val="1440"/>
          <w:marRight w:val="0"/>
          <w:marTop w:val="0"/>
          <w:marBottom w:val="0"/>
          <w:divBdr>
            <w:top w:val="none" w:sz="0" w:space="0" w:color="auto"/>
            <w:left w:val="none" w:sz="0" w:space="0" w:color="auto"/>
            <w:bottom w:val="none" w:sz="0" w:space="0" w:color="auto"/>
            <w:right w:val="none" w:sz="0" w:space="0" w:color="auto"/>
          </w:divBdr>
        </w:div>
        <w:div w:id="1069231810">
          <w:marLeft w:val="1440"/>
          <w:marRight w:val="0"/>
          <w:marTop w:val="0"/>
          <w:marBottom w:val="0"/>
          <w:divBdr>
            <w:top w:val="none" w:sz="0" w:space="0" w:color="auto"/>
            <w:left w:val="none" w:sz="0" w:space="0" w:color="auto"/>
            <w:bottom w:val="none" w:sz="0" w:space="0" w:color="auto"/>
            <w:right w:val="none" w:sz="0" w:space="0" w:color="auto"/>
          </w:divBdr>
        </w:div>
        <w:div w:id="1428384856">
          <w:marLeft w:val="1440"/>
          <w:marRight w:val="0"/>
          <w:marTop w:val="0"/>
          <w:marBottom w:val="0"/>
          <w:divBdr>
            <w:top w:val="none" w:sz="0" w:space="0" w:color="auto"/>
            <w:left w:val="none" w:sz="0" w:space="0" w:color="auto"/>
            <w:bottom w:val="none" w:sz="0" w:space="0" w:color="auto"/>
            <w:right w:val="none" w:sz="0" w:space="0" w:color="auto"/>
          </w:divBdr>
        </w:div>
      </w:divsChild>
    </w:div>
    <w:div w:id="936988879">
      <w:bodyDiv w:val="1"/>
      <w:marLeft w:val="0"/>
      <w:marRight w:val="0"/>
      <w:marTop w:val="0"/>
      <w:marBottom w:val="0"/>
      <w:divBdr>
        <w:top w:val="none" w:sz="0" w:space="0" w:color="auto"/>
        <w:left w:val="none" w:sz="0" w:space="0" w:color="auto"/>
        <w:bottom w:val="none" w:sz="0" w:space="0" w:color="auto"/>
        <w:right w:val="none" w:sz="0" w:space="0" w:color="auto"/>
      </w:divBdr>
    </w:div>
    <w:div w:id="937981976">
      <w:bodyDiv w:val="1"/>
      <w:marLeft w:val="0"/>
      <w:marRight w:val="0"/>
      <w:marTop w:val="0"/>
      <w:marBottom w:val="0"/>
      <w:divBdr>
        <w:top w:val="none" w:sz="0" w:space="0" w:color="auto"/>
        <w:left w:val="none" w:sz="0" w:space="0" w:color="auto"/>
        <w:bottom w:val="none" w:sz="0" w:space="0" w:color="auto"/>
        <w:right w:val="none" w:sz="0" w:space="0" w:color="auto"/>
      </w:divBdr>
    </w:div>
    <w:div w:id="941571247">
      <w:bodyDiv w:val="1"/>
      <w:marLeft w:val="0"/>
      <w:marRight w:val="0"/>
      <w:marTop w:val="0"/>
      <w:marBottom w:val="0"/>
      <w:divBdr>
        <w:top w:val="none" w:sz="0" w:space="0" w:color="auto"/>
        <w:left w:val="none" w:sz="0" w:space="0" w:color="auto"/>
        <w:bottom w:val="none" w:sz="0" w:space="0" w:color="auto"/>
        <w:right w:val="none" w:sz="0" w:space="0" w:color="auto"/>
      </w:divBdr>
    </w:div>
    <w:div w:id="943265752">
      <w:bodyDiv w:val="1"/>
      <w:marLeft w:val="0"/>
      <w:marRight w:val="0"/>
      <w:marTop w:val="0"/>
      <w:marBottom w:val="0"/>
      <w:divBdr>
        <w:top w:val="none" w:sz="0" w:space="0" w:color="auto"/>
        <w:left w:val="none" w:sz="0" w:space="0" w:color="auto"/>
        <w:bottom w:val="none" w:sz="0" w:space="0" w:color="auto"/>
        <w:right w:val="none" w:sz="0" w:space="0" w:color="auto"/>
      </w:divBdr>
    </w:div>
    <w:div w:id="943997237">
      <w:bodyDiv w:val="1"/>
      <w:marLeft w:val="0"/>
      <w:marRight w:val="0"/>
      <w:marTop w:val="0"/>
      <w:marBottom w:val="0"/>
      <w:divBdr>
        <w:top w:val="none" w:sz="0" w:space="0" w:color="auto"/>
        <w:left w:val="none" w:sz="0" w:space="0" w:color="auto"/>
        <w:bottom w:val="none" w:sz="0" w:space="0" w:color="auto"/>
        <w:right w:val="none" w:sz="0" w:space="0" w:color="auto"/>
      </w:divBdr>
    </w:div>
    <w:div w:id="956570189">
      <w:bodyDiv w:val="1"/>
      <w:marLeft w:val="0"/>
      <w:marRight w:val="0"/>
      <w:marTop w:val="0"/>
      <w:marBottom w:val="0"/>
      <w:divBdr>
        <w:top w:val="none" w:sz="0" w:space="0" w:color="auto"/>
        <w:left w:val="none" w:sz="0" w:space="0" w:color="auto"/>
        <w:bottom w:val="none" w:sz="0" w:space="0" w:color="auto"/>
        <w:right w:val="none" w:sz="0" w:space="0" w:color="auto"/>
      </w:divBdr>
    </w:div>
    <w:div w:id="959728702">
      <w:bodyDiv w:val="1"/>
      <w:marLeft w:val="0"/>
      <w:marRight w:val="0"/>
      <w:marTop w:val="0"/>
      <w:marBottom w:val="0"/>
      <w:divBdr>
        <w:top w:val="none" w:sz="0" w:space="0" w:color="auto"/>
        <w:left w:val="none" w:sz="0" w:space="0" w:color="auto"/>
        <w:bottom w:val="none" w:sz="0" w:space="0" w:color="auto"/>
        <w:right w:val="none" w:sz="0" w:space="0" w:color="auto"/>
      </w:divBdr>
    </w:div>
    <w:div w:id="965352913">
      <w:bodyDiv w:val="1"/>
      <w:marLeft w:val="0"/>
      <w:marRight w:val="0"/>
      <w:marTop w:val="0"/>
      <w:marBottom w:val="0"/>
      <w:divBdr>
        <w:top w:val="none" w:sz="0" w:space="0" w:color="auto"/>
        <w:left w:val="none" w:sz="0" w:space="0" w:color="auto"/>
        <w:bottom w:val="none" w:sz="0" w:space="0" w:color="auto"/>
        <w:right w:val="none" w:sz="0" w:space="0" w:color="auto"/>
      </w:divBdr>
    </w:div>
    <w:div w:id="969095736">
      <w:bodyDiv w:val="1"/>
      <w:marLeft w:val="0"/>
      <w:marRight w:val="0"/>
      <w:marTop w:val="0"/>
      <w:marBottom w:val="0"/>
      <w:divBdr>
        <w:top w:val="none" w:sz="0" w:space="0" w:color="auto"/>
        <w:left w:val="none" w:sz="0" w:space="0" w:color="auto"/>
        <w:bottom w:val="none" w:sz="0" w:space="0" w:color="auto"/>
        <w:right w:val="none" w:sz="0" w:space="0" w:color="auto"/>
      </w:divBdr>
    </w:div>
    <w:div w:id="970868700">
      <w:bodyDiv w:val="1"/>
      <w:marLeft w:val="0"/>
      <w:marRight w:val="0"/>
      <w:marTop w:val="0"/>
      <w:marBottom w:val="0"/>
      <w:divBdr>
        <w:top w:val="none" w:sz="0" w:space="0" w:color="auto"/>
        <w:left w:val="none" w:sz="0" w:space="0" w:color="auto"/>
        <w:bottom w:val="none" w:sz="0" w:space="0" w:color="auto"/>
        <w:right w:val="none" w:sz="0" w:space="0" w:color="auto"/>
      </w:divBdr>
    </w:div>
    <w:div w:id="989358420">
      <w:bodyDiv w:val="1"/>
      <w:marLeft w:val="0"/>
      <w:marRight w:val="0"/>
      <w:marTop w:val="0"/>
      <w:marBottom w:val="0"/>
      <w:divBdr>
        <w:top w:val="none" w:sz="0" w:space="0" w:color="auto"/>
        <w:left w:val="none" w:sz="0" w:space="0" w:color="auto"/>
        <w:bottom w:val="none" w:sz="0" w:space="0" w:color="auto"/>
        <w:right w:val="none" w:sz="0" w:space="0" w:color="auto"/>
      </w:divBdr>
    </w:div>
    <w:div w:id="991450850">
      <w:bodyDiv w:val="1"/>
      <w:marLeft w:val="0"/>
      <w:marRight w:val="0"/>
      <w:marTop w:val="0"/>
      <w:marBottom w:val="0"/>
      <w:divBdr>
        <w:top w:val="none" w:sz="0" w:space="0" w:color="auto"/>
        <w:left w:val="none" w:sz="0" w:space="0" w:color="auto"/>
        <w:bottom w:val="none" w:sz="0" w:space="0" w:color="auto"/>
        <w:right w:val="none" w:sz="0" w:space="0" w:color="auto"/>
      </w:divBdr>
    </w:div>
    <w:div w:id="1004287356">
      <w:bodyDiv w:val="1"/>
      <w:marLeft w:val="0"/>
      <w:marRight w:val="0"/>
      <w:marTop w:val="0"/>
      <w:marBottom w:val="0"/>
      <w:divBdr>
        <w:top w:val="none" w:sz="0" w:space="0" w:color="auto"/>
        <w:left w:val="none" w:sz="0" w:space="0" w:color="auto"/>
        <w:bottom w:val="none" w:sz="0" w:space="0" w:color="auto"/>
        <w:right w:val="none" w:sz="0" w:space="0" w:color="auto"/>
      </w:divBdr>
    </w:div>
    <w:div w:id="1009522968">
      <w:bodyDiv w:val="1"/>
      <w:marLeft w:val="0"/>
      <w:marRight w:val="0"/>
      <w:marTop w:val="0"/>
      <w:marBottom w:val="0"/>
      <w:divBdr>
        <w:top w:val="none" w:sz="0" w:space="0" w:color="auto"/>
        <w:left w:val="none" w:sz="0" w:space="0" w:color="auto"/>
        <w:bottom w:val="none" w:sz="0" w:space="0" w:color="auto"/>
        <w:right w:val="none" w:sz="0" w:space="0" w:color="auto"/>
      </w:divBdr>
    </w:div>
    <w:div w:id="1018502080">
      <w:bodyDiv w:val="1"/>
      <w:marLeft w:val="0"/>
      <w:marRight w:val="0"/>
      <w:marTop w:val="0"/>
      <w:marBottom w:val="0"/>
      <w:divBdr>
        <w:top w:val="none" w:sz="0" w:space="0" w:color="auto"/>
        <w:left w:val="none" w:sz="0" w:space="0" w:color="auto"/>
        <w:bottom w:val="none" w:sz="0" w:space="0" w:color="auto"/>
        <w:right w:val="none" w:sz="0" w:space="0" w:color="auto"/>
      </w:divBdr>
    </w:div>
    <w:div w:id="1042092803">
      <w:bodyDiv w:val="1"/>
      <w:marLeft w:val="0"/>
      <w:marRight w:val="0"/>
      <w:marTop w:val="0"/>
      <w:marBottom w:val="0"/>
      <w:divBdr>
        <w:top w:val="none" w:sz="0" w:space="0" w:color="auto"/>
        <w:left w:val="none" w:sz="0" w:space="0" w:color="auto"/>
        <w:bottom w:val="none" w:sz="0" w:space="0" w:color="auto"/>
        <w:right w:val="none" w:sz="0" w:space="0" w:color="auto"/>
      </w:divBdr>
    </w:div>
    <w:div w:id="1044864135">
      <w:bodyDiv w:val="1"/>
      <w:marLeft w:val="0"/>
      <w:marRight w:val="0"/>
      <w:marTop w:val="0"/>
      <w:marBottom w:val="0"/>
      <w:divBdr>
        <w:top w:val="none" w:sz="0" w:space="0" w:color="auto"/>
        <w:left w:val="none" w:sz="0" w:space="0" w:color="auto"/>
        <w:bottom w:val="none" w:sz="0" w:space="0" w:color="auto"/>
        <w:right w:val="none" w:sz="0" w:space="0" w:color="auto"/>
      </w:divBdr>
    </w:div>
    <w:div w:id="1052076580">
      <w:bodyDiv w:val="1"/>
      <w:marLeft w:val="0"/>
      <w:marRight w:val="0"/>
      <w:marTop w:val="0"/>
      <w:marBottom w:val="0"/>
      <w:divBdr>
        <w:top w:val="none" w:sz="0" w:space="0" w:color="auto"/>
        <w:left w:val="none" w:sz="0" w:space="0" w:color="auto"/>
        <w:bottom w:val="none" w:sz="0" w:space="0" w:color="auto"/>
        <w:right w:val="none" w:sz="0" w:space="0" w:color="auto"/>
      </w:divBdr>
    </w:div>
    <w:div w:id="1055543908">
      <w:bodyDiv w:val="1"/>
      <w:marLeft w:val="0"/>
      <w:marRight w:val="0"/>
      <w:marTop w:val="0"/>
      <w:marBottom w:val="0"/>
      <w:divBdr>
        <w:top w:val="none" w:sz="0" w:space="0" w:color="auto"/>
        <w:left w:val="none" w:sz="0" w:space="0" w:color="auto"/>
        <w:bottom w:val="none" w:sz="0" w:space="0" w:color="auto"/>
        <w:right w:val="none" w:sz="0" w:space="0" w:color="auto"/>
      </w:divBdr>
    </w:div>
    <w:div w:id="1055810200">
      <w:bodyDiv w:val="1"/>
      <w:marLeft w:val="0"/>
      <w:marRight w:val="0"/>
      <w:marTop w:val="0"/>
      <w:marBottom w:val="0"/>
      <w:divBdr>
        <w:top w:val="none" w:sz="0" w:space="0" w:color="auto"/>
        <w:left w:val="none" w:sz="0" w:space="0" w:color="auto"/>
        <w:bottom w:val="none" w:sz="0" w:space="0" w:color="auto"/>
        <w:right w:val="none" w:sz="0" w:space="0" w:color="auto"/>
      </w:divBdr>
      <w:divsChild>
        <w:div w:id="740716537">
          <w:marLeft w:val="720"/>
          <w:marRight w:val="0"/>
          <w:marTop w:val="0"/>
          <w:marBottom w:val="0"/>
          <w:divBdr>
            <w:top w:val="none" w:sz="0" w:space="0" w:color="auto"/>
            <w:left w:val="none" w:sz="0" w:space="0" w:color="auto"/>
            <w:bottom w:val="none" w:sz="0" w:space="0" w:color="auto"/>
            <w:right w:val="none" w:sz="0" w:space="0" w:color="auto"/>
          </w:divBdr>
        </w:div>
        <w:div w:id="1148596986">
          <w:marLeft w:val="720"/>
          <w:marRight w:val="0"/>
          <w:marTop w:val="0"/>
          <w:marBottom w:val="0"/>
          <w:divBdr>
            <w:top w:val="none" w:sz="0" w:space="0" w:color="auto"/>
            <w:left w:val="none" w:sz="0" w:space="0" w:color="auto"/>
            <w:bottom w:val="none" w:sz="0" w:space="0" w:color="auto"/>
            <w:right w:val="none" w:sz="0" w:space="0" w:color="auto"/>
          </w:divBdr>
        </w:div>
        <w:div w:id="1248074845">
          <w:marLeft w:val="720"/>
          <w:marRight w:val="0"/>
          <w:marTop w:val="0"/>
          <w:marBottom w:val="0"/>
          <w:divBdr>
            <w:top w:val="none" w:sz="0" w:space="0" w:color="auto"/>
            <w:left w:val="none" w:sz="0" w:space="0" w:color="auto"/>
            <w:bottom w:val="none" w:sz="0" w:space="0" w:color="auto"/>
            <w:right w:val="none" w:sz="0" w:space="0" w:color="auto"/>
          </w:divBdr>
        </w:div>
        <w:div w:id="1973898864">
          <w:marLeft w:val="720"/>
          <w:marRight w:val="0"/>
          <w:marTop w:val="0"/>
          <w:marBottom w:val="0"/>
          <w:divBdr>
            <w:top w:val="none" w:sz="0" w:space="0" w:color="auto"/>
            <w:left w:val="none" w:sz="0" w:space="0" w:color="auto"/>
            <w:bottom w:val="none" w:sz="0" w:space="0" w:color="auto"/>
            <w:right w:val="none" w:sz="0" w:space="0" w:color="auto"/>
          </w:divBdr>
        </w:div>
      </w:divsChild>
    </w:div>
    <w:div w:id="1068770692">
      <w:bodyDiv w:val="1"/>
      <w:marLeft w:val="0"/>
      <w:marRight w:val="0"/>
      <w:marTop w:val="0"/>
      <w:marBottom w:val="0"/>
      <w:divBdr>
        <w:top w:val="none" w:sz="0" w:space="0" w:color="auto"/>
        <w:left w:val="none" w:sz="0" w:space="0" w:color="auto"/>
        <w:bottom w:val="none" w:sz="0" w:space="0" w:color="auto"/>
        <w:right w:val="none" w:sz="0" w:space="0" w:color="auto"/>
      </w:divBdr>
    </w:div>
    <w:div w:id="1070539076">
      <w:bodyDiv w:val="1"/>
      <w:marLeft w:val="0"/>
      <w:marRight w:val="0"/>
      <w:marTop w:val="0"/>
      <w:marBottom w:val="0"/>
      <w:divBdr>
        <w:top w:val="none" w:sz="0" w:space="0" w:color="auto"/>
        <w:left w:val="none" w:sz="0" w:space="0" w:color="auto"/>
        <w:bottom w:val="none" w:sz="0" w:space="0" w:color="auto"/>
        <w:right w:val="none" w:sz="0" w:space="0" w:color="auto"/>
      </w:divBdr>
    </w:div>
    <w:div w:id="1071922312">
      <w:bodyDiv w:val="1"/>
      <w:marLeft w:val="0"/>
      <w:marRight w:val="0"/>
      <w:marTop w:val="0"/>
      <w:marBottom w:val="0"/>
      <w:divBdr>
        <w:top w:val="none" w:sz="0" w:space="0" w:color="auto"/>
        <w:left w:val="none" w:sz="0" w:space="0" w:color="auto"/>
        <w:bottom w:val="none" w:sz="0" w:space="0" w:color="auto"/>
        <w:right w:val="none" w:sz="0" w:space="0" w:color="auto"/>
      </w:divBdr>
    </w:div>
    <w:div w:id="1076241557">
      <w:bodyDiv w:val="1"/>
      <w:marLeft w:val="0"/>
      <w:marRight w:val="0"/>
      <w:marTop w:val="0"/>
      <w:marBottom w:val="0"/>
      <w:divBdr>
        <w:top w:val="none" w:sz="0" w:space="0" w:color="auto"/>
        <w:left w:val="none" w:sz="0" w:space="0" w:color="auto"/>
        <w:bottom w:val="none" w:sz="0" w:space="0" w:color="auto"/>
        <w:right w:val="none" w:sz="0" w:space="0" w:color="auto"/>
      </w:divBdr>
    </w:div>
    <w:div w:id="1089733142">
      <w:bodyDiv w:val="1"/>
      <w:marLeft w:val="0"/>
      <w:marRight w:val="0"/>
      <w:marTop w:val="0"/>
      <w:marBottom w:val="0"/>
      <w:divBdr>
        <w:top w:val="none" w:sz="0" w:space="0" w:color="auto"/>
        <w:left w:val="none" w:sz="0" w:space="0" w:color="auto"/>
        <w:bottom w:val="none" w:sz="0" w:space="0" w:color="auto"/>
        <w:right w:val="none" w:sz="0" w:space="0" w:color="auto"/>
      </w:divBdr>
    </w:div>
    <w:div w:id="1091658886">
      <w:bodyDiv w:val="1"/>
      <w:marLeft w:val="0"/>
      <w:marRight w:val="0"/>
      <w:marTop w:val="0"/>
      <w:marBottom w:val="0"/>
      <w:divBdr>
        <w:top w:val="none" w:sz="0" w:space="0" w:color="auto"/>
        <w:left w:val="none" w:sz="0" w:space="0" w:color="auto"/>
        <w:bottom w:val="none" w:sz="0" w:space="0" w:color="auto"/>
        <w:right w:val="none" w:sz="0" w:space="0" w:color="auto"/>
      </w:divBdr>
      <w:divsChild>
        <w:div w:id="1706251532">
          <w:marLeft w:val="0"/>
          <w:marRight w:val="0"/>
          <w:marTop w:val="144"/>
          <w:marBottom w:val="0"/>
          <w:divBdr>
            <w:top w:val="none" w:sz="0" w:space="0" w:color="auto"/>
            <w:left w:val="none" w:sz="0" w:space="0" w:color="auto"/>
            <w:bottom w:val="none" w:sz="0" w:space="0" w:color="auto"/>
            <w:right w:val="none" w:sz="0" w:space="0" w:color="auto"/>
          </w:divBdr>
        </w:div>
      </w:divsChild>
    </w:div>
    <w:div w:id="1093012124">
      <w:bodyDiv w:val="1"/>
      <w:marLeft w:val="0"/>
      <w:marRight w:val="0"/>
      <w:marTop w:val="0"/>
      <w:marBottom w:val="0"/>
      <w:divBdr>
        <w:top w:val="none" w:sz="0" w:space="0" w:color="auto"/>
        <w:left w:val="none" w:sz="0" w:space="0" w:color="auto"/>
        <w:bottom w:val="none" w:sz="0" w:space="0" w:color="auto"/>
        <w:right w:val="none" w:sz="0" w:space="0" w:color="auto"/>
      </w:divBdr>
    </w:div>
    <w:div w:id="1100952625">
      <w:bodyDiv w:val="1"/>
      <w:marLeft w:val="0"/>
      <w:marRight w:val="0"/>
      <w:marTop w:val="0"/>
      <w:marBottom w:val="0"/>
      <w:divBdr>
        <w:top w:val="none" w:sz="0" w:space="0" w:color="auto"/>
        <w:left w:val="none" w:sz="0" w:space="0" w:color="auto"/>
        <w:bottom w:val="none" w:sz="0" w:space="0" w:color="auto"/>
        <w:right w:val="none" w:sz="0" w:space="0" w:color="auto"/>
      </w:divBdr>
    </w:div>
    <w:div w:id="1103112822">
      <w:bodyDiv w:val="1"/>
      <w:marLeft w:val="0"/>
      <w:marRight w:val="0"/>
      <w:marTop w:val="0"/>
      <w:marBottom w:val="0"/>
      <w:divBdr>
        <w:top w:val="none" w:sz="0" w:space="0" w:color="auto"/>
        <w:left w:val="none" w:sz="0" w:space="0" w:color="auto"/>
        <w:bottom w:val="none" w:sz="0" w:space="0" w:color="auto"/>
        <w:right w:val="none" w:sz="0" w:space="0" w:color="auto"/>
      </w:divBdr>
    </w:div>
    <w:div w:id="1111703635">
      <w:bodyDiv w:val="1"/>
      <w:marLeft w:val="0"/>
      <w:marRight w:val="0"/>
      <w:marTop w:val="0"/>
      <w:marBottom w:val="0"/>
      <w:divBdr>
        <w:top w:val="none" w:sz="0" w:space="0" w:color="auto"/>
        <w:left w:val="none" w:sz="0" w:space="0" w:color="auto"/>
        <w:bottom w:val="none" w:sz="0" w:space="0" w:color="auto"/>
        <w:right w:val="none" w:sz="0" w:space="0" w:color="auto"/>
      </w:divBdr>
    </w:div>
    <w:div w:id="1111970232">
      <w:bodyDiv w:val="1"/>
      <w:marLeft w:val="0"/>
      <w:marRight w:val="0"/>
      <w:marTop w:val="0"/>
      <w:marBottom w:val="0"/>
      <w:divBdr>
        <w:top w:val="none" w:sz="0" w:space="0" w:color="auto"/>
        <w:left w:val="none" w:sz="0" w:space="0" w:color="auto"/>
        <w:bottom w:val="none" w:sz="0" w:space="0" w:color="auto"/>
        <w:right w:val="none" w:sz="0" w:space="0" w:color="auto"/>
      </w:divBdr>
    </w:div>
    <w:div w:id="1120957604">
      <w:bodyDiv w:val="1"/>
      <w:marLeft w:val="0"/>
      <w:marRight w:val="0"/>
      <w:marTop w:val="0"/>
      <w:marBottom w:val="0"/>
      <w:divBdr>
        <w:top w:val="none" w:sz="0" w:space="0" w:color="auto"/>
        <w:left w:val="none" w:sz="0" w:space="0" w:color="auto"/>
        <w:bottom w:val="none" w:sz="0" w:space="0" w:color="auto"/>
        <w:right w:val="none" w:sz="0" w:space="0" w:color="auto"/>
      </w:divBdr>
    </w:div>
    <w:div w:id="1129206940">
      <w:bodyDiv w:val="1"/>
      <w:marLeft w:val="0"/>
      <w:marRight w:val="0"/>
      <w:marTop w:val="0"/>
      <w:marBottom w:val="0"/>
      <w:divBdr>
        <w:top w:val="none" w:sz="0" w:space="0" w:color="auto"/>
        <w:left w:val="none" w:sz="0" w:space="0" w:color="auto"/>
        <w:bottom w:val="none" w:sz="0" w:space="0" w:color="auto"/>
        <w:right w:val="none" w:sz="0" w:space="0" w:color="auto"/>
      </w:divBdr>
    </w:div>
    <w:div w:id="1138179909">
      <w:bodyDiv w:val="1"/>
      <w:marLeft w:val="0"/>
      <w:marRight w:val="0"/>
      <w:marTop w:val="0"/>
      <w:marBottom w:val="0"/>
      <w:divBdr>
        <w:top w:val="none" w:sz="0" w:space="0" w:color="auto"/>
        <w:left w:val="none" w:sz="0" w:space="0" w:color="auto"/>
        <w:bottom w:val="none" w:sz="0" w:space="0" w:color="auto"/>
        <w:right w:val="none" w:sz="0" w:space="0" w:color="auto"/>
      </w:divBdr>
    </w:div>
    <w:div w:id="1158888850">
      <w:bodyDiv w:val="1"/>
      <w:marLeft w:val="0"/>
      <w:marRight w:val="0"/>
      <w:marTop w:val="0"/>
      <w:marBottom w:val="0"/>
      <w:divBdr>
        <w:top w:val="none" w:sz="0" w:space="0" w:color="auto"/>
        <w:left w:val="none" w:sz="0" w:space="0" w:color="auto"/>
        <w:bottom w:val="none" w:sz="0" w:space="0" w:color="auto"/>
        <w:right w:val="none" w:sz="0" w:space="0" w:color="auto"/>
      </w:divBdr>
      <w:divsChild>
        <w:div w:id="110829262">
          <w:marLeft w:val="1973"/>
          <w:marRight w:val="0"/>
          <w:marTop w:val="0"/>
          <w:marBottom w:val="0"/>
          <w:divBdr>
            <w:top w:val="none" w:sz="0" w:space="0" w:color="auto"/>
            <w:left w:val="none" w:sz="0" w:space="0" w:color="auto"/>
            <w:bottom w:val="none" w:sz="0" w:space="0" w:color="auto"/>
            <w:right w:val="none" w:sz="0" w:space="0" w:color="auto"/>
          </w:divBdr>
        </w:div>
      </w:divsChild>
    </w:div>
    <w:div w:id="1167093303">
      <w:bodyDiv w:val="1"/>
      <w:marLeft w:val="0"/>
      <w:marRight w:val="0"/>
      <w:marTop w:val="0"/>
      <w:marBottom w:val="0"/>
      <w:divBdr>
        <w:top w:val="none" w:sz="0" w:space="0" w:color="auto"/>
        <w:left w:val="none" w:sz="0" w:space="0" w:color="auto"/>
        <w:bottom w:val="none" w:sz="0" w:space="0" w:color="auto"/>
        <w:right w:val="none" w:sz="0" w:space="0" w:color="auto"/>
      </w:divBdr>
    </w:div>
    <w:div w:id="1174807791">
      <w:bodyDiv w:val="1"/>
      <w:marLeft w:val="0"/>
      <w:marRight w:val="0"/>
      <w:marTop w:val="0"/>
      <w:marBottom w:val="0"/>
      <w:divBdr>
        <w:top w:val="none" w:sz="0" w:space="0" w:color="auto"/>
        <w:left w:val="none" w:sz="0" w:space="0" w:color="auto"/>
        <w:bottom w:val="none" w:sz="0" w:space="0" w:color="auto"/>
        <w:right w:val="none" w:sz="0" w:space="0" w:color="auto"/>
      </w:divBdr>
      <w:divsChild>
        <w:div w:id="43675451">
          <w:marLeft w:val="720"/>
          <w:marRight w:val="0"/>
          <w:marTop w:val="0"/>
          <w:marBottom w:val="0"/>
          <w:divBdr>
            <w:top w:val="none" w:sz="0" w:space="0" w:color="auto"/>
            <w:left w:val="none" w:sz="0" w:space="0" w:color="auto"/>
            <w:bottom w:val="none" w:sz="0" w:space="0" w:color="auto"/>
            <w:right w:val="none" w:sz="0" w:space="0" w:color="auto"/>
          </w:divBdr>
        </w:div>
        <w:div w:id="1234392744">
          <w:marLeft w:val="720"/>
          <w:marRight w:val="0"/>
          <w:marTop w:val="0"/>
          <w:marBottom w:val="0"/>
          <w:divBdr>
            <w:top w:val="none" w:sz="0" w:space="0" w:color="auto"/>
            <w:left w:val="none" w:sz="0" w:space="0" w:color="auto"/>
            <w:bottom w:val="none" w:sz="0" w:space="0" w:color="auto"/>
            <w:right w:val="none" w:sz="0" w:space="0" w:color="auto"/>
          </w:divBdr>
        </w:div>
        <w:div w:id="1917133183">
          <w:marLeft w:val="720"/>
          <w:marRight w:val="0"/>
          <w:marTop w:val="0"/>
          <w:marBottom w:val="0"/>
          <w:divBdr>
            <w:top w:val="none" w:sz="0" w:space="0" w:color="auto"/>
            <w:left w:val="none" w:sz="0" w:space="0" w:color="auto"/>
            <w:bottom w:val="none" w:sz="0" w:space="0" w:color="auto"/>
            <w:right w:val="none" w:sz="0" w:space="0" w:color="auto"/>
          </w:divBdr>
        </w:div>
      </w:divsChild>
    </w:div>
    <w:div w:id="1175147505">
      <w:bodyDiv w:val="1"/>
      <w:marLeft w:val="0"/>
      <w:marRight w:val="0"/>
      <w:marTop w:val="0"/>
      <w:marBottom w:val="0"/>
      <w:divBdr>
        <w:top w:val="none" w:sz="0" w:space="0" w:color="auto"/>
        <w:left w:val="none" w:sz="0" w:space="0" w:color="auto"/>
        <w:bottom w:val="none" w:sz="0" w:space="0" w:color="auto"/>
        <w:right w:val="none" w:sz="0" w:space="0" w:color="auto"/>
      </w:divBdr>
      <w:divsChild>
        <w:div w:id="758796747">
          <w:marLeft w:val="965"/>
          <w:marRight w:val="0"/>
          <w:marTop w:val="0"/>
          <w:marBottom w:val="0"/>
          <w:divBdr>
            <w:top w:val="none" w:sz="0" w:space="0" w:color="auto"/>
            <w:left w:val="none" w:sz="0" w:space="0" w:color="auto"/>
            <w:bottom w:val="none" w:sz="0" w:space="0" w:color="auto"/>
            <w:right w:val="none" w:sz="0" w:space="0" w:color="auto"/>
          </w:divBdr>
        </w:div>
        <w:div w:id="920719875">
          <w:marLeft w:val="965"/>
          <w:marRight w:val="0"/>
          <w:marTop w:val="0"/>
          <w:marBottom w:val="0"/>
          <w:divBdr>
            <w:top w:val="none" w:sz="0" w:space="0" w:color="auto"/>
            <w:left w:val="none" w:sz="0" w:space="0" w:color="auto"/>
            <w:bottom w:val="none" w:sz="0" w:space="0" w:color="auto"/>
            <w:right w:val="none" w:sz="0" w:space="0" w:color="auto"/>
          </w:divBdr>
        </w:div>
        <w:div w:id="964429188">
          <w:marLeft w:val="965"/>
          <w:marRight w:val="0"/>
          <w:marTop w:val="0"/>
          <w:marBottom w:val="0"/>
          <w:divBdr>
            <w:top w:val="none" w:sz="0" w:space="0" w:color="auto"/>
            <w:left w:val="none" w:sz="0" w:space="0" w:color="auto"/>
            <w:bottom w:val="none" w:sz="0" w:space="0" w:color="auto"/>
            <w:right w:val="none" w:sz="0" w:space="0" w:color="auto"/>
          </w:divBdr>
        </w:div>
        <w:div w:id="986281159">
          <w:marLeft w:val="965"/>
          <w:marRight w:val="0"/>
          <w:marTop w:val="0"/>
          <w:marBottom w:val="0"/>
          <w:divBdr>
            <w:top w:val="none" w:sz="0" w:space="0" w:color="auto"/>
            <w:left w:val="none" w:sz="0" w:space="0" w:color="auto"/>
            <w:bottom w:val="none" w:sz="0" w:space="0" w:color="auto"/>
            <w:right w:val="none" w:sz="0" w:space="0" w:color="auto"/>
          </w:divBdr>
        </w:div>
        <w:div w:id="1421024130">
          <w:marLeft w:val="965"/>
          <w:marRight w:val="0"/>
          <w:marTop w:val="0"/>
          <w:marBottom w:val="0"/>
          <w:divBdr>
            <w:top w:val="none" w:sz="0" w:space="0" w:color="auto"/>
            <w:left w:val="none" w:sz="0" w:space="0" w:color="auto"/>
            <w:bottom w:val="none" w:sz="0" w:space="0" w:color="auto"/>
            <w:right w:val="none" w:sz="0" w:space="0" w:color="auto"/>
          </w:divBdr>
        </w:div>
        <w:div w:id="1914851799">
          <w:marLeft w:val="965"/>
          <w:marRight w:val="0"/>
          <w:marTop w:val="0"/>
          <w:marBottom w:val="0"/>
          <w:divBdr>
            <w:top w:val="none" w:sz="0" w:space="0" w:color="auto"/>
            <w:left w:val="none" w:sz="0" w:space="0" w:color="auto"/>
            <w:bottom w:val="none" w:sz="0" w:space="0" w:color="auto"/>
            <w:right w:val="none" w:sz="0" w:space="0" w:color="auto"/>
          </w:divBdr>
        </w:div>
      </w:divsChild>
    </w:div>
    <w:div w:id="1175266458">
      <w:bodyDiv w:val="1"/>
      <w:marLeft w:val="0"/>
      <w:marRight w:val="0"/>
      <w:marTop w:val="0"/>
      <w:marBottom w:val="0"/>
      <w:divBdr>
        <w:top w:val="none" w:sz="0" w:space="0" w:color="auto"/>
        <w:left w:val="none" w:sz="0" w:space="0" w:color="auto"/>
        <w:bottom w:val="none" w:sz="0" w:space="0" w:color="auto"/>
        <w:right w:val="none" w:sz="0" w:space="0" w:color="auto"/>
      </w:divBdr>
    </w:div>
    <w:div w:id="1181549427">
      <w:bodyDiv w:val="1"/>
      <w:marLeft w:val="0"/>
      <w:marRight w:val="0"/>
      <w:marTop w:val="0"/>
      <w:marBottom w:val="0"/>
      <w:divBdr>
        <w:top w:val="none" w:sz="0" w:space="0" w:color="auto"/>
        <w:left w:val="none" w:sz="0" w:space="0" w:color="auto"/>
        <w:bottom w:val="none" w:sz="0" w:space="0" w:color="auto"/>
        <w:right w:val="none" w:sz="0" w:space="0" w:color="auto"/>
      </w:divBdr>
    </w:div>
    <w:div w:id="1181818083">
      <w:bodyDiv w:val="1"/>
      <w:marLeft w:val="0"/>
      <w:marRight w:val="0"/>
      <w:marTop w:val="0"/>
      <w:marBottom w:val="0"/>
      <w:divBdr>
        <w:top w:val="none" w:sz="0" w:space="0" w:color="auto"/>
        <w:left w:val="none" w:sz="0" w:space="0" w:color="auto"/>
        <w:bottom w:val="none" w:sz="0" w:space="0" w:color="auto"/>
        <w:right w:val="none" w:sz="0" w:space="0" w:color="auto"/>
      </w:divBdr>
    </w:div>
    <w:div w:id="1184514426">
      <w:bodyDiv w:val="1"/>
      <w:marLeft w:val="0"/>
      <w:marRight w:val="0"/>
      <w:marTop w:val="0"/>
      <w:marBottom w:val="0"/>
      <w:divBdr>
        <w:top w:val="none" w:sz="0" w:space="0" w:color="auto"/>
        <w:left w:val="none" w:sz="0" w:space="0" w:color="auto"/>
        <w:bottom w:val="none" w:sz="0" w:space="0" w:color="auto"/>
        <w:right w:val="none" w:sz="0" w:space="0" w:color="auto"/>
      </w:divBdr>
    </w:div>
    <w:div w:id="1187985688">
      <w:bodyDiv w:val="1"/>
      <w:marLeft w:val="0"/>
      <w:marRight w:val="0"/>
      <w:marTop w:val="0"/>
      <w:marBottom w:val="0"/>
      <w:divBdr>
        <w:top w:val="none" w:sz="0" w:space="0" w:color="auto"/>
        <w:left w:val="none" w:sz="0" w:space="0" w:color="auto"/>
        <w:bottom w:val="none" w:sz="0" w:space="0" w:color="auto"/>
        <w:right w:val="none" w:sz="0" w:space="0" w:color="auto"/>
      </w:divBdr>
    </w:div>
    <w:div w:id="1195267899">
      <w:bodyDiv w:val="1"/>
      <w:marLeft w:val="0"/>
      <w:marRight w:val="0"/>
      <w:marTop w:val="0"/>
      <w:marBottom w:val="0"/>
      <w:divBdr>
        <w:top w:val="none" w:sz="0" w:space="0" w:color="auto"/>
        <w:left w:val="none" w:sz="0" w:space="0" w:color="auto"/>
        <w:bottom w:val="none" w:sz="0" w:space="0" w:color="auto"/>
        <w:right w:val="none" w:sz="0" w:space="0" w:color="auto"/>
      </w:divBdr>
    </w:div>
    <w:div w:id="1198396338">
      <w:bodyDiv w:val="1"/>
      <w:marLeft w:val="0"/>
      <w:marRight w:val="0"/>
      <w:marTop w:val="0"/>
      <w:marBottom w:val="0"/>
      <w:divBdr>
        <w:top w:val="none" w:sz="0" w:space="0" w:color="auto"/>
        <w:left w:val="none" w:sz="0" w:space="0" w:color="auto"/>
        <w:bottom w:val="none" w:sz="0" w:space="0" w:color="auto"/>
        <w:right w:val="none" w:sz="0" w:space="0" w:color="auto"/>
      </w:divBdr>
    </w:div>
    <w:div w:id="1200436181">
      <w:bodyDiv w:val="1"/>
      <w:marLeft w:val="0"/>
      <w:marRight w:val="0"/>
      <w:marTop w:val="0"/>
      <w:marBottom w:val="0"/>
      <w:divBdr>
        <w:top w:val="none" w:sz="0" w:space="0" w:color="auto"/>
        <w:left w:val="none" w:sz="0" w:space="0" w:color="auto"/>
        <w:bottom w:val="none" w:sz="0" w:space="0" w:color="auto"/>
        <w:right w:val="none" w:sz="0" w:space="0" w:color="auto"/>
      </w:divBdr>
    </w:div>
    <w:div w:id="1215392231">
      <w:bodyDiv w:val="1"/>
      <w:marLeft w:val="0"/>
      <w:marRight w:val="0"/>
      <w:marTop w:val="0"/>
      <w:marBottom w:val="0"/>
      <w:divBdr>
        <w:top w:val="none" w:sz="0" w:space="0" w:color="auto"/>
        <w:left w:val="none" w:sz="0" w:space="0" w:color="auto"/>
        <w:bottom w:val="none" w:sz="0" w:space="0" w:color="auto"/>
        <w:right w:val="none" w:sz="0" w:space="0" w:color="auto"/>
      </w:divBdr>
    </w:div>
    <w:div w:id="1216090281">
      <w:bodyDiv w:val="1"/>
      <w:marLeft w:val="0"/>
      <w:marRight w:val="0"/>
      <w:marTop w:val="0"/>
      <w:marBottom w:val="0"/>
      <w:divBdr>
        <w:top w:val="none" w:sz="0" w:space="0" w:color="auto"/>
        <w:left w:val="none" w:sz="0" w:space="0" w:color="auto"/>
        <w:bottom w:val="none" w:sz="0" w:space="0" w:color="auto"/>
        <w:right w:val="none" w:sz="0" w:space="0" w:color="auto"/>
      </w:divBdr>
    </w:div>
    <w:div w:id="1216233233">
      <w:bodyDiv w:val="1"/>
      <w:marLeft w:val="0"/>
      <w:marRight w:val="0"/>
      <w:marTop w:val="0"/>
      <w:marBottom w:val="0"/>
      <w:divBdr>
        <w:top w:val="none" w:sz="0" w:space="0" w:color="auto"/>
        <w:left w:val="none" w:sz="0" w:space="0" w:color="auto"/>
        <w:bottom w:val="none" w:sz="0" w:space="0" w:color="auto"/>
        <w:right w:val="none" w:sz="0" w:space="0" w:color="auto"/>
      </w:divBdr>
    </w:div>
    <w:div w:id="1232811027">
      <w:bodyDiv w:val="1"/>
      <w:marLeft w:val="0"/>
      <w:marRight w:val="0"/>
      <w:marTop w:val="0"/>
      <w:marBottom w:val="0"/>
      <w:divBdr>
        <w:top w:val="none" w:sz="0" w:space="0" w:color="auto"/>
        <w:left w:val="none" w:sz="0" w:space="0" w:color="auto"/>
        <w:bottom w:val="none" w:sz="0" w:space="0" w:color="auto"/>
        <w:right w:val="none" w:sz="0" w:space="0" w:color="auto"/>
      </w:divBdr>
    </w:div>
    <w:div w:id="1238858844">
      <w:bodyDiv w:val="1"/>
      <w:marLeft w:val="0"/>
      <w:marRight w:val="0"/>
      <w:marTop w:val="0"/>
      <w:marBottom w:val="0"/>
      <w:divBdr>
        <w:top w:val="none" w:sz="0" w:space="0" w:color="auto"/>
        <w:left w:val="none" w:sz="0" w:space="0" w:color="auto"/>
        <w:bottom w:val="none" w:sz="0" w:space="0" w:color="auto"/>
        <w:right w:val="none" w:sz="0" w:space="0" w:color="auto"/>
      </w:divBdr>
      <w:divsChild>
        <w:div w:id="562302639">
          <w:marLeft w:val="720"/>
          <w:marRight w:val="0"/>
          <w:marTop w:val="0"/>
          <w:marBottom w:val="0"/>
          <w:divBdr>
            <w:top w:val="none" w:sz="0" w:space="0" w:color="auto"/>
            <w:left w:val="none" w:sz="0" w:space="0" w:color="auto"/>
            <w:bottom w:val="none" w:sz="0" w:space="0" w:color="auto"/>
            <w:right w:val="none" w:sz="0" w:space="0" w:color="auto"/>
          </w:divBdr>
        </w:div>
        <w:div w:id="799492683">
          <w:marLeft w:val="720"/>
          <w:marRight w:val="0"/>
          <w:marTop w:val="0"/>
          <w:marBottom w:val="0"/>
          <w:divBdr>
            <w:top w:val="none" w:sz="0" w:space="0" w:color="auto"/>
            <w:left w:val="none" w:sz="0" w:space="0" w:color="auto"/>
            <w:bottom w:val="none" w:sz="0" w:space="0" w:color="auto"/>
            <w:right w:val="none" w:sz="0" w:space="0" w:color="auto"/>
          </w:divBdr>
        </w:div>
        <w:div w:id="948395995">
          <w:marLeft w:val="720"/>
          <w:marRight w:val="0"/>
          <w:marTop w:val="0"/>
          <w:marBottom w:val="0"/>
          <w:divBdr>
            <w:top w:val="none" w:sz="0" w:space="0" w:color="auto"/>
            <w:left w:val="none" w:sz="0" w:space="0" w:color="auto"/>
            <w:bottom w:val="none" w:sz="0" w:space="0" w:color="auto"/>
            <w:right w:val="none" w:sz="0" w:space="0" w:color="auto"/>
          </w:divBdr>
        </w:div>
        <w:div w:id="1094939097">
          <w:marLeft w:val="720"/>
          <w:marRight w:val="0"/>
          <w:marTop w:val="0"/>
          <w:marBottom w:val="0"/>
          <w:divBdr>
            <w:top w:val="none" w:sz="0" w:space="0" w:color="auto"/>
            <w:left w:val="none" w:sz="0" w:space="0" w:color="auto"/>
            <w:bottom w:val="none" w:sz="0" w:space="0" w:color="auto"/>
            <w:right w:val="none" w:sz="0" w:space="0" w:color="auto"/>
          </w:divBdr>
        </w:div>
        <w:div w:id="1449667312">
          <w:marLeft w:val="720"/>
          <w:marRight w:val="0"/>
          <w:marTop w:val="0"/>
          <w:marBottom w:val="0"/>
          <w:divBdr>
            <w:top w:val="none" w:sz="0" w:space="0" w:color="auto"/>
            <w:left w:val="none" w:sz="0" w:space="0" w:color="auto"/>
            <w:bottom w:val="none" w:sz="0" w:space="0" w:color="auto"/>
            <w:right w:val="none" w:sz="0" w:space="0" w:color="auto"/>
          </w:divBdr>
        </w:div>
      </w:divsChild>
    </w:div>
    <w:div w:id="1240793332">
      <w:bodyDiv w:val="1"/>
      <w:marLeft w:val="0"/>
      <w:marRight w:val="0"/>
      <w:marTop w:val="0"/>
      <w:marBottom w:val="0"/>
      <w:divBdr>
        <w:top w:val="none" w:sz="0" w:space="0" w:color="auto"/>
        <w:left w:val="none" w:sz="0" w:space="0" w:color="auto"/>
        <w:bottom w:val="none" w:sz="0" w:space="0" w:color="auto"/>
        <w:right w:val="none" w:sz="0" w:space="0" w:color="auto"/>
      </w:divBdr>
    </w:div>
    <w:div w:id="1245534805">
      <w:bodyDiv w:val="1"/>
      <w:marLeft w:val="0"/>
      <w:marRight w:val="0"/>
      <w:marTop w:val="0"/>
      <w:marBottom w:val="0"/>
      <w:divBdr>
        <w:top w:val="none" w:sz="0" w:space="0" w:color="auto"/>
        <w:left w:val="none" w:sz="0" w:space="0" w:color="auto"/>
        <w:bottom w:val="none" w:sz="0" w:space="0" w:color="auto"/>
        <w:right w:val="none" w:sz="0" w:space="0" w:color="auto"/>
      </w:divBdr>
    </w:div>
    <w:div w:id="1250311816">
      <w:bodyDiv w:val="1"/>
      <w:marLeft w:val="0"/>
      <w:marRight w:val="0"/>
      <w:marTop w:val="0"/>
      <w:marBottom w:val="0"/>
      <w:divBdr>
        <w:top w:val="none" w:sz="0" w:space="0" w:color="auto"/>
        <w:left w:val="none" w:sz="0" w:space="0" w:color="auto"/>
        <w:bottom w:val="none" w:sz="0" w:space="0" w:color="auto"/>
        <w:right w:val="none" w:sz="0" w:space="0" w:color="auto"/>
      </w:divBdr>
    </w:div>
    <w:div w:id="1251887623">
      <w:bodyDiv w:val="1"/>
      <w:marLeft w:val="0"/>
      <w:marRight w:val="0"/>
      <w:marTop w:val="0"/>
      <w:marBottom w:val="0"/>
      <w:divBdr>
        <w:top w:val="none" w:sz="0" w:space="0" w:color="auto"/>
        <w:left w:val="none" w:sz="0" w:space="0" w:color="auto"/>
        <w:bottom w:val="none" w:sz="0" w:space="0" w:color="auto"/>
        <w:right w:val="none" w:sz="0" w:space="0" w:color="auto"/>
      </w:divBdr>
    </w:div>
    <w:div w:id="1258900144">
      <w:bodyDiv w:val="1"/>
      <w:marLeft w:val="0"/>
      <w:marRight w:val="0"/>
      <w:marTop w:val="0"/>
      <w:marBottom w:val="0"/>
      <w:divBdr>
        <w:top w:val="none" w:sz="0" w:space="0" w:color="auto"/>
        <w:left w:val="none" w:sz="0" w:space="0" w:color="auto"/>
        <w:bottom w:val="none" w:sz="0" w:space="0" w:color="auto"/>
        <w:right w:val="none" w:sz="0" w:space="0" w:color="auto"/>
      </w:divBdr>
    </w:div>
    <w:div w:id="1269510827">
      <w:bodyDiv w:val="1"/>
      <w:marLeft w:val="0"/>
      <w:marRight w:val="0"/>
      <w:marTop w:val="0"/>
      <w:marBottom w:val="0"/>
      <w:divBdr>
        <w:top w:val="none" w:sz="0" w:space="0" w:color="auto"/>
        <w:left w:val="none" w:sz="0" w:space="0" w:color="auto"/>
        <w:bottom w:val="none" w:sz="0" w:space="0" w:color="auto"/>
        <w:right w:val="none" w:sz="0" w:space="0" w:color="auto"/>
      </w:divBdr>
    </w:div>
    <w:div w:id="1272862759">
      <w:bodyDiv w:val="1"/>
      <w:marLeft w:val="0"/>
      <w:marRight w:val="0"/>
      <w:marTop w:val="0"/>
      <w:marBottom w:val="0"/>
      <w:divBdr>
        <w:top w:val="none" w:sz="0" w:space="0" w:color="auto"/>
        <w:left w:val="none" w:sz="0" w:space="0" w:color="auto"/>
        <w:bottom w:val="none" w:sz="0" w:space="0" w:color="auto"/>
        <w:right w:val="none" w:sz="0" w:space="0" w:color="auto"/>
      </w:divBdr>
      <w:divsChild>
        <w:div w:id="1448618582">
          <w:marLeft w:val="965"/>
          <w:marRight w:val="0"/>
          <w:marTop w:val="0"/>
          <w:marBottom w:val="0"/>
          <w:divBdr>
            <w:top w:val="none" w:sz="0" w:space="0" w:color="auto"/>
            <w:left w:val="none" w:sz="0" w:space="0" w:color="auto"/>
            <w:bottom w:val="none" w:sz="0" w:space="0" w:color="auto"/>
            <w:right w:val="none" w:sz="0" w:space="0" w:color="auto"/>
          </w:divBdr>
        </w:div>
      </w:divsChild>
    </w:div>
    <w:div w:id="1274706888">
      <w:bodyDiv w:val="1"/>
      <w:marLeft w:val="0"/>
      <w:marRight w:val="0"/>
      <w:marTop w:val="0"/>
      <w:marBottom w:val="0"/>
      <w:divBdr>
        <w:top w:val="none" w:sz="0" w:space="0" w:color="auto"/>
        <w:left w:val="none" w:sz="0" w:space="0" w:color="auto"/>
        <w:bottom w:val="none" w:sz="0" w:space="0" w:color="auto"/>
        <w:right w:val="none" w:sz="0" w:space="0" w:color="auto"/>
      </w:divBdr>
    </w:div>
    <w:div w:id="1275556795">
      <w:bodyDiv w:val="1"/>
      <w:marLeft w:val="0"/>
      <w:marRight w:val="0"/>
      <w:marTop w:val="0"/>
      <w:marBottom w:val="0"/>
      <w:divBdr>
        <w:top w:val="none" w:sz="0" w:space="0" w:color="auto"/>
        <w:left w:val="none" w:sz="0" w:space="0" w:color="auto"/>
        <w:bottom w:val="none" w:sz="0" w:space="0" w:color="auto"/>
        <w:right w:val="none" w:sz="0" w:space="0" w:color="auto"/>
      </w:divBdr>
    </w:div>
    <w:div w:id="1278102093">
      <w:bodyDiv w:val="1"/>
      <w:marLeft w:val="0"/>
      <w:marRight w:val="0"/>
      <w:marTop w:val="0"/>
      <w:marBottom w:val="0"/>
      <w:divBdr>
        <w:top w:val="none" w:sz="0" w:space="0" w:color="auto"/>
        <w:left w:val="none" w:sz="0" w:space="0" w:color="auto"/>
        <w:bottom w:val="none" w:sz="0" w:space="0" w:color="auto"/>
        <w:right w:val="none" w:sz="0" w:space="0" w:color="auto"/>
      </w:divBdr>
    </w:div>
    <w:div w:id="1280333057">
      <w:bodyDiv w:val="1"/>
      <w:marLeft w:val="0"/>
      <w:marRight w:val="0"/>
      <w:marTop w:val="0"/>
      <w:marBottom w:val="0"/>
      <w:divBdr>
        <w:top w:val="none" w:sz="0" w:space="0" w:color="auto"/>
        <w:left w:val="none" w:sz="0" w:space="0" w:color="auto"/>
        <w:bottom w:val="none" w:sz="0" w:space="0" w:color="auto"/>
        <w:right w:val="none" w:sz="0" w:space="0" w:color="auto"/>
      </w:divBdr>
      <w:divsChild>
        <w:div w:id="666440964">
          <w:marLeft w:val="0"/>
          <w:marRight w:val="0"/>
          <w:marTop w:val="144"/>
          <w:marBottom w:val="0"/>
          <w:divBdr>
            <w:top w:val="none" w:sz="0" w:space="0" w:color="auto"/>
            <w:left w:val="none" w:sz="0" w:space="0" w:color="auto"/>
            <w:bottom w:val="none" w:sz="0" w:space="0" w:color="auto"/>
            <w:right w:val="none" w:sz="0" w:space="0" w:color="auto"/>
          </w:divBdr>
        </w:div>
      </w:divsChild>
    </w:div>
    <w:div w:id="1283417759">
      <w:bodyDiv w:val="1"/>
      <w:marLeft w:val="0"/>
      <w:marRight w:val="0"/>
      <w:marTop w:val="0"/>
      <w:marBottom w:val="0"/>
      <w:divBdr>
        <w:top w:val="none" w:sz="0" w:space="0" w:color="auto"/>
        <w:left w:val="none" w:sz="0" w:space="0" w:color="auto"/>
        <w:bottom w:val="none" w:sz="0" w:space="0" w:color="auto"/>
        <w:right w:val="none" w:sz="0" w:space="0" w:color="auto"/>
      </w:divBdr>
    </w:div>
    <w:div w:id="1286307044">
      <w:bodyDiv w:val="1"/>
      <w:marLeft w:val="0"/>
      <w:marRight w:val="0"/>
      <w:marTop w:val="0"/>
      <w:marBottom w:val="0"/>
      <w:divBdr>
        <w:top w:val="none" w:sz="0" w:space="0" w:color="auto"/>
        <w:left w:val="none" w:sz="0" w:space="0" w:color="auto"/>
        <w:bottom w:val="none" w:sz="0" w:space="0" w:color="auto"/>
        <w:right w:val="none" w:sz="0" w:space="0" w:color="auto"/>
      </w:divBdr>
    </w:div>
    <w:div w:id="1299188682">
      <w:bodyDiv w:val="1"/>
      <w:marLeft w:val="0"/>
      <w:marRight w:val="0"/>
      <w:marTop w:val="0"/>
      <w:marBottom w:val="0"/>
      <w:divBdr>
        <w:top w:val="none" w:sz="0" w:space="0" w:color="auto"/>
        <w:left w:val="none" w:sz="0" w:space="0" w:color="auto"/>
        <w:bottom w:val="none" w:sz="0" w:space="0" w:color="auto"/>
        <w:right w:val="none" w:sz="0" w:space="0" w:color="auto"/>
      </w:divBdr>
    </w:div>
    <w:div w:id="1300961485">
      <w:bodyDiv w:val="1"/>
      <w:marLeft w:val="0"/>
      <w:marRight w:val="0"/>
      <w:marTop w:val="0"/>
      <w:marBottom w:val="0"/>
      <w:divBdr>
        <w:top w:val="none" w:sz="0" w:space="0" w:color="auto"/>
        <w:left w:val="none" w:sz="0" w:space="0" w:color="auto"/>
        <w:bottom w:val="none" w:sz="0" w:space="0" w:color="auto"/>
        <w:right w:val="none" w:sz="0" w:space="0" w:color="auto"/>
      </w:divBdr>
    </w:div>
    <w:div w:id="1310406640">
      <w:bodyDiv w:val="1"/>
      <w:marLeft w:val="0"/>
      <w:marRight w:val="0"/>
      <w:marTop w:val="0"/>
      <w:marBottom w:val="0"/>
      <w:divBdr>
        <w:top w:val="none" w:sz="0" w:space="0" w:color="auto"/>
        <w:left w:val="none" w:sz="0" w:space="0" w:color="auto"/>
        <w:bottom w:val="none" w:sz="0" w:space="0" w:color="auto"/>
        <w:right w:val="none" w:sz="0" w:space="0" w:color="auto"/>
      </w:divBdr>
    </w:div>
    <w:div w:id="1316453658">
      <w:bodyDiv w:val="1"/>
      <w:marLeft w:val="0"/>
      <w:marRight w:val="0"/>
      <w:marTop w:val="0"/>
      <w:marBottom w:val="0"/>
      <w:divBdr>
        <w:top w:val="none" w:sz="0" w:space="0" w:color="auto"/>
        <w:left w:val="none" w:sz="0" w:space="0" w:color="auto"/>
        <w:bottom w:val="none" w:sz="0" w:space="0" w:color="auto"/>
        <w:right w:val="none" w:sz="0" w:space="0" w:color="auto"/>
      </w:divBdr>
    </w:div>
    <w:div w:id="1329020107">
      <w:bodyDiv w:val="1"/>
      <w:marLeft w:val="0"/>
      <w:marRight w:val="0"/>
      <w:marTop w:val="0"/>
      <w:marBottom w:val="0"/>
      <w:divBdr>
        <w:top w:val="none" w:sz="0" w:space="0" w:color="auto"/>
        <w:left w:val="none" w:sz="0" w:space="0" w:color="auto"/>
        <w:bottom w:val="none" w:sz="0" w:space="0" w:color="auto"/>
        <w:right w:val="none" w:sz="0" w:space="0" w:color="auto"/>
      </w:divBdr>
    </w:div>
    <w:div w:id="1339229426">
      <w:bodyDiv w:val="1"/>
      <w:marLeft w:val="0"/>
      <w:marRight w:val="0"/>
      <w:marTop w:val="0"/>
      <w:marBottom w:val="0"/>
      <w:divBdr>
        <w:top w:val="none" w:sz="0" w:space="0" w:color="auto"/>
        <w:left w:val="none" w:sz="0" w:space="0" w:color="auto"/>
        <w:bottom w:val="none" w:sz="0" w:space="0" w:color="auto"/>
        <w:right w:val="none" w:sz="0" w:space="0" w:color="auto"/>
      </w:divBdr>
      <w:divsChild>
        <w:div w:id="1256325752">
          <w:marLeft w:val="1123"/>
          <w:marRight w:val="0"/>
          <w:marTop w:val="0"/>
          <w:marBottom w:val="0"/>
          <w:divBdr>
            <w:top w:val="none" w:sz="0" w:space="0" w:color="auto"/>
            <w:left w:val="none" w:sz="0" w:space="0" w:color="auto"/>
            <w:bottom w:val="none" w:sz="0" w:space="0" w:color="auto"/>
            <w:right w:val="none" w:sz="0" w:space="0" w:color="auto"/>
          </w:divBdr>
        </w:div>
      </w:divsChild>
    </w:div>
    <w:div w:id="1341808233">
      <w:bodyDiv w:val="1"/>
      <w:marLeft w:val="0"/>
      <w:marRight w:val="0"/>
      <w:marTop w:val="0"/>
      <w:marBottom w:val="0"/>
      <w:divBdr>
        <w:top w:val="none" w:sz="0" w:space="0" w:color="auto"/>
        <w:left w:val="none" w:sz="0" w:space="0" w:color="auto"/>
        <w:bottom w:val="none" w:sz="0" w:space="0" w:color="auto"/>
        <w:right w:val="none" w:sz="0" w:space="0" w:color="auto"/>
      </w:divBdr>
    </w:div>
    <w:div w:id="1349528442">
      <w:bodyDiv w:val="1"/>
      <w:marLeft w:val="0"/>
      <w:marRight w:val="0"/>
      <w:marTop w:val="0"/>
      <w:marBottom w:val="0"/>
      <w:divBdr>
        <w:top w:val="none" w:sz="0" w:space="0" w:color="auto"/>
        <w:left w:val="none" w:sz="0" w:space="0" w:color="auto"/>
        <w:bottom w:val="none" w:sz="0" w:space="0" w:color="auto"/>
        <w:right w:val="none" w:sz="0" w:space="0" w:color="auto"/>
      </w:divBdr>
    </w:div>
    <w:div w:id="1351878189">
      <w:bodyDiv w:val="1"/>
      <w:marLeft w:val="0"/>
      <w:marRight w:val="0"/>
      <w:marTop w:val="0"/>
      <w:marBottom w:val="0"/>
      <w:divBdr>
        <w:top w:val="none" w:sz="0" w:space="0" w:color="auto"/>
        <w:left w:val="none" w:sz="0" w:space="0" w:color="auto"/>
        <w:bottom w:val="none" w:sz="0" w:space="0" w:color="auto"/>
        <w:right w:val="none" w:sz="0" w:space="0" w:color="auto"/>
      </w:divBdr>
    </w:div>
    <w:div w:id="1352953906">
      <w:bodyDiv w:val="1"/>
      <w:marLeft w:val="0"/>
      <w:marRight w:val="0"/>
      <w:marTop w:val="0"/>
      <w:marBottom w:val="0"/>
      <w:divBdr>
        <w:top w:val="none" w:sz="0" w:space="0" w:color="auto"/>
        <w:left w:val="none" w:sz="0" w:space="0" w:color="auto"/>
        <w:bottom w:val="none" w:sz="0" w:space="0" w:color="auto"/>
        <w:right w:val="none" w:sz="0" w:space="0" w:color="auto"/>
      </w:divBdr>
    </w:div>
    <w:div w:id="1359771430">
      <w:bodyDiv w:val="1"/>
      <w:marLeft w:val="0"/>
      <w:marRight w:val="0"/>
      <w:marTop w:val="0"/>
      <w:marBottom w:val="0"/>
      <w:divBdr>
        <w:top w:val="none" w:sz="0" w:space="0" w:color="auto"/>
        <w:left w:val="none" w:sz="0" w:space="0" w:color="auto"/>
        <w:bottom w:val="none" w:sz="0" w:space="0" w:color="auto"/>
        <w:right w:val="none" w:sz="0" w:space="0" w:color="auto"/>
      </w:divBdr>
      <w:divsChild>
        <w:div w:id="327901443">
          <w:marLeft w:val="965"/>
          <w:marRight w:val="0"/>
          <w:marTop w:val="0"/>
          <w:marBottom w:val="0"/>
          <w:divBdr>
            <w:top w:val="none" w:sz="0" w:space="0" w:color="auto"/>
            <w:left w:val="none" w:sz="0" w:space="0" w:color="auto"/>
            <w:bottom w:val="none" w:sz="0" w:space="0" w:color="auto"/>
            <w:right w:val="none" w:sz="0" w:space="0" w:color="auto"/>
          </w:divBdr>
        </w:div>
      </w:divsChild>
    </w:div>
    <w:div w:id="1363478180">
      <w:bodyDiv w:val="1"/>
      <w:marLeft w:val="0"/>
      <w:marRight w:val="0"/>
      <w:marTop w:val="0"/>
      <w:marBottom w:val="0"/>
      <w:divBdr>
        <w:top w:val="none" w:sz="0" w:space="0" w:color="auto"/>
        <w:left w:val="none" w:sz="0" w:space="0" w:color="auto"/>
        <w:bottom w:val="none" w:sz="0" w:space="0" w:color="auto"/>
        <w:right w:val="none" w:sz="0" w:space="0" w:color="auto"/>
      </w:divBdr>
    </w:div>
    <w:div w:id="1366130544">
      <w:bodyDiv w:val="1"/>
      <w:marLeft w:val="0"/>
      <w:marRight w:val="0"/>
      <w:marTop w:val="0"/>
      <w:marBottom w:val="0"/>
      <w:divBdr>
        <w:top w:val="none" w:sz="0" w:space="0" w:color="auto"/>
        <w:left w:val="none" w:sz="0" w:space="0" w:color="auto"/>
        <w:bottom w:val="none" w:sz="0" w:space="0" w:color="auto"/>
        <w:right w:val="none" w:sz="0" w:space="0" w:color="auto"/>
      </w:divBdr>
      <w:divsChild>
        <w:div w:id="9719866">
          <w:marLeft w:val="1757"/>
          <w:marRight w:val="0"/>
          <w:marTop w:val="0"/>
          <w:marBottom w:val="0"/>
          <w:divBdr>
            <w:top w:val="none" w:sz="0" w:space="0" w:color="auto"/>
            <w:left w:val="none" w:sz="0" w:space="0" w:color="auto"/>
            <w:bottom w:val="none" w:sz="0" w:space="0" w:color="auto"/>
            <w:right w:val="none" w:sz="0" w:space="0" w:color="auto"/>
          </w:divBdr>
        </w:div>
        <w:div w:id="832843387">
          <w:marLeft w:val="1757"/>
          <w:marRight w:val="0"/>
          <w:marTop w:val="0"/>
          <w:marBottom w:val="0"/>
          <w:divBdr>
            <w:top w:val="none" w:sz="0" w:space="0" w:color="auto"/>
            <w:left w:val="none" w:sz="0" w:space="0" w:color="auto"/>
            <w:bottom w:val="none" w:sz="0" w:space="0" w:color="auto"/>
            <w:right w:val="none" w:sz="0" w:space="0" w:color="auto"/>
          </w:divBdr>
        </w:div>
      </w:divsChild>
    </w:div>
    <w:div w:id="1373191868">
      <w:bodyDiv w:val="1"/>
      <w:marLeft w:val="0"/>
      <w:marRight w:val="0"/>
      <w:marTop w:val="0"/>
      <w:marBottom w:val="0"/>
      <w:divBdr>
        <w:top w:val="none" w:sz="0" w:space="0" w:color="auto"/>
        <w:left w:val="none" w:sz="0" w:space="0" w:color="auto"/>
        <w:bottom w:val="none" w:sz="0" w:space="0" w:color="auto"/>
        <w:right w:val="none" w:sz="0" w:space="0" w:color="auto"/>
      </w:divBdr>
    </w:div>
    <w:div w:id="1374424609">
      <w:bodyDiv w:val="1"/>
      <w:marLeft w:val="0"/>
      <w:marRight w:val="0"/>
      <w:marTop w:val="0"/>
      <w:marBottom w:val="0"/>
      <w:divBdr>
        <w:top w:val="none" w:sz="0" w:space="0" w:color="auto"/>
        <w:left w:val="none" w:sz="0" w:space="0" w:color="auto"/>
        <w:bottom w:val="none" w:sz="0" w:space="0" w:color="auto"/>
        <w:right w:val="none" w:sz="0" w:space="0" w:color="auto"/>
      </w:divBdr>
    </w:div>
    <w:div w:id="1381512766">
      <w:bodyDiv w:val="1"/>
      <w:marLeft w:val="0"/>
      <w:marRight w:val="0"/>
      <w:marTop w:val="0"/>
      <w:marBottom w:val="0"/>
      <w:divBdr>
        <w:top w:val="none" w:sz="0" w:space="0" w:color="auto"/>
        <w:left w:val="none" w:sz="0" w:space="0" w:color="auto"/>
        <w:bottom w:val="none" w:sz="0" w:space="0" w:color="auto"/>
        <w:right w:val="none" w:sz="0" w:space="0" w:color="auto"/>
      </w:divBdr>
    </w:div>
    <w:div w:id="1383214428">
      <w:bodyDiv w:val="1"/>
      <w:marLeft w:val="0"/>
      <w:marRight w:val="0"/>
      <w:marTop w:val="0"/>
      <w:marBottom w:val="0"/>
      <w:divBdr>
        <w:top w:val="none" w:sz="0" w:space="0" w:color="auto"/>
        <w:left w:val="none" w:sz="0" w:space="0" w:color="auto"/>
        <w:bottom w:val="none" w:sz="0" w:space="0" w:color="auto"/>
        <w:right w:val="none" w:sz="0" w:space="0" w:color="auto"/>
      </w:divBdr>
    </w:div>
    <w:div w:id="1385518800">
      <w:bodyDiv w:val="1"/>
      <w:marLeft w:val="0"/>
      <w:marRight w:val="0"/>
      <w:marTop w:val="0"/>
      <w:marBottom w:val="0"/>
      <w:divBdr>
        <w:top w:val="none" w:sz="0" w:space="0" w:color="auto"/>
        <w:left w:val="none" w:sz="0" w:space="0" w:color="auto"/>
        <w:bottom w:val="none" w:sz="0" w:space="0" w:color="auto"/>
        <w:right w:val="none" w:sz="0" w:space="0" w:color="auto"/>
      </w:divBdr>
    </w:div>
    <w:div w:id="1386445145">
      <w:bodyDiv w:val="1"/>
      <w:marLeft w:val="0"/>
      <w:marRight w:val="0"/>
      <w:marTop w:val="0"/>
      <w:marBottom w:val="0"/>
      <w:divBdr>
        <w:top w:val="none" w:sz="0" w:space="0" w:color="auto"/>
        <w:left w:val="none" w:sz="0" w:space="0" w:color="auto"/>
        <w:bottom w:val="none" w:sz="0" w:space="0" w:color="auto"/>
        <w:right w:val="none" w:sz="0" w:space="0" w:color="auto"/>
      </w:divBdr>
    </w:div>
    <w:div w:id="1387685771">
      <w:bodyDiv w:val="1"/>
      <w:marLeft w:val="0"/>
      <w:marRight w:val="0"/>
      <w:marTop w:val="0"/>
      <w:marBottom w:val="0"/>
      <w:divBdr>
        <w:top w:val="none" w:sz="0" w:space="0" w:color="auto"/>
        <w:left w:val="none" w:sz="0" w:space="0" w:color="auto"/>
        <w:bottom w:val="none" w:sz="0" w:space="0" w:color="auto"/>
        <w:right w:val="none" w:sz="0" w:space="0" w:color="auto"/>
      </w:divBdr>
      <w:divsChild>
        <w:div w:id="7409341">
          <w:marLeft w:val="1440"/>
          <w:marRight w:val="0"/>
          <w:marTop w:val="0"/>
          <w:marBottom w:val="0"/>
          <w:divBdr>
            <w:top w:val="none" w:sz="0" w:space="0" w:color="auto"/>
            <w:left w:val="none" w:sz="0" w:space="0" w:color="auto"/>
            <w:bottom w:val="none" w:sz="0" w:space="0" w:color="auto"/>
            <w:right w:val="none" w:sz="0" w:space="0" w:color="auto"/>
          </w:divBdr>
        </w:div>
        <w:div w:id="729622079">
          <w:marLeft w:val="1440"/>
          <w:marRight w:val="0"/>
          <w:marTop w:val="0"/>
          <w:marBottom w:val="0"/>
          <w:divBdr>
            <w:top w:val="none" w:sz="0" w:space="0" w:color="auto"/>
            <w:left w:val="none" w:sz="0" w:space="0" w:color="auto"/>
            <w:bottom w:val="none" w:sz="0" w:space="0" w:color="auto"/>
            <w:right w:val="none" w:sz="0" w:space="0" w:color="auto"/>
          </w:divBdr>
        </w:div>
        <w:div w:id="873426004">
          <w:marLeft w:val="1440"/>
          <w:marRight w:val="0"/>
          <w:marTop w:val="0"/>
          <w:marBottom w:val="0"/>
          <w:divBdr>
            <w:top w:val="none" w:sz="0" w:space="0" w:color="auto"/>
            <w:left w:val="none" w:sz="0" w:space="0" w:color="auto"/>
            <w:bottom w:val="none" w:sz="0" w:space="0" w:color="auto"/>
            <w:right w:val="none" w:sz="0" w:space="0" w:color="auto"/>
          </w:divBdr>
        </w:div>
        <w:div w:id="889415415">
          <w:marLeft w:val="1440"/>
          <w:marRight w:val="0"/>
          <w:marTop w:val="0"/>
          <w:marBottom w:val="0"/>
          <w:divBdr>
            <w:top w:val="none" w:sz="0" w:space="0" w:color="auto"/>
            <w:left w:val="none" w:sz="0" w:space="0" w:color="auto"/>
            <w:bottom w:val="none" w:sz="0" w:space="0" w:color="auto"/>
            <w:right w:val="none" w:sz="0" w:space="0" w:color="auto"/>
          </w:divBdr>
        </w:div>
        <w:div w:id="1168597652">
          <w:marLeft w:val="1440"/>
          <w:marRight w:val="0"/>
          <w:marTop w:val="0"/>
          <w:marBottom w:val="0"/>
          <w:divBdr>
            <w:top w:val="none" w:sz="0" w:space="0" w:color="auto"/>
            <w:left w:val="none" w:sz="0" w:space="0" w:color="auto"/>
            <w:bottom w:val="none" w:sz="0" w:space="0" w:color="auto"/>
            <w:right w:val="none" w:sz="0" w:space="0" w:color="auto"/>
          </w:divBdr>
        </w:div>
        <w:div w:id="1261179834">
          <w:marLeft w:val="1440"/>
          <w:marRight w:val="0"/>
          <w:marTop w:val="0"/>
          <w:marBottom w:val="0"/>
          <w:divBdr>
            <w:top w:val="none" w:sz="0" w:space="0" w:color="auto"/>
            <w:left w:val="none" w:sz="0" w:space="0" w:color="auto"/>
            <w:bottom w:val="none" w:sz="0" w:space="0" w:color="auto"/>
            <w:right w:val="none" w:sz="0" w:space="0" w:color="auto"/>
          </w:divBdr>
        </w:div>
        <w:div w:id="1284538107">
          <w:marLeft w:val="1440"/>
          <w:marRight w:val="0"/>
          <w:marTop w:val="0"/>
          <w:marBottom w:val="0"/>
          <w:divBdr>
            <w:top w:val="none" w:sz="0" w:space="0" w:color="auto"/>
            <w:left w:val="none" w:sz="0" w:space="0" w:color="auto"/>
            <w:bottom w:val="none" w:sz="0" w:space="0" w:color="auto"/>
            <w:right w:val="none" w:sz="0" w:space="0" w:color="auto"/>
          </w:divBdr>
        </w:div>
        <w:div w:id="1446775265">
          <w:marLeft w:val="1440"/>
          <w:marRight w:val="0"/>
          <w:marTop w:val="0"/>
          <w:marBottom w:val="0"/>
          <w:divBdr>
            <w:top w:val="none" w:sz="0" w:space="0" w:color="auto"/>
            <w:left w:val="none" w:sz="0" w:space="0" w:color="auto"/>
            <w:bottom w:val="none" w:sz="0" w:space="0" w:color="auto"/>
            <w:right w:val="none" w:sz="0" w:space="0" w:color="auto"/>
          </w:divBdr>
        </w:div>
      </w:divsChild>
    </w:div>
    <w:div w:id="1387802279">
      <w:bodyDiv w:val="1"/>
      <w:marLeft w:val="0"/>
      <w:marRight w:val="0"/>
      <w:marTop w:val="0"/>
      <w:marBottom w:val="0"/>
      <w:divBdr>
        <w:top w:val="none" w:sz="0" w:space="0" w:color="auto"/>
        <w:left w:val="none" w:sz="0" w:space="0" w:color="auto"/>
        <w:bottom w:val="none" w:sz="0" w:space="0" w:color="auto"/>
        <w:right w:val="none" w:sz="0" w:space="0" w:color="auto"/>
      </w:divBdr>
    </w:div>
    <w:div w:id="1393195470">
      <w:bodyDiv w:val="1"/>
      <w:marLeft w:val="0"/>
      <w:marRight w:val="0"/>
      <w:marTop w:val="0"/>
      <w:marBottom w:val="0"/>
      <w:divBdr>
        <w:top w:val="none" w:sz="0" w:space="0" w:color="auto"/>
        <w:left w:val="none" w:sz="0" w:space="0" w:color="auto"/>
        <w:bottom w:val="none" w:sz="0" w:space="0" w:color="auto"/>
        <w:right w:val="none" w:sz="0" w:space="0" w:color="auto"/>
      </w:divBdr>
      <w:divsChild>
        <w:div w:id="1540707733">
          <w:marLeft w:val="1973"/>
          <w:marRight w:val="0"/>
          <w:marTop w:val="0"/>
          <w:marBottom w:val="0"/>
          <w:divBdr>
            <w:top w:val="none" w:sz="0" w:space="0" w:color="auto"/>
            <w:left w:val="none" w:sz="0" w:space="0" w:color="auto"/>
            <w:bottom w:val="none" w:sz="0" w:space="0" w:color="auto"/>
            <w:right w:val="none" w:sz="0" w:space="0" w:color="auto"/>
          </w:divBdr>
        </w:div>
      </w:divsChild>
    </w:div>
    <w:div w:id="1393776012">
      <w:bodyDiv w:val="1"/>
      <w:marLeft w:val="0"/>
      <w:marRight w:val="0"/>
      <w:marTop w:val="0"/>
      <w:marBottom w:val="0"/>
      <w:divBdr>
        <w:top w:val="none" w:sz="0" w:space="0" w:color="auto"/>
        <w:left w:val="none" w:sz="0" w:space="0" w:color="auto"/>
        <w:bottom w:val="none" w:sz="0" w:space="0" w:color="auto"/>
        <w:right w:val="none" w:sz="0" w:space="0" w:color="auto"/>
      </w:divBdr>
    </w:div>
    <w:div w:id="1394230350">
      <w:bodyDiv w:val="1"/>
      <w:marLeft w:val="0"/>
      <w:marRight w:val="0"/>
      <w:marTop w:val="0"/>
      <w:marBottom w:val="0"/>
      <w:divBdr>
        <w:top w:val="none" w:sz="0" w:space="0" w:color="auto"/>
        <w:left w:val="none" w:sz="0" w:space="0" w:color="auto"/>
        <w:bottom w:val="none" w:sz="0" w:space="0" w:color="auto"/>
        <w:right w:val="none" w:sz="0" w:space="0" w:color="auto"/>
      </w:divBdr>
    </w:div>
    <w:div w:id="1398749862">
      <w:bodyDiv w:val="1"/>
      <w:marLeft w:val="0"/>
      <w:marRight w:val="0"/>
      <w:marTop w:val="0"/>
      <w:marBottom w:val="0"/>
      <w:divBdr>
        <w:top w:val="none" w:sz="0" w:space="0" w:color="auto"/>
        <w:left w:val="none" w:sz="0" w:space="0" w:color="auto"/>
        <w:bottom w:val="none" w:sz="0" w:space="0" w:color="auto"/>
        <w:right w:val="none" w:sz="0" w:space="0" w:color="auto"/>
      </w:divBdr>
    </w:div>
    <w:div w:id="1404793240">
      <w:bodyDiv w:val="1"/>
      <w:marLeft w:val="0"/>
      <w:marRight w:val="0"/>
      <w:marTop w:val="0"/>
      <w:marBottom w:val="0"/>
      <w:divBdr>
        <w:top w:val="none" w:sz="0" w:space="0" w:color="auto"/>
        <w:left w:val="none" w:sz="0" w:space="0" w:color="auto"/>
        <w:bottom w:val="none" w:sz="0" w:space="0" w:color="auto"/>
        <w:right w:val="none" w:sz="0" w:space="0" w:color="auto"/>
      </w:divBdr>
    </w:div>
    <w:div w:id="1431928153">
      <w:bodyDiv w:val="1"/>
      <w:marLeft w:val="0"/>
      <w:marRight w:val="0"/>
      <w:marTop w:val="0"/>
      <w:marBottom w:val="0"/>
      <w:divBdr>
        <w:top w:val="none" w:sz="0" w:space="0" w:color="auto"/>
        <w:left w:val="none" w:sz="0" w:space="0" w:color="auto"/>
        <w:bottom w:val="none" w:sz="0" w:space="0" w:color="auto"/>
        <w:right w:val="none" w:sz="0" w:space="0" w:color="auto"/>
      </w:divBdr>
    </w:div>
    <w:div w:id="1432508631">
      <w:bodyDiv w:val="1"/>
      <w:marLeft w:val="0"/>
      <w:marRight w:val="0"/>
      <w:marTop w:val="0"/>
      <w:marBottom w:val="0"/>
      <w:divBdr>
        <w:top w:val="none" w:sz="0" w:space="0" w:color="auto"/>
        <w:left w:val="none" w:sz="0" w:space="0" w:color="auto"/>
        <w:bottom w:val="none" w:sz="0" w:space="0" w:color="auto"/>
        <w:right w:val="none" w:sz="0" w:space="0" w:color="auto"/>
      </w:divBdr>
    </w:div>
    <w:div w:id="1435516765">
      <w:bodyDiv w:val="1"/>
      <w:marLeft w:val="0"/>
      <w:marRight w:val="0"/>
      <w:marTop w:val="0"/>
      <w:marBottom w:val="0"/>
      <w:divBdr>
        <w:top w:val="none" w:sz="0" w:space="0" w:color="auto"/>
        <w:left w:val="none" w:sz="0" w:space="0" w:color="auto"/>
        <w:bottom w:val="none" w:sz="0" w:space="0" w:color="auto"/>
        <w:right w:val="none" w:sz="0" w:space="0" w:color="auto"/>
      </w:divBdr>
    </w:div>
    <w:div w:id="1442533572">
      <w:bodyDiv w:val="1"/>
      <w:marLeft w:val="0"/>
      <w:marRight w:val="0"/>
      <w:marTop w:val="0"/>
      <w:marBottom w:val="0"/>
      <w:divBdr>
        <w:top w:val="none" w:sz="0" w:space="0" w:color="auto"/>
        <w:left w:val="none" w:sz="0" w:space="0" w:color="auto"/>
        <w:bottom w:val="none" w:sz="0" w:space="0" w:color="auto"/>
        <w:right w:val="none" w:sz="0" w:space="0" w:color="auto"/>
      </w:divBdr>
    </w:div>
    <w:div w:id="1445927286">
      <w:bodyDiv w:val="1"/>
      <w:marLeft w:val="0"/>
      <w:marRight w:val="0"/>
      <w:marTop w:val="0"/>
      <w:marBottom w:val="0"/>
      <w:divBdr>
        <w:top w:val="none" w:sz="0" w:space="0" w:color="auto"/>
        <w:left w:val="none" w:sz="0" w:space="0" w:color="auto"/>
        <w:bottom w:val="none" w:sz="0" w:space="0" w:color="auto"/>
        <w:right w:val="none" w:sz="0" w:space="0" w:color="auto"/>
      </w:divBdr>
      <w:divsChild>
        <w:div w:id="1425147933">
          <w:marLeft w:val="965"/>
          <w:marRight w:val="0"/>
          <w:marTop w:val="0"/>
          <w:marBottom w:val="0"/>
          <w:divBdr>
            <w:top w:val="none" w:sz="0" w:space="0" w:color="auto"/>
            <w:left w:val="none" w:sz="0" w:space="0" w:color="auto"/>
            <w:bottom w:val="none" w:sz="0" w:space="0" w:color="auto"/>
            <w:right w:val="none" w:sz="0" w:space="0" w:color="auto"/>
          </w:divBdr>
        </w:div>
      </w:divsChild>
    </w:div>
    <w:div w:id="1460034111">
      <w:bodyDiv w:val="1"/>
      <w:marLeft w:val="0"/>
      <w:marRight w:val="0"/>
      <w:marTop w:val="0"/>
      <w:marBottom w:val="0"/>
      <w:divBdr>
        <w:top w:val="none" w:sz="0" w:space="0" w:color="auto"/>
        <w:left w:val="none" w:sz="0" w:space="0" w:color="auto"/>
        <w:bottom w:val="none" w:sz="0" w:space="0" w:color="auto"/>
        <w:right w:val="none" w:sz="0" w:space="0" w:color="auto"/>
      </w:divBdr>
      <w:divsChild>
        <w:div w:id="1947543924">
          <w:marLeft w:val="0"/>
          <w:marRight w:val="0"/>
          <w:marTop w:val="144"/>
          <w:marBottom w:val="0"/>
          <w:divBdr>
            <w:top w:val="none" w:sz="0" w:space="0" w:color="auto"/>
            <w:left w:val="none" w:sz="0" w:space="0" w:color="auto"/>
            <w:bottom w:val="none" w:sz="0" w:space="0" w:color="auto"/>
            <w:right w:val="none" w:sz="0" w:space="0" w:color="auto"/>
          </w:divBdr>
        </w:div>
      </w:divsChild>
    </w:div>
    <w:div w:id="1471511607">
      <w:bodyDiv w:val="1"/>
      <w:marLeft w:val="0"/>
      <w:marRight w:val="0"/>
      <w:marTop w:val="0"/>
      <w:marBottom w:val="0"/>
      <w:divBdr>
        <w:top w:val="none" w:sz="0" w:space="0" w:color="auto"/>
        <w:left w:val="none" w:sz="0" w:space="0" w:color="auto"/>
        <w:bottom w:val="none" w:sz="0" w:space="0" w:color="auto"/>
        <w:right w:val="none" w:sz="0" w:space="0" w:color="auto"/>
      </w:divBdr>
    </w:div>
    <w:div w:id="1477988386">
      <w:bodyDiv w:val="1"/>
      <w:marLeft w:val="0"/>
      <w:marRight w:val="0"/>
      <w:marTop w:val="0"/>
      <w:marBottom w:val="0"/>
      <w:divBdr>
        <w:top w:val="none" w:sz="0" w:space="0" w:color="auto"/>
        <w:left w:val="none" w:sz="0" w:space="0" w:color="auto"/>
        <w:bottom w:val="none" w:sz="0" w:space="0" w:color="auto"/>
        <w:right w:val="none" w:sz="0" w:space="0" w:color="auto"/>
      </w:divBdr>
    </w:div>
    <w:div w:id="1485047424">
      <w:bodyDiv w:val="1"/>
      <w:marLeft w:val="0"/>
      <w:marRight w:val="0"/>
      <w:marTop w:val="0"/>
      <w:marBottom w:val="0"/>
      <w:divBdr>
        <w:top w:val="none" w:sz="0" w:space="0" w:color="auto"/>
        <w:left w:val="none" w:sz="0" w:space="0" w:color="auto"/>
        <w:bottom w:val="none" w:sz="0" w:space="0" w:color="auto"/>
        <w:right w:val="none" w:sz="0" w:space="0" w:color="auto"/>
      </w:divBdr>
    </w:div>
    <w:div w:id="1493137061">
      <w:bodyDiv w:val="1"/>
      <w:marLeft w:val="0"/>
      <w:marRight w:val="0"/>
      <w:marTop w:val="0"/>
      <w:marBottom w:val="0"/>
      <w:divBdr>
        <w:top w:val="none" w:sz="0" w:space="0" w:color="auto"/>
        <w:left w:val="none" w:sz="0" w:space="0" w:color="auto"/>
        <w:bottom w:val="none" w:sz="0" w:space="0" w:color="auto"/>
        <w:right w:val="none" w:sz="0" w:space="0" w:color="auto"/>
      </w:divBdr>
    </w:div>
    <w:div w:id="1499614101">
      <w:bodyDiv w:val="1"/>
      <w:marLeft w:val="0"/>
      <w:marRight w:val="0"/>
      <w:marTop w:val="0"/>
      <w:marBottom w:val="0"/>
      <w:divBdr>
        <w:top w:val="none" w:sz="0" w:space="0" w:color="auto"/>
        <w:left w:val="none" w:sz="0" w:space="0" w:color="auto"/>
        <w:bottom w:val="none" w:sz="0" w:space="0" w:color="auto"/>
        <w:right w:val="none" w:sz="0" w:space="0" w:color="auto"/>
      </w:divBdr>
    </w:div>
    <w:div w:id="1501307667">
      <w:bodyDiv w:val="1"/>
      <w:marLeft w:val="0"/>
      <w:marRight w:val="0"/>
      <w:marTop w:val="0"/>
      <w:marBottom w:val="0"/>
      <w:divBdr>
        <w:top w:val="none" w:sz="0" w:space="0" w:color="auto"/>
        <w:left w:val="none" w:sz="0" w:space="0" w:color="auto"/>
        <w:bottom w:val="none" w:sz="0" w:space="0" w:color="auto"/>
        <w:right w:val="none" w:sz="0" w:space="0" w:color="auto"/>
      </w:divBdr>
    </w:div>
    <w:div w:id="1501390290">
      <w:bodyDiv w:val="1"/>
      <w:marLeft w:val="0"/>
      <w:marRight w:val="0"/>
      <w:marTop w:val="0"/>
      <w:marBottom w:val="0"/>
      <w:divBdr>
        <w:top w:val="none" w:sz="0" w:space="0" w:color="auto"/>
        <w:left w:val="none" w:sz="0" w:space="0" w:color="auto"/>
        <w:bottom w:val="none" w:sz="0" w:space="0" w:color="auto"/>
        <w:right w:val="none" w:sz="0" w:space="0" w:color="auto"/>
      </w:divBdr>
    </w:div>
    <w:div w:id="1501966017">
      <w:bodyDiv w:val="1"/>
      <w:marLeft w:val="0"/>
      <w:marRight w:val="0"/>
      <w:marTop w:val="0"/>
      <w:marBottom w:val="0"/>
      <w:divBdr>
        <w:top w:val="none" w:sz="0" w:space="0" w:color="auto"/>
        <w:left w:val="none" w:sz="0" w:space="0" w:color="auto"/>
        <w:bottom w:val="none" w:sz="0" w:space="0" w:color="auto"/>
        <w:right w:val="none" w:sz="0" w:space="0" w:color="auto"/>
      </w:divBdr>
    </w:div>
    <w:div w:id="1518034190">
      <w:bodyDiv w:val="1"/>
      <w:marLeft w:val="0"/>
      <w:marRight w:val="0"/>
      <w:marTop w:val="0"/>
      <w:marBottom w:val="0"/>
      <w:divBdr>
        <w:top w:val="none" w:sz="0" w:space="0" w:color="auto"/>
        <w:left w:val="none" w:sz="0" w:space="0" w:color="auto"/>
        <w:bottom w:val="none" w:sz="0" w:space="0" w:color="auto"/>
        <w:right w:val="none" w:sz="0" w:space="0" w:color="auto"/>
      </w:divBdr>
    </w:div>
    <w:div w:id="1522084187">
      <w:bodyDiv w:val="1"/>
      <w:marLeft w:val="0"/>
      <w:marRight w:val="0"/>
      <w:marTop w:val="0"/>
      <w:marBottom w:val="0"/>
      <w:divBdr>
        <w:top w:val="none" w:sz="0" w:space="0" w:color="auto"/>
        <w:left w:val="none" w:sz="0" w:space="0" w:color="auto"/>
        <w:bottom w:val="none" w:sz="0" w:space="0" w:color="auto"/>
        <w:right w:val="none" w:sz="0" w:space="0" w:color="auto"/>
      </w:divBdr>
    </w:div>
    <w:div w:id="1532183679">
      <w:bodyDiv w:val="1"/>
      <w:marLeft w:val="0"/>
      <w:marRight w:val="0"/>
      <w:marTop w:val="0"/>
      <w:marBottom w:val="0"/>
      <w:divBdr>
        <w:top w:val="none" w:sz="0" w:space="0" w:color="auto"/>
        <w:left w:val="none" w:sz="0" w:space="0" w:color="auto"/>
        <w:bottom w:val="none" w:sz="0" w:space="0" w:color="auto"/>
        <w:right w:val="none" w:sz="0" w:space="0" w:color="auto"/>
      </w:divBdr>
    </w:div>
    <w:div w:id="1534271468">
      <w:bodyDiv w:val="1"/>
      <w:marLeft w:val="0"/>
      <w:marRight w:val="0"/>
      <w:marTop w:val="0"/>
      <w:marBottom w:val="0"/>
      <w:divBdr>
        <w:top w:val="none" w:sz="0" w:space="0" w:color="auto"/>
        <w:left w:val="none" w:sz="0" w:space="0" w:color="auto"/>
        <w:bottom w:val="none" w:sz="0" w:space="0" w:color="auto"/>
        <w:right w:val="none" w:sz="0" w:space="0" w:color="auto"/>
      </w:divBdr>
    </w:div>
    <w:div w:id="1547328223">
      <w:bodyDiv w:val="1"/>
      <w:marLeft w:val="0"/>
      <w:marRight w:val="0"/>
      <w:marTop w:val="0"/>
      <w:marBottom w:val="0"/>
      <w:divBdr>
        <w:top w:val="none" w:sz="0" w:space="0" w:color="auto"/>
        <w:left w:val="none" w:sz="0" w:space="0" w:color="auto"/>
        <w:bottom w:val="none" w:sz="0" w:space="0" w:color="auto"/>
        <w:right w:val="none" w:sz="0" w:space="0" w:color="auto"/>
      </w:divBdr>
    </w:div>
    <w:div w:id="1547642589">
      <w:bodyDiv w:val="1"/>
      <w:marLeft w:val="0"/>
      <w:marRight w:val="0"/>
      <w:marTop w:val="0"/>
      <w:marBottom w:val="0"/>
      <w:divBdr>
        <w:top w:val="none" w:sz="0" w:space="0" w:color="auto"/>
        <w:left w:val="none" w:sz="0" w:space="0" w:color="auto"/>
        <w:bottom w:val="none" w:sz="0" w:space="0" w:color="auto"/>
        <w:right w:val="none" w:sz="0" w:space="0" w:color="auto"/>
      </w:divBdr>
    </w:div>
    <w:div w:id="1550648150">
      <w:bodyDiv w:val="1"/>
      <w:marLeft w:val="0"/>
      <w:marRight w:val="0"/>
      <w:marTop w:val="0"/>
      <w:marBottom w:val="0"/>
      <w:divBdr>
        <w:top w:val="none" w:sz="0" w:space="0" w:color="auto"/>
        <w:left w:val="none" w:sz="0" w:space="0" w:color="auto"/>
        <w:bottom w:val="none" w:sz="0" w:space="0" w:color="auto"/>
        <w:right w:val="none" w:sz="0" w:space="0" w:color="auto"/>
      </w:divBdr>
    </w:div>
    <w:div w:id="1552115774">
      <w:bodyDiv w:val="1"/>
      <w:marLeft w:val="0"/>
      <w:marRight w:val="0"/>
      <w:marTop w:val="0"/>
      <w:marBottom w:val="0"/>
      <w:divBdr>
        <w:top w:val="none" w:sz="0" w:space="0" w:color="auto"/>
        <w:left w:val="none" w:sz="0" w:space="0" w:color="auto"/>
        <w:bottom w:val="none" w:sz="0" w:space="0" w:color="auto"/>
        <w:right w:val="none" w:sz="0" w:space="0" w:color="auto"/>
      </w:divBdr>
    </w:div>
    <w:div w:id="1573542548">
      <w:bodyDiv w:val="1"/>
      <w:marLeft w:val="0"/>
      <w:marRight w:val="0"/>
      <w:marTop w:val="0"/>
      <w:marBottom w:val="0"/>
      <w:divBdr>
        <w:top w:val="none" w:sz="0" w:space="0" w:color="auto"/>
        <w:left w:val="none" w:sz="0" w:space="0" w:color="auto"/>
        <w:bottom w:val="none" w:sz="0" w:space="0" w:color="auto"/>
        <w:right w:val="none" w:sz="0" w:space="0" w:color="auto"/>
      </w:divBdr>
    </w:div>
    <w:div w:id="1582324336">
      <w:bodyDiv w:val="1"/>
      <w:marLeft w:val="0"/>
      <w:marRight w:val="0"/>
      <w:marTop w:val="0"/>
      <w:marBottom w:val="0"/>
      <w:divBdr>
        <w:top w:val="none" w:sz="0" w:space="0" w:color="auto"/>
        <w:left w:val="none" w:sz="0" w:space="0" w:color="auto"/>
        <w:bottom w:val="none" w:sz="0" w:space="0" w:color="auto"/>
        <w:right w:val="none" w:sz="0" w:space="0" w:color="auto"/>
      </w:divBdr>
    </w:div>
    <w:div w:id="1585066550">
      <w:bodyDiv w:val="1"/>
      <w:marLeft w:val="0"/>
      <w:marRight w:val="0"/>
      <w:marTop w:val="0"/>
      <w:marBottom w:val="0"/>
      <w:divBdr>
        <w:top w:val="none" w:sz="0" w:space="0" w:color="auto"/>
        <w:left w:val="none" w:sz="0" w:space="0" w:color="auto"/>
        <w:bottom w:val="none" w:sz="0" w:space="0" w:color="auto"/>
        <w:right w:val="none" w:sz="0" w:space="0" w:color="auto"/>
      </w:divBdr>
    </w:div>
    <w:div w:id="1588269698">
      <w:bodyDiv w:val="1"/>
      <w:marLeft w:val="0"/>
      <w:marRight w:val="0"/>
      <w:marTop w:val="0"/>
      <w:marBottom w:val="0"/>
      <w:divBdr>
        <w:top w:val="none" w:sz="0" w:space="0" w:color="auto"/>
        <w:left w:val="none" w:sz="0" w:space="0" w:color="auto"/>
        <w:bottom w:val="none" w:sz="0" w:space="0" w:color="auto"/>
        <w:right w:val="none" w:sz="0" w:space="0" w:color="auto"/>
      </w:divBdr>
    </w:div>
    <w:div w:id="1589537620">
      <w:bodyDiv w:val="1"/>
      <w:marLeft w:val="0"/>
      <w:marRight w:val="0"/>
      <w:marTop w:val="0"/>
      <w:marBottom w:val="0"/>
      <w:divBdr>
        <w:top w:val="none" w:sz="0" w:space="0" w:color="auto"/>
        <w:left w:val="none" w:sz="0" w:space="0" w:color="auto"/>
        <w:bottom w:val="none" w:sz="0" w:space="0" w:color="auto"/>
        <w:right w:val="none" w:sz="0" w:space="0" w:color="auto"/>
      </w:divBdr>
    </w:div>
    <w:div w:id="1590263080">
      <w:bodyDiv w:val="1"/>
      <w:marLeft w:val="0"/>
      <w:marRight w:val="0"/>
      <w:marTop w:val="0"/>
      <w:marBottom w:val="0"/>
      <w:divBdr>
        <w:top w:val="none" w:sz="0" w:space="0" w:color="auto"/>
        <w:left w:val="none" w:sz="0" w:space="0" w:color="auto"/>
        <w:bottom w:val="none" w:sz="0" w:space="0" w:color="auto"/>
        <w:right w:val="none" w:sz="0" w:space="0" w:color="auto"/>
      </w:divBdr>
    </w:div>
    <w:div w:id="1590771065">
      <w:bodyDiv w:val="1"/>
      <w:marLeft w:val="0"/>
      <w:marRight w:val="0"/>
      <w:marTop w:val="0"/>
      <w:marBottom w:val="0"/>
      <w:divBdr>
        <w:top w:val="none" w:sz="0" w:space="0" w:color="auto"/>
        <w:left w:val="none" w:sz="0" w:space="0" w:color="auto"/>
        <w:bottom w:val="none" w:sz="0" w:space="0" w:color="auto"/>
        <w:right w:val="none" w:sz="0" w:space="0" w:color="auto"/>
      </w:divBdr>
    </w:div>
    <w:div w:id="1597858945">
      <w:bodyDiv w:val="1"/>
      <w:marLeft w:val="0"/>
      <w:marRight w:val="0"/>
      <w:marTop w:val="0"/>
      <w:marBottom w:val="0"/>
      <w:divBdr>
        <w:top w:val="none" w:sz="0" w:space="0" w:color="auto"/>
        <w:left w:val="none" w:sz="0" w:space="0" w:color="auto"/>
        <w:bottom w:val="none" w:sz="0" w:space="0" w:color="auto"/>
        <w:right w:val="none" w:sz="0" w:space="0" w:color="auto"/>
      </w:divBdr>
    </w:div>
    <w:div w:id="1599757561">
      <w:bodyDiv w:val="1"/>
      <w:marLeft w:val="0"/>
      <w:marRight w:val="0"/>
      <w:marTop w:val="0"/>
      <w:marBottom w:val="0"/>
      <w:divBdr>
        <w:top w:val="none" w:sz="0" w:space="0" w:color="auto"/>
        <w:left w:val="none" w:sz="0" w:space="0" w:color="auto"/>
        <w:bottom w:val="none" w:sz="0" w:space="0" w:color="auto"/>
        <w:right w:val="none" w:sz="0" w:space="0" w:color="auto"/>
      </w:divBdr>
    </w:div>
    <w:div w:id="1605188505">
      <w:bodyDiv w:val="1"/>
      <w:marLeft w:val="0"/>
      <w:marRight w:val="0"/>
      <w:marTop w:val="0"/>
      <w:marBottom w:val="0"/>
      <w:divBdr>
        <w:top w:val="none" w:sz="0" w:space="0" w:color="auto"/>
        <w:left w:val="none" w:sz="0" w:space="0" w:color="auto"/>
        <w:bottom w:val="none" w:sz="0" w:space="0" w:color="auto"/>
        <w:right w:val="none" w:sz="0" w:space="0" w:color="auto"/>
      </w:divBdr>
    </w:div>
    <w:div w:id="1612542923">
      <w:bodyDiv w:val="1"/>
      <w:marLeft w:val="0"/>
      <w:marRight w:val="0"/>
      <w:marTop w:val="0"/>
      <w:marBottom w:val="0"/>
      <w:divBdr>
        <w:top w:val="none" w:sz="0" w:space="0" w:color="auto"/>
        <w:left w:val="none" w:sz="0" w:space="0" w:color="auto"/>
        <w:bottom w:val="none" w:sz="0" w:space="0" w:color="auto"/>
        <w:right w:val="none" w:sz="0" w:space="0" w:color="auto"/>
      </w:divBdr>
    </w:div>
    <w:div w:id="1615819165">
      <w:bodyDiv w:val="1"/>
      <w:marLeft w:val="0"/>
      <w:marRight w:val="0"/>
      <w:marTop w:val="0"/>
      <w:marBottom w:val="0"/>
      <w:divBdr>
        <w:top w:val="none" w:sz="0" w:space="0" w:color="auto"/>
        <w:left w:val="none" w:sz="0" w:space="0" w:color="auto"/>
        <w:bottom w:val="none" w:sz="0" w:space="0" w:color="auto"/>
        <w:right w:val="none" w:sz="0" w:space="0" w:color="auto"/>
      </w:divBdr>
    </w:div>
    <w:div w:id="1617369286">
      <w:bodyDiv w:val="1"/>
      <w:marLeft w:val="0"/>
      <w:marRight w:val="0"/>
      <w:marTop w:val="0"/>
      <w:marBottom w:val="0"/>
      <w:divBdr>
        <w:top w:val="none" w:sz="0" w:space="0" w:color="auto"/>
        <w:left w:val="none" w:sz="0" w:space="0" w:color="auto"/>
        <w:bottom w:val="none" w:sz="0" w:space="0" w:color="auto"/>
        <w:right w:val="none" w:sz="0" w:space="0" w:color="auto"/>
      </w:divBdr>
    </w:div>
    <w:div w:id="1618680579">
      <w:bodyDiv w:val="1"/>
      <w:marLeft w:val="0"/>
      <w:marRight w:val="0"/>
      <w:marTop w:val="0"/>
      <w:marBottom w:val="0"/>
      <w:divBdr>
        <w:top w:val="none" w:sz="0" w:space="0" w:color="auto"/>
        <w:left w:val="none" w:sz="0" w:space="0" w:color="auto"/>
        <w:bottom w:val="none" w:sz="0" w:space="0" w:color="auto"/>
        <w:right w:val="none" w:sz="0" w:space="0" w:color="auto"/>
      </w:divBdr>
    </w:div>
    <w:div w:id="1627203592">
      <w:bodyDiv w:val="1"/>
      <w:marLeft w:val="0"/>
      <w:marRight w:val="0"/>
      <w:marTop w:val="0"/>
      <w:marBottom w:val="0"/>
      <w:divBdr>
        <w:top w:val="none" w:sz="0" w:space="0" w:color="auto"/>
        <w:left w:val="none" w:sz="0" w:space="0" w:color="auto"/>
        <w:bottom w:val="none" w:sz="0" w:space="0" w:color="auto"/>
        <w:right w:val="none" w:sz="0" w:space="0" w:color="auto"/>
      </w:divBdr>
    </w:div>
    <w:div w:id="1629362432">
      <w:bodyDiv w:val="1"/>
      <w:marLeft w:val="0"/>
      <w:marRight w:val="0"/>
      <w:marTop w:val="0"/>
      <w:marBottom w:val="0"/>
      <w:divBdr>
        <w:top w:val="none" w:sz="0" w:space="0" w:color="auto"/>
        <w:left w:val="none" w:sz="0" w:space="0" w:color="auto"/>
        <w:bottom w:val="none" w:sz="0" w:space="0" w:color="auto"/>
        <w:right w:val="none" w:sz="0" w:space="0" w:color="auto"/>
      </w:divBdr>
    </w:div>
    <w:div w:id="1631128482">
      <w:bodyDiv w:val="1"/>
      <w:marLeft w:val="0"/>
      <w:marRight w:val="0"/>
      <w:marTop w:val="0"/>
      <w:marBottom w:val="0"/>
      <w:divBdr>
        <w:top w:val="none" w:sz="0" w:space="0" w:color="auto"/>
        <w:left w:val="none" w:sz="0" w:space="0" w:color="auto"/>
        <w:bottom w:val="none" w:sz="0" w:space="0" w:color="auto"/>
        <w:right w:val="none" w:sz="0" w:space="0" w:color="auto"/>
      </w:divBdr>
      <w:divsChild>
        <w:div w:id="148714297">
          <w:marLeft w:val="1555"/>
          <w:marRight w:val="0"/>
          <w:marTop w:val="0"/>
          <w:marBottom w:val="0"/>
          <w:divBdr>
            <w:top w:val="none" w:sz="0" w:space="0" w:color="auto"/>
            <w:left w:val="none" w:sz="0" w:space="0" w:color="auto"/>
            <w:bottom w:val="none" w:sz="0" w:space="0" w:color="auto"/>
            <w:right w:val="none" w:sz="0" w:space="0" w:color="auto"/>
          </w:divBdr>
        </w:div>
        <w:div w:id="1472481311">
          <w:marLeft w:val="1555"/>
          <w:marRight w:val="0"/>
          <w:marTop w:val="0"/>
          <w:marBottom w:val="0"/>
          <w:divBdr>
            <w:top w:val="none" w:sz="0" w:space="0" w:color="auto"/>
            <w:left w:val="none" w:sz="0" w:space="0" w:color="auto"/>
            <w:bottom w:val="none" w:sz="0" w:space="0" w:color="auto"/>
            <w:right w:val="none" w:sz="0" w:space="0" w:color="auto"/>
          </w:divBdr>
        </w:div>
        <w:div w:id="1666477099">
          <w:marLeft w:val="1555"/>
          <w:marRight w:val="0"/>
          <w:marTop w:val="0"/>
          <w:marBottom w:val="0"/>
          <w:divBdr>
            <w:top w:val="none" w:sz="0" w:space="0" w:color="auto"/>
            <w:left w:val="none" w:sz="0" w:space="0" w:color="auto"/>
            <w:bottom w:val="none" w:sz="0" w:space="0" w:color="auto"/>
            <w:right w:val="none" w:sz="0" w:space="0" w:color="auto"/>
          </w:divBdr>
        </w:div>
        <w:div w:id="1910260583">
          <w:marLeft w:val="1555"/>
          <w:marRight w:val="0"/>
          <w:marTop w:val="0"/>
          <w:marBottom w:val="0"/>
          <w:divBdr>
            <w:top w:val="none" w:sz="0" w:space="0" w:color="auto"/>
            <w:left w:val="none" w:sz="0" w:space="0" w:color="auto"/>
            <w:bottom w:val="none" w:sz="0" w:space="0" w:color="auto"/>
            <w:right w:val="none" w:sz="0" w:space="0" w:color="auto"/>
          </w:divBdr>
        </w:div>
      </w:divsChild>
    </w:div>
    <w:div w:id="1639918645">
      <w:bodyDiv w:val="1"/>
      <w:marLeft w:val="0"/>
      <w:marRight w:val="0"/>
      <w:marTop w:val="0"/>
      <w:marBottom w:val="0"/>
      <w:divBdr>
        <w:top w:val="none" w:sz="0" w:space="0" w:color="auto"/>
        <w:left w:val="none" w:sz="0" w:space="0" w:color="auto"/>
        <w:bottom w:val="none" w:sz="0" w:space="0" w:color="auto"/>
        <w:right w:val="none" w:sz="0" w:space="0" w:color="auto"/>
      </w:divBdr>
    </w:div>
    <w:div w:id="1640065373">
      <w:bodyDiv w:val="1"/>
      <w:marLeft w:val="0"/>
      <w:marRight w:val="0"/>
      <w:marTop w:val="0"/>
      <w:marBottom w:val="0"/>
      <w:divBdr>
        <w:top w:val="none" w:sz="0" w:space="0" w:color="auto"/>
        <w:left w:val="none" w:sz="0" w:space="0" w:color="auto"/>
        <w:bottom w:val="none" w:sz="0" w:space="0" w:color="auto"/>
        <w:right w:val="none" w:sz="0" w:space="0" w:color="auto"/>
      </w:divBdr>
    </w:div>
    <w:div w:id="1655837444">
      <w:bodyDiv w:val="1"/>
      <w:marLeft w:val="0"/>
      <w:marRight w:val="0"/>
      <w:marTop w:val="0"/>
      <w:marBottom w:val="0"/>
      <w:divBdr>
        <w:top w:val="none" w:sz="0" w:space="0" w:color="auto"/>
        <w:left w:val="none" w:sz="0" w:space="0" w:color="auto"/>
        <w:bottom w:val="none" w:sz="0" w:space="0" w:color="auto"/>
        <w:right w:val="none" w:sz="0" w:space="0" w:color="auto"/>
      </w:divBdr>
      <w:divsChild>
        <w:div w:id="1187401831">
          <w:marLeft w:val="1829"/>
          <w:marRight w:val="0"/>
          <w:marTop w:val="0"/>
          <w:marBottom w:val="0"/>
          <w:divBdr>
            <w:top w:val="none" w:sz="0" w:space="0" w:color="auto"/>
            <w:left w:val="none" w:sz="0" w:space="0" w:color="auto"/>
            <w:bottom w:val="none" w:sz="0" w:space="0" w:color="auto"/>
            <w:right w:val="none" w:sz="0" w:space="0" w:color="auto"/>
          </w:divBdr>
        </w:div>
        <w:div w:id="1396705932">
          <w:marLeft w:val="1829"/>
          <w:marRight w:val="0"/>
          <w:marTop w:val="0"/>
          <w:marBottom w:val="0"/>
          <w:divBdr>
            <w:top w:val="none" w:sz="0" w:space="0" w:color="auto"/>
            <w:left w:val="none" w:sz="0" w:space="0" w:color="auto"/>
            <w:bottom w:val="none" w:sz="0" w:space="0" w:color="auto"/>
            <w:right w:val="none" w:sz="0" w:space="0" w:color="auto"/>
          </w:divBdr>
        </w:div>
        <w:div w:id="1864518016">
          <w:marLeft w:val="1829"/>
          <w:marRight w:val="0"/>
          <w:marTop w:val="0"/>
          <w:marBottom w:val="0"/>
          <w:divBdr>
            <w:top w:val="none" w:sz="0" w:space="0" w:color="auto"/>
            <w:left w:val="none" w:sz="0" w:space="0" w:color="auto"/>
            <w:bottom w:val="none" w:sz="0" w:space="0" w:color="auto"/>
            <w:right w:val="none" w:sz="0" w:space="0" w:color="auto"/>
          </w:divBdr>
        </w:div>
      </w:divsChild>
    </w:div>
    <w:div w:id="1670599697">
      <w:bodyDiv w:val="1"/>
      <w:marLeft w:val="0"/>
      <w:marRight w:val="0"/>
      <w:marTop w:val="0"/>
      <w:marBottom w:val="0"/>
      <w:divBdr>
        <w:top w:val="none" w:sz="0" w:space="0" w:color="auto"/>
        <w:left w:val="none" w:sz="0" w:space="0" w:color="auto"/>
        <w:bottom w:val="none" w:sz="0" w:space="0" w:color="auto"/>
        <w:right w:val="none" w:sz="0" w:space="0" w:color="auto"/>
      </w:divBdr>
      <w:divsChild>
        <w:div w:id="559949182">
          <w:marLeft w:val="965"/>
          <w:marRight w:val="0"/>
          <w:marTop w:val="0"/>
          <w:marBottom w:val="0"/>
          <w:divBdr>
            <w:top w:val="none" w:sz="0" w:space="0" w:color="auto"/>
            <w:left w:val="none" w:sz="0" w:space="0" w:color="auto"/>
            <w:bottom w:val="none" w:sz="0" w:space="0" w:color="auto"/>
            <w:right w:val="none" w:sz="0" w:space="0" w:color="auto"/>
          </w:divBdr>
        </w:div>
        <w:div w:id="1309824829">
          <w:marLeft w:val="965"/>
          <w:marRight w:val="0"/>
          <w:marTop w:val="0"/>
          <w:marBottom w:val="0"/>
          <w:divBdr>
            <w:top w:val="none" w:sz="0" w:space="0" w:color="auto"/>
            <w:left w:val="none" w:sz="0" w:space="0" w:color="auto"/>
            <w:bottom w:val="none" w:sz="0" w:space="0" w:color="auto"/>
            <w:right w:val="none" w:sz="0" w:space="0" w:color="auto"/>
          </w:divBdr>
        </w:div>
        <w:div w:id="1440023337">
          <w:marLeft w:val="965"/>
          <w:marRight w:val="0"/>
          <w:marTop w:val="0"/>
          <w:marBottom w:val="0"/>
          <w:divBdr>
            <w:top w:val="none" w:sz="0" w:space="0" w:color="auto"/>
            <w:left w:val="none" w:sz="0" w:space="0" w:color="auto"/>
            <w:bottom w:val="none" w:sz="0" w:space="0" w:color="auto"/>
            <w:right w:val="none" w:sz="0" w:space="0" w:color="auto"/>
          </w:divBdr>
        </w:div>
      </w:divsChild>
    </w:div>
    <w:div w:id="1674912313">
      <w:bodyDiv w:val="1"/>
      <w:marLeft w:val="0"/>
      <w:marRight w:val="0"/>
      <w:marTop w:val="0"/>
      <w:marBottom w:val="0"/>
      <w:divBdr>
        <w:top w:val="none" w:sz="0" w:space="0" w:color="auto"/>
        <w:left w:val="none" w:sz="0" w:space="0" w:color="auto"/>
        <w:bottom w:val="none" w:sz="0" w:space="0" w:color="auto"/>
        <w:right w:val="none" w:sz="0" w:space="0" w:color="auto"/>
      </w:divBdr>
      <w:divsChild>
        <w:div w:id="393546191">
          <w:marLeft w:val="965"/>
          <w:marRight w:val="0"/>
          <w:marTop w:val="0"/>
          <w:marBottom w:val="0"/>
          <w:divBdr>
            <w:top w:val="none" w:sz="0" w:space="0" w:color="auto"/>
            <w:left w:val="none" w:sz="0" w:space="0" w:color="auto"/>
            <w:bottom w:val="none" w:sz="0" w:space="0" w:color="auto"/>
            <w:right w:val="none" w:sz="0" w:space="0" w:color="auto"/>
          </w:divBdr>
        </w:div>
        <w:div w:id="547641995">
          <w:marLeft w:val="965"/>
          <w:marRight w:val="0"/>
          <w:marTop w:val="0"/>
          <w:marBottom w:val="0"/>
          <w:divBdr>
            <w:top w:val="none" w:sz="0" w:space="0" w:color="auto"/>
            <w:left w:val="none" w:sz="0" w:space="0" w:color="auto"/>
            <w:bottom w:val="none" w:sz="0" w:space="0" w:color="auto"/>
            <w:right w:val="none" w:sz="0" w:space="0" w:color="auto"/>
          </w:divBdr>
        </w:div>
      </w:divsChild>
    </w:div>
    <w:div w:id="1689066928">
      <w:bodyDiv w:val="1"/>
      <w:marLeft w:val="0"/>
      <w:marRight w:val="0"/>
      <w:marTop w:val="0"/>
      <w:marBottom w:val="0"/>
      <w:divBdr>
        <w:top w:val="none" w:sz="0" w:space="0" w:color="auto"/>
        <w:left w:val="none" w:sz="0" w:space="0" w:color="auto"/>
        <w:bottom w:val="none" w:sz="0" w:space="0" w:color="auto"/>
        <w:right w:val="none" w:sz="0" w:space="0" w:color="auto"/>
      </w:divBdr>
    </w:div>
    <w:div w:id="1694765166">
      <w:bodyDiv w:val="1"/>
      <w:marLeft w:val="0"/>
      <w:marRight w:val="0"/>
      <w:marTop w:val="0"/>
      <w:marBottom w:val="0"/>
      <w:divBdr>
        <w:top w:val="none" w:sz="0" w:space="0" w:color="auto"/>
        <w:left w:val="none" w:sz="0" w:space="0" w:color="auto"/>
        <w:bottom w:val="none" w:sz="0" w:space="0" w:color="auto"/>
        <w:right w:val="none" w:sz="0" w:space="0" w:color="auto"/>
      </w:divBdr>
    </w:div>
    <w:div w:id="1695425237">
      <w:bodyDiv w:val="1"/>
      <w:marLeft w:val="0"/>
      <w:marRight w:val="0"/>
      <w:marTop w:val="0"/>
      <w:marBottom w:val="0"/>
      <w:divBdr>
        <w:top w:val="none" w:sz="0" w:space="0" w:color="auto"/>
        <w:left w:val="none" w:sz="0" w:space="0" w:color="auto"/>
        <w:bottom w:val="none" w:sz="0" w:space="0" w:color="auto"/>
        <w:right w:val="none" w:sz="0" w:space="0" w:color="auto"/>
      </w:divBdr>
    </w:div>
    <w:div w:id="1696081608">
      <w:bodyDiv w:val="1"/>
      <w:marLeft w:val="0"/>
      <w:marRight w:val="0"/>
      <w:marTop w:val="0"/>
      <w:marBottom w:val="0"/>
      <w:divBdr>
        <w:top w:val="none" w:sz="0" w:space="0" w:color="auto"/>
        <w:left w:val="none" w:sz="0" w:space="0" w:color="auto"/>
        <w:bottom w:val="none" w:sz="0" w:space="0" w:color="auto"/>
        <w:right w:val="none" w:sz="0" w:space="0" w:color="auto"/>
      </w:divBdr>
    </w:div>
    <w:div w:id="1698578542">
      <w:bodyDiv w:val="1"/>
      <w:marLeft w:val="0"/>
      <w:marRight w:val="0"/>
      <w:marTop w:val="0"/>
      <w:marBottom w:val="0"/>
      <w:divBdr>
        <w:top w:val="none" w:sz="0" w:space="0" w:color="auto"/>
        <w:left w:val="none" w:sz="0" w:space="0" w:color="auto"/>
        <w:bottom w:val="none" w:sz="0" w:space="0" w:color="auto"/>
        <w:right w:val="none" w:sz="0" w:space="0" w:color="auto"/>
      </w:divBdr>
    </w:div>
    <w:div w:id="1698963308">
      <w:bodyDiv w:val="1"/>
      <w:marLeft w:val="0"/>
      <w:marRight w:val="0"/>
      <w:marTop w:val="0"/>
      <w:marBottom w:val="0"/>
      <w:divBdr>
        <w:top w:val="none" w:sz="0" w:space="0" w:color="auto"/>
        <w:left w:val="none" w:sz="0" w:space="0" w:color="auto"/>
        <w:bottom w:val="none" w:sz="0" w:space="0" w:color="auto"/>
        <w:right w:val="none" w:sz="0" w:space="0" w:color="auto"/>
      </w:divBdr>
    </w:div>
    <w:div w:id="1723361271">
      <w:bodyDiv w:val="1"/>
      <w:marLeft w:val="0"/>
      <w:marRight w:val="0"/>
      <w:marTop w:val="0"/>
      <w:marBottom w:val="0"/>
      <w:divBdr>
        <w:top w:val="none" w:sz="0" w:space="0" w:color="auto"/>
        <w:left w:val="none" w:sz="0" w:space="0" w:color="auto"/>
        <w:bottom w:val="none" w:sz="0" w:space="0" w:color="auto"/>
        <w:right w:val="none" w:sz="0" w:space="0" w:color="auto"/>
      </w:divBdr>
    </w:div>
    <w:div w:id="1724060949">
      <w:bodyDiv w:val="1"/>
      <w:marLeft w:val="0"/>
      <w:marRight w:val="0"/>
      <w:marTop w:val="0"/>
      <w:marBottom w:val="0"/>
      <w:divBdr>
        <w:top w:val="none" w:sz="0" w:space="0" w:color="auto"/>
        <w:left w:val="none" w:sz="0" w:space="0" w:color="auto"/>
        <w:bottom w:val="none" w:sz="0" w:space="0" w:color="auto"/>
        <w:right w:val="none" w:sz="0" w:space="0" w:color="auto"/>
      </w:divBdr>
    </w:div>
    <w:div w:id="1732993793">
      <w:bodyDiv w:val="1"/>
      <w:marLeft w:val="0"/>
      <w:marRight w:val="0"/>
      <w:marTop w:val="0"/>
      <w:marBottom w:val="0"/>
      <w:divBdr>
        <w:top w:val="none" w:sz="0" w:space="0" w:color="auto"/>
        <w:left w:val="none" w:sz="0" w:space="0" w:color="auto"/>
        <w:bottom w:val="none" w:sz="0" w:space="0" w:color="auto"/>
        <w:right w:val="none" w:sz="0" w:space="0" w:color="auto"/>
      </w:divBdr>
    </w:div>
    <w:div w:id="1733844322">
      <w:bodyDiv w:val="1"/>
      <w:marLeft w:val="0"/>
      <w:marRight w:val="0"/>
      <w:marTop w:val="0"/>
      <w:marBottom w:val="0"/>
      <w:divBdr>
        <w:top w:val="none" w:sz="0" w:space="0" w:color="auto"/>
        <w:left w:val="none" w:sz="0" w:space="0" w:color="auto"/>
        <w:bottom w:val="none" w:sz="0" w:space="0" w:color="auto"/>
        <w:right w:val="none" w:sz="0" w:space="0" w:color="auto"/>
      </w:divBdr>
    </w:div>
    <w:div w:id="1737167893">
      <w:bodyDiv w:val="1"/>
      <w:marLeft w:val="0"/>
      <w:marRight w:val="0"/>
      <w:marTop w:val="0"/>
      <w:marBottom w:val="0"/>
      <w:divBdr>
        <w:top w:val="none" w:sz="0" w:space="0" w:color="auto"/>
        <w:left w:val="none" w:sz="0" w:space="0" w:color="auto"/>
        <w:bottom w:val="none" w:sz="0" w:space="0" w:color="auto"/>
        <w:right w:val="none" w:sz="0" w:space="0" w:color="auto"/>
      </w:divBdr>
    </w:div>
    <w:div w:id="1739593598">
      <w:bodyDiv w:val="1"/>
      <w:marLeft w:val="0"/>
      <w:marRight w:val="0"/>
      <w:marTop w:val="0"/>
      <w:marBottom w:val="0"/>
      <w:divBdr>
        <w:top w:val="none" w:sz="0" w:space="0" w:color="auto"/>
        <w:left w:val="none" w:sz="0" w:space="0" w:color="auto"/>
        <w:bottom w:val="none" w:sz="0" w:space="0" w:color="auto"/>
        <w:right w:val="none" w:sz="0" w:space="0" w:color="auto"/>
      </w:divBdr>
    </w:div>
    <w:div w:id="1761095711">
      <w:bodyDiv w:val="1"/>
      <w:marLeft w:val="0"/>
      <w:marRight w:val="0"/>
      <w:marTop w:val="0"/>
      <w:marBottom w:val="0"/>
      <w:divBdr>
        <w:top w:val="none" w:sz="0" w:space="0" w:color="auto"/>
        <w:left w:val="none" w:sz="0" w:space="0" w:color="auto"/>
        <w:bottom w:val="none" w:sz="0" w:space="0" w:color="auto"/>
        <w:right w:val="none" w:sz="0" w:space="0" w:color="auto"/>
      </w:divBdr>
    </w:div>
    <w:div w:id="1765370637">
      <w:bodyDiv w:val="1"/>
      <w:marLeft w:val="0"/>
      <w:marRight w:val="0"/>
      <w:marTop w:val="0"/>
      <w:marBottom w:val="0"/>
      <w:divBdr>
        <w:top w:val="none" w:sz="0" w:space="0" w:color="auto"/>
        <w:left w:val="none" w:sz="0" w:space="0" w:color="auto"/>
        <w:bottom w:val="none" w:sz="0" w:space="0" w:color="auto"/>
        <w:right w:val="none" w:sz="0" w:space="0" w:color="auto"/>
      </w:divBdr>
    </w:div>
    <w:div w:id="1771704700">
      <w:bodyDiv w:val="1"/>
      <w:marLeft w:val="0"/>
      <w:marRight w:val="0"/>
      <w:marTop w:val="0"/>
      <w:marBottom w:val="0"/>
      <w:divBdr>
        <w:top w:val="none" w:sz="0" w:space="0" w:color="auto"/>
        <w:left w:val="none" w:sz="0" w:space="0" w:color="auto"/>
        <w:bottom w:val="none" w:sz="0" w:space="0" w:color="auto"/>
        <w:right w:val="none" w:sz="0" w:space="0" w:color="auto"/>
      </w:divBdr>
    </w:div>
    <w:div w:id="1778061816">
      <w:bodyDiv w:val="1"/>
      <w:marLeft w:val="0"/>
      <w:marRight w:val="0"/>
      <w:marTop w:val="0"/>
      <w:marBottom w:val="0"/>
      <w:divBdr>
        <w:top w:val="none" w:sz="0" w:space="0" w:color="auto"/>
        <w:left w:val="none" w:sz="0" w:space="0" w:color="auto"/>
        <w:bottom w:val="none" w:sz="0" w:space="0" w:color="auto"/>
        <w:right w:val="none" w:sz="0" w:space="0" w:color="auto"/>
      </w:divBdr>
    </w:div>
    <w:div w:id="1779446368">
      <w:bodyDiv w:val="1"/>
      <w:marLeft w:val="0"/>
      <w:marRight w:val="0"/>
      <w:marTop w:val="0"/>
      <w:marBottom w:val="0"/>
      <w:divBdr>
        <w:top w:val="none" w:sz="0" w:space="0" w:color="auto"/>
        <w:left w:val="none" w:sz="0" w:space="0" w:color="auto"/>
        <w:bottom w:val="none" w:sz="0" w:space="0" w:color="auto"/>
        <w:right w:val="none" w:sz="0" w:space="0" w:color="auto"/>
      </w:divBdr>
    </w:div>
    <w:div w:id="1779711535">
      <w:bodyDiv w:val="1"/>
      <w:marLeft w:val="0"/>
      <w:marRight w:val="0"/>
      <w:marTop w:val="0"/>
      <w:marBottom w:val="0"/>
      <w:divBdr>
        <w:top w:val="none" w:sz="0" w:space="0" w:color="auto"/>
        <w:left w:val="none" w:sz="0" w:space="0" w:color="auto"/>
        <w:bottom w:val="none" w:sz="0" w:space="0" w:color="auto"/>
        <w:right w:val="none" w:sz="0" w:space="0" w:color="auto"/>
      </w:divBdr>
    </w:div>
    <w:div w:id="1786923931">
      <w:bodyDiv w:val="1"/>
      <w:marLeft w:val="0"/>
      <w:marRight w:val="0"/>
      <w:marTop w:val="0"/>
      <w:marBottom w:val="0"/>
      <w:divBdr>
        <w:top w:val="none" w:sz="0" w:space="0" w:color="auto"/>
        <w:left w:val="none" w:sz="0" w:space="0" w:color="auto"/>
        <w:bottom w:val="none" w:sz="0" w:space="0" w:color="auto"/>
        <w:right w:val="none" w:sz="0" w:space="0" w:color="auto"/>
      </w:divBdr>
      <w:divsChild>
        <w:div w:id="1114639597">
          <w:marLeft w:val="720"/>
          <w:marRight w:val="0"/>
          <w:marTop w:val="0"/>
          <w:marBottom w:val="0"/>
          <w:divBdr>
            <w:top w:val="none" w:sz="0" w:space="0" w:color="auto"/>
            <w:left w:val="none" w:sz="0" w:space="0" w:color="auto"/>
            <w:bottom w:val="none" w:sz="0" w:space="0" w:color="auto"/>
            <w:right w:val="none" w:sz="0" w:space="0" w:color="auto"/>
          </w:divBdr>
        </w:div>
        <w:div w:id="1491293386">
          <w:marLeft w:val="720"/>
          <w:marRight w:val="0"/>
          <w:marTop w:val="0"/>
          <w:marBottom w:val="0"/>
          <w:divBdr>
            <w:top w:val="none" w:sz="0" w:space="0" w:color="auto"/>
            <w:left w:val="none" w:sz="0" w:space="0" w:color="auto"/>
            <w:bottom w:val="none" w:sz="0" w:space="0" w:color="auto"/>
            <w:right w:val="none" w:sz="0" w:space="0" w:color="auto"/>
          </w:divBdr>
        </w:div>
      </w:divsChild>
    </w:div>
    <w:div w:id="1790708878">
      <w:bodyDiv w:val="1"/>
      <w:marLeft w:val="0"/>
      <w:marRight w:val="0"/>
      <w:marTop w:val="0"/>
      <w:marBottom w:val="0"/>
      <w:divBdr>
        <w:top w:val="none" w:sz="0" w:space="0" w:color="auto"/>
        <w:left w:val="none" w:sz="0" w:space="0" w:color="auto"/>
        <w:bottom w:val="none" w:sz="0" w:space="0" w:color="auto"/>
        <w:right w:val="none" w:sz="0" w:space="0" w:color="auto"/>
      </w:divBdr>
    </w:div>
    <w:div w:id="1799252172">
      <w:bodyDiv w:val="1"/>
      <w:marLeft w:val="0"/>
      <w:marRight w:val="0"/>
      <w:marTop w:val="0"/>
      <w:marBottom w:val="0"/>
      <w:divBdr>
        <w:top w:val="none" w:sz="0" w:space="0" w:color="auto"/>
        <w:left w:val="none" w:sz="0" w:space="0" w:color="auto"/>
        <w:bottom w:val="none" w:sz="0" w:space="0" w:color="auto"/>
        <w:right w:val="none" w:sz="0" w:space="0" w:color="auto"/>
      </w:divBdr>
      <w:divsChild>
        <w:div w:id="1207251944">
          <w:marLeft w:val="0"/>
          <w:marRight w:val="0"/>
          <w:marTop w:val="144"/>
          <w:marBottom w:val="0"/>
          <w:divBdr>
            <w:top w:val="none" w:sz="0" w:space="0" w:color="auto"/>
            <w:left w:val="none" w:sz="0" w:space="0" w:color="auto"/>
            <w:bottom w:val="none" w:sz="0" w:space="0" w:color="auto"/>
            <w:right w:val="none" w:sz="0" w:space="0" w:color="auto"/>
          </w:divBdr>
        </w:div>
      </w:divsChild>
    </w:div>
    <w:div w:id="1801537481">
      <w:bodyDiv w:val="1"/>
      <w:marLeft w:val="0"/>
      <w:marRight w:val="0"/>
      <w:marTop w:val="0"/>
      <w:marBottom w:val="0"/>
      <w:divBdr>
        <w:top w:val="none" w:sz="0" w:space="0" w:color="auto"/>
        <w:left w:val="none" w:sz="0" w:space="0" w:color="auto"/>
        <w:bottom w:val="none" w:sz="0" w:space="0" w:color="auto"/>
        <w:right w:val="none" w:sz="0" w:space="0" w:color="auto"/>
      </w:divBdr>
    </w:div>
    <w:div w:id="1804346262">
      <w:bodyDiv w:val="1"/>
      <w:marLeft w:val="0"/>
      <w:marRight w:val="0"/>
      <w:marTop w:val="0"/>
      <w:marBottom w:val="0"/>
      <w:divBdr>
        <w:top w:val="none" w:sz="0" w:space="0" w:color="auto"/>
        <w:left w:val="none" w:sz="0" w:space="0" w:color="auto"/>
        <w:bottom w:val="none" w:sz="0" w:space="0" w:color="auto"/>
        <w:right w:val="none" w:sz="0" w:space="0" w:color="auto"/>
      </w:divBdr>
    </w:div>
    <w:div w:id="1813599713">
      <w:bodyDiv w:val="1"/>
      <w:marLeft w:val="0"/>
      <w:marRight w:val="0"/>
      <w:marTop w:val="0"/>
      <w:marBottom w:val="0"/>
      <w:divBdr>
        <w:top w:val="none" w:sz="0" w:space="0" w:color="auto"/>
        <w:left w:val="none" w:sz="0" w:space="0" w:color="auto"/>
        <w:bottom w:val="none" w:sz="0" w:space="0" w:color="auto"/>
        <w:right w:val="none" w:sz="0" w:space="0" w:color="auto"/>
      </w:divBdr>
    </w:div>
    <w:div w:id="1815561800">
      <w:bodyDiv w:val="1"/>
      <w:marLeft w:val="0"/>
      <w:marRight w:val="0"/>
      <w:marTop w:val="0"/>
      <w:marBottom w:val="0"/>
      <w:divBdr>
        <w:top w:val="none" w:sz="0" w:space="0" w:color="auto"/>
        <w:left w:val="none" w:sz="0" w:space="0" w:color="auto"/>
        <w:bottom w:val="none" w:sz="0" w:space="0" w:color="auto"/>
        <w:right w:val="none" w:sz="0" w:space="0" w:color="auto"/>
      </w:divBdr>
    </w:div>
    <w:div w:id="1817529919">
      <w:bodyDiv w:val="1"/>
      <w:marLeft w:val="0"/>
      <w:marRight w:val="0"/>
      <w:marTop w:val="0"/>
      <w:marBottom w:val="0"/>
      <w:divBdr>
        <w:top w:val="none" w:sz="0" w:space="0" w:color="auto"/>
        <w:left w:val="none" w:sz="0" w:space="0" w:color="auto"/>
        <w:bottom w:val="none" w:sz="0" w:space="0" w:color="auto"/>
        <w:right w:val="none" w:sz="0" w:space="0" w:color="auto"/>
      </w:divBdr>
    </w:div>
    <w:div w:id="1817725905">
      <w:bodyDiv w:val="1"/>
      <w:marLeft w:val="0"/>
      <w:marRight w:val="0"/>
      <w:marTop w:val="0"/>
      <w:marBottom w:val="0"/>
      <w:divBdr>
        <w:top w:val="none" w:sz="0" w:space="0" w:color="auto"/>
        <w:left w:val="none" w:sz="0" w:space="0" w:color="auto"/>
        <w:bottom w:val="none" w:sz="0" w:space="0" w:color="auto"/>
        <w:right w:val="none" w:sz="0" w:space="0" w:color="auto"/>
      </w:divBdr>
    </w:div>
    <w:div w:id="1819229509">
      <w:bodyDiv w:val="1"/>
      <w:marLeft w:val="0"/>
      <w:marRight w:val="0"/>
      <w:marTop w:val="0"/>
      <w:marBottom w:val="0"/>
      <w:divBdr>
        <w:top w:val="none" w:sz="0" w:space="0" w:color="auto"/>
        <w:left w:val="none" w:sz="0" w:space="0" w:color="auto"/>
        <w:bottom w:val="none" w:sz="0" w:space="0" w:color="auto"/>
        <w:right w:val="none" w:sz="0" w:space="0" w:color="auto"/>
      </w:divBdr>
    </w:div>
    <w:div w:id="1827161132">
      <w:bodyDiv w:val="1"/>
      <w:marLeft w:val="0"/>
      <w:marRight w:val="0"/>
      <w:marTop w:val="0"/>
      <w:marBottom w:val="0"/>
      <w:divBdr>
        <w:top w:val="none" w:sz="0" w:space="0" w:color="auto"/>
        <w:left w:val="none" w:sz="0" w:space="0" w:color="auto"/>
        <w:bottom w:val="none" w:sz="0" w:space="0" w:color="auto"/>
        <w:right w:val="none" w:sz="0" w:space="0" w:color="auto"/>
      </w:divBdr>
    </w:div>
    <w:div w:id="1830705372">
      <w:bodyDiv w:val="1"/>
      <w:marLeft w:val="0"/>
      <w:marRight w:val="0"/>
      <w:marTop w:val="0"/>
      <w:marBottom w:val="0"/>
      <w:divBdr>
        <w:top w:val="none" w:sz="0" w:space="0" w:color="auto"/>
        <w:left w:val="none" w:sz="0" w:space="0" w:color="auto"/>
        <w:bottom w:val="none" w:sz="0" w:space="0" w:color="auto"/>
        <w:right w:val="none" w:sz="0" w:space="0" w:color="auto"/>
      </w:divBdr>
    </w:div>
    <w:div w:id="1839225637">
      <w:bodyDiv w:val="1"/>
      <w:marLeft w:val="0"/>
      <w:marRight w:val="0"/>
      <w:marTop w:val="0"/>
      <w:marBottom w:val="0"/>
      <w:divBdr>
        <w:top w:val="none" w:sz="0" w:space="0" w:color="auto"/>
        <w:left w:val="none" w:sz="0" w:space="0" w:color="auto"/>
        <w:bottom w:val="none" w:sz="0" w:space="0" w:color="auto"/>
        <w:right w:val="none" w:sz="0" w:space="0" w:color="auto"/>
      </w:divBdr>
    </w:div>
    <w:div w:id="1846436305">
      <w:bodyDiv w:val="1"/>
      <w:marLeft w:val="0"/>
      <w:marRight w:val="0"/>
      <w:marTop w:val="0"/>
      <w:marBottom w:val="0"/>
      <w:divBdr>
        <w:top w:val="none" w:sz="0" w:space="0" w:color="auto"/>
        <w:left w:val="none" w:sz="0" w:space="0" w:color="auto"/>
        <w:bottom w:val="none" w:sz="0" w:space="0" w:color="auto"/>
        <w:right w:val="none" w:sz="0" w:space="0" w:color="auto"/>
      </w:divBdr>
    </w:div>
    <w:div w:id="1849321565">
      <w:bodyDiv w:val="1"/>
      <w:marLeft w:val="0"/>
      <w:marRight w:val="0"/>
      <w:marTop w:val="0"/>
      <w:marBottom w:val="0"/>
      <w:divBdr>
        <w:top w:val="none" w:sz="0" w:space="0" w:color="auto"/>
        <w:left w:val="none" w:sz="0" w:space="0" w:color="auto"/>
        <w:bottom w:val="none" w:sz="0" w:space="0" w:color="auto"/>
        <w:right w:val="none" w:sz="0" w:space="0" w:color="auto"/>
      </w:divBdr>
    </w:div>
    <w:div w:id="1851020395">
      <w:bodyDiv w:val="1"/>
      <w:marLeft w:val="0"/>
      <w:marRight w:val="0"/>
      <w:marTop w:val="0"/>
      <w:marBottom w:val="0"/>
      <w:divBdr>
        <w:top w:val="none" w:sz="0" w:space="0" w:color="auto"/>
        <w:left w:val="none" w:sz="0" w:space="0" w:color="auto"/>
        <w:bottom w:val="none" w:sz="0" w:space="0" w:color="auto"/>
        <w:right w:val="none" w:sz="0" w:space="0" w:color="auto"/>
      </w:divBdr>
    </w:div>
    <w:div w:id="1851795037">
      <w:bodyDiv w:val="1"/>
      <w:marLeft w:val="0"/>
      <w:marRight w:val="0"/>
      <w:marTop w:val="0"/>
      <w:marBottom w:val="0"/>
      <w:divBdr>
        <w:top w:val="none" w:sz="0" w:space="0" w:color="auto"/>
        <w:left w:val="none" w:sz="0" w:space="0" w:color="auto"/>
        <w:bottom w:val="none" w:sz="0" w:space="0" w:color="auto"/>
        <w:right w:val="none" w:sz="0" w:space="0" w:color="auto"/>
      </w:divBdr>
    </w:div>
    <w:div w:id="1863738515">
      <w:bodyDiv w:val="1"/>
      <w:marLeft w:val="0"/>
      <w:marRight w:val="0"/>
      <w:marTop w:val="0"/>
      <w:marBottom w:val="0"/>
      <w:divBdr>
        <w:top w:val="none" w:sz="0" w:space="0" w:color="auto"/>
        <w:left w:val="none" w:sz="0" w:space="0" w:color="auto"/>
        <w:bottom w:val="none" w:sz="0" w:space="0" w:color="auto"/>
        <w:right w:val="none" w:sz="0" w:space="0" w:color="auto"/>
      </w:divBdr>
    </w:div>
    <w:div w:id="1866820290">
      <w:bodyDiv w:val="1"/>
      <w:marLeft w:val="0"/>
      <w:marRight w:val="0"/>
      <w:marTop w:val="0"/>
      <w:marBottom w:val="0"/>
      <w:divBdr>
        <w:top w:val="none" w:sz="0" w:space="0" w:color="auto"/>
        <w:left w:val="none" w:sz="0" w:space="0" w:color="auto"/>
        <w:bottom w:val="none" w:sz="0" w:space="0" w:color="auto"/>
        <w:right w:val="none" w:sz="0" w:space="0" w:color="auto"/>
      </w:divBdr>
    </w:div>
    <w:div w:id="1870872721">
      <w:bodyDiv w:val="1"/>
      <w:marLeft w:val="0"/>
      <w:marRight w:val="0"/>
      <w:marTop w:val="0"/>
      <w:marBottom w:val="0"/>
      <w:divBdr>
        <w:top w:val="none" w:sz="0" w:space="0" w:color="auto"/>
        <w:left w:val="none" w:sz="0" w:space="0" w:color="auto"/>
        <w:bottom w:val="none" w:sz="0" w:space="0" w:color="auto"/>
        <w:right w:val="none" w:sz="0" w:space="0" w:color="auto"/>
      </w:divBdr>
    </w:div>
    <w:div w:id="1873228985">
      <w:bodyDiv w:val="1"/>
      <w:marLeft w:val="0"/>
      <w:marRight w:val="0"/>
      <w:marTop w:val="0"/>
      <w:marBottom w:val="0"/>
      <w:divBdr>
        <w:top w:val="none" w:sz="0" w:space="0" w:color="auto"/>
        <w:left w:val="none" w:sz="0" w:space="0" w:color="auto"/>
        <w:bottom w:val="none" w:sz="0" w:space="0" w:color="auto"/>
        <w:right w:val="none" w:sz="0" w:space="0" w:color="auto"/>
      </w:divBdr>
      <w:divsChild>
        <w:div w:id="231235637">
          <w:marLeft w:val="2074"/>
          <w:marRight w:val="0"/>
          <w:marTop w:val="0"/>
          <w:marBottom w:val="0"/>
          <w:divBdr>
            <w:top w:val="none" w:sz="0" w:space="0" w:color="auto"/>
            <w:left w:val="none" w:sz="0" w:space="0" w:color="auto"/>
            <w:bottom w:val="none" w:sz="0" w:space="0" w:color="auto"/>
            <w:right w:val="none" w:sz="0" w:space="0" w:color="auto"/>
          </w:divBdr>
        </w:div>
        <w:div w:id="463012983">
          <w:marLeft w:val="1123"/>
          <w:marRight w:val="0"/>
          <w:marTop w:val="0"/>
          <w:marBottom w:val="0"/>
          <w:divBdr>
            <w:top w:val="none" w:sz="0" w:space="0" w:color="auto"/>
            <w:left w:val="none" w:sz="0" w:space="0" w:color="auto"/>
            <w:bottom w:val="none" w:sz="0" w:space="0" w:color="auto"/>
            <w:right w:val="none" w:sz="0" w:space="0" w:color="auto"/>
          </w:divBdr>
        </w:div>
        <w:div w:id="1497650075">
          <w:marLeft w:val="2074"/>
          <w:marRight w:val="0"/>
          <w:marTop w:val="0"/>
          <w:marBottom w:val="0"/>
          <w:divBdr>
            <w:top w:val="none" w:sz="0" w:space="0" w:color="auto"/>
            <w:left w:val="none" w:sz="0" w:space="0" w:color="auto"/>
            <w:bottom w:val="none" w:sz="0" w:space="0" w:color="auto"/>
            <w:right w:val="none" w:sz="0" w:space="0" w:color="auto"/>
          </w:divBdr>
        </w:div>
        <w:div w:id="1795756857">
          <w:marLeft w:val="2074"/>
          <w:marRight w:val="0"/>
          <w:marTop w:val="0"/>
          <w:marBottom w:val="0"/>
          <w:divBdr>
            <w:top w:val="none" w:sz="0" w:space="0" w:color="auto"/>
            <w:left w:val="none" w:sz="0" w:space="0" w:color="auto"/>
            <w:bottom w:val="none" w:sz="0" w:space="0" w:color="auto"/>
            <w:right w:val="none" w:sz="0" w:space="0" w:color="auto"/>
          </w:divBdr>
        </w:div>
      </w:divsChild>
    </w:div>
    <w:div w:id="1877572529">
      <w:bodyDiv w:val="1"/>
      <w:marLeft w:val="0"/>
      <w:marRight w:val="0"/>
      <w:marTop w:val="0"/>
      <w:marBottom w:val="0"/>
      <w:divBdr>
        <w:top w:val="none" w:sz="0" w:space="0" w:color="auto"/>
        <w:left w:val="none" w:sz="0" w:space="0" w:color="auto"/>
        <w:bottom w:val="none" w:sz="0" w:space="0" w:color="auto"/>
        <w:right w:val="none" w:sz="0" w:space="0" w:color="auto"/>
      </w:divBdr>
    </w:div>
    <w:div w:id="1879586029">
      <w:bodyDiv w:val="1"/>
      <w:marLeft w:val="0"/>
      <w:marRight w:val="0"/>
      <w:marTop w:val="0"/>
      <w:marBottom w:val="0"/>
      <w:divBdr>
        <w:top w:val="none" w:sz="0" w:space="0" w:color="auto"/>
        <w:left w:val="none" w:sz="0" w:space="0" w:color="auto"/>
        <w:bottom w:val="none" w:sz="0" w:space="0" w:color="auto"/>
        <w:right w:val="none" w:sz="0" w:space="0" w:color="auto"/>
      </w:divBdr>
    </w:div>
    <w:div w:id="1886141793">
      <w:bodyDiv w:val="1"/>
      <w:marLeft w:val="0"/>
      <w:marRight w:val="0"/>
      <w:marTop w:val="0"/>
      <w:marBottom w:val="0"/>
      <w:divBdr>
        <w:top w:val="none" w:sz="0" w:space="0" w:color="auto"/>
        <w:left w:val="none" w:sz="0" w:space="0" w:color="auto"/>
        <w:bottom w:val="none" w:sz="0" w:space="0" w:color="auto"/>
        <w:right w:val="none" w:sz="0" w:space="0" w:color="auto"/>
      </w:divBdr>
    </w:div>
    <w:div w:id="1892764711">
      <w:bodyDiv w:val="1"/>
      <w:marLeft w:val="0"/>
      <w:marRight w:val="0"/>
      <w:marTop w:val="0"/>
      <w:marBottom w:val="0"/>
      <w:divBdr>
        <w:top w:val="none" w:sz="0" w:space="0" w:color="auto"/>
        <w:left w:val="none" w:sz="0" w:space="0" w:color="auto"/>
        <w:bottom w:val="none" w:sz="0" w:space="0" w:color="auto"/>
        <w:right w:val="none" w:sz="0" w:space="0" w:color="auto"/>
      </w:divBdr>
    </w:div>
    <w:div w:id="1897934206">
      <w:bodyDiv w:val="1"/>
      <w:marLeft w:val="0"/>
      <w:marRight w:val="0"/>
      <w:marTop w:val="0"/>
      <w:marBottom w:val="0"/>
      <w:divBdr>
        <w:top w:val="none" w:sz="0" w:space="0" w:color="auto"/>
        <w:left w:val="none" w:sz="0" w:space="0" w:color="auto"/>
        <w:bottom w:val="none" w:sz="0" w:space="0" w:color="auto"/>
        <w:right w:val="none" w:sz="0" w:space="0" w:color="auto"/>
      </w:divBdr>
    </w:div>
    <w:div w:id="1903442890">
      <w:bodyDiv w:val="1"/>
      <w:marLeft w:val="0"/>
      <w:marRight w:val="0"/>
      <w:marTop w:val="0"/>
      <w:marBottom w:val="0"/>
      <w:divBdr>
        <w:top w:val="none" w:sz="0" w:space="0" w:color="auto"/>
        <w:left w:val="none" w:sz="0" w:space="0" w:color="auto"/>
        <w:bottom w:val="none" w:sz="0" w:space="0" w:color="auto"/>
        <w:right w:val="none" w:sz="0" w:space="0" w:color="auto"/>
      </w:divBdr>
    </w:div>
    <w:div w:id="1921451886">
      <w:bodyDiv w:val="1"/>
      <w:marLeft w:val="0"/>
      <w:marRight w:val="0"/>
      <w:marTop w:val="0"/>
      <w:marBottom w:val="0"/>
      <w:divBdr>
        <w:top w:val="none" w:sz="0" w:space="0" w:color="auto"/>
        <w:left w:val="none" w:sz="0" w:space="0" w:color="auto"/>
        <w:bottom w:val="none" w:sz="0" w:space="0" w:color="auto"/>
        <w:right w:val="none" w:sz="0" w:space="0" w:color="auto"/>
      </w:divBdr>
    </w:div>
    <w:div w:id="1921911956">
      <w:bodyDiv w:val="1"/>
      <w:marLeft w:val="0"/>
      <w:marRight w:val="0"/>
      <w:marTop w:val="0"/>
      <w:marBottom w:val="0"/>
      <w:divBdr>
        <w:top w:val="none" w:sz="0" w:space="0" w:color="auto"/>
        <w:left w:val="none" w:sz="0" w:space="0" w:color="auto"/>
        <w:bottom w:val="none" w:sz="0" w:space="0" w:color="auto"/>
        <w:right w:val="none" w:sz="0" w:space="0" w:color="auto"/>
      </w:divBdr>
    </w:div>
    <w:div w:id="1922711538">
      <w:bodyDiv w:val="1"/>
      <w:marLeft w:val="0"/>
      <w:marRight w:val="0"/>
      <w:marTop w:val="0"/>
      <w:marBottom w:val="0"/>
      <w:divBdr>
        <w:top w:val="none" w:sz="0" w:space="0" w:color="auto"/>
        <w:left w:val="none" w:sz="0" w:space="0" w:color="auto"/>
        <w:bottom w:val="none" w:sz="0" w:space="0" w:color="auto"/>
        <w:right w:val="none" w:sz="0" w:space="0" w:color="auto"/>
      </w:divBdr>
    </w:div>
    <w:div w:id="1926263362">
      <w:bodyDiv w:val="1"/>
      <w:marLeft w:val="0"/>
      <w:marRight w:val="0"/>
      <w:marTop w:val="0"/>
      <w:marBottom w:val="0"/>
      <w:divBdr>
        <w:top w:val="none" w:sz="0" w:space="0" w:color="auto"/>
        <w:left w:val="none" w:sz="0" w:space="0" w:color="auto"/>
        <w:bottom w:val="none" w:sz="0" w:space="0" w:color="auto"/>
        <w:right w:val="none" w:sz="0" w:space="0" w:color="auto"/>
      </w:divBdr>
    </w:div>
    <w:div w:id="1931085312">
      <w:bodyDiv w:val="1"/>
      <w:marLeft w:val="0"/>
      <w:marRight w:val="0"/>
      <w:marTop w:val="0"/>
      <w:marBottom w:val="0"/>
      <w:divBdr>
        <w:top w:val="none" w:sz="0" w:space="0" w:color="auto"/>
        <w:left w:val="none" w:sz="0" w:space="0" w:color="auto"/>
        <w:bottom w:val="none" w:sz="0" w:space="0" w:color="auto"/>
        <w:right w:val="none" w:sz="0" w:space="0" w:color="auto"/>
      </w:divBdr>
    </w:div>
    <w:div w:id="1942949333">
      <w:bodyDiv w:val="1"/>
      <w:marLeft w:val="0"/>
      <w:marRight w:val="0"/>
      <w:marTop w:val="0"/>
      <w:marBottom w:val="0"/>
      <w:divBdr>
        <w:top w:val="none" w:sz="0" w:space="0" w:color="auto"/>
        <w:left w:val="none" w:sz="0" w:space="0" w:color="auto"/>
        <w:bottom w:val="none" w:sz="0" w:space="0" w:color="auto"/>
        <w:right w:val="none" w:sz="0" w:space="0" w:color="auto"/>
      </w:divBdr>
      <w:divsChild>
        <w:div w:id="52848904">
          <w:marLeft w:val="1138"/>
          <w:marRight w:val="0"/>
          <w:marTop w:val="0"/>
          <w:marBottom w:val="0"/>
          <w:divBdr>
            <w:top w:val="none" w:sz="0" w:space="0" w:color="auto"/>
            <w:left w:val="none" w:sz="0" w:space="0" w:color="auto"/>
            <w:bottom w:val="none" w:sz="0" w:space="0" w:color="auto"/>
            <w:right w:val="none" w:sz="0" w:space="0" w:color="auto"/>
          </w:divBdr>
        </w:div>
        <w:div w:id="560944515">
          <w:marLeft w:val="1138"/>
          <w:marRight w:val="0"/>
          <w:marTop w:val="0"/>
          <w:marBottom w:val="0"/>
          <w:divBdr>
            <w:top w:val="none" w:sz="0" w:space="0" w:color="auto"/>
            <w:left w:val="none" w:sz="0" w:space="0" w:color="auto"/>
            <w:bottom w:val="none" w:sz="0" w:space="0" w:color="auto"/>
            <w:right w:val="none" w:sz="0" w:space="0" w:color="auto"/>
          </w:divBdr>
        </w:div>
        <w:div w:id="642084529">
          <w:marLeft w:val="1138"/>
          <w:marRight w:val="0"/>
          <w:marTop w:val="0"/>
          <w:marBottom w:val="0"/>
          <w:divBdr>
            <w:top w:val="none" w:sz="0" w:space="0" w:color="auto"/>
            <w:left w:val="none" w:sz="0" w:space="0" w:color="auto"/>
            <w:bottom w:val="none" w:sz="0" w:space="0" w:color="auto"/>
            <w:right w:val="none" w:sz="0" w:space="0" w:color="auto"/>
          </w:divBdr>
        </w:div>
      </w:divsChild>
    </w:div>
    <w:div w:id="1945770169">
      <w:bodyDiv w:val="1"/>
      <w:marLeft w:val="0"/>
      <w:marRight w:val="0"/>
      <w:marTop w:val="0"/>
      <w:marBottom w:val="0"/>
      <w:divBdr>
        <w:top w:val="none" w:sz="0" w:space="0" w:color="auto"/>
        <w:left w:val="none" w:sz="0" w:space="0" w:color="auto"/>
        <w:bottom w:val="none" w:sz="0" w:space="0" w:color="auto"/>
        <w:right w:val="none" w:sz="0" w:space="0" w:color="auto"/>
      </w:divBdr>
    </w:div>
    <w:div w:id="1948272032">
      <w:bodyDiv w:val="1"/>
      <w:marLeft w:val="0"/>
      <w:marRight w:val="0"/>
      <w:marTop w:val="0"/>
      <w:marBottom w:val="0"/>
      <w:divBdr>
        <w:top w:val="none" w:sz="0" w:space="0" w:color="auto"/>
        <w:left w:val="none" w:sz="0" w:space="0" w:color="auto"/>
        <w:bottom w:val="none" w:sz="0" w:space="0" w:color="auto"/>
        <w:right w:val="none" w:sz="0" w:space="0" w:color="auto"/>
      </w:divBdr>
    </w:div>
    <w:div w:id="1948811015">
      <w:bodyDiv w:val="1"/>
      <w:marLeft w:val="0"/>
      <w:marRight w:val="0"/>
      <w:marTop w:val="0"/>
      <w:marBottom w:val="0"/>
      <w:divBdr>
        <w:top w:val="none" w:sz="0" w:space="0" w:color="auto"/>
        <w:left w:val="none" w:sz="0" w:space="0" w:color="auto"/>
        <w:bottom w:val="none" w:sz="0" w:space="0" w:color="auto"/>
        <w:right w:val="none" w:sz="0" w:space="0" w:color="auto"/>
      </w:divBdr>
    </w:div>
    <w:div w:id="1951274753">
      <w:bodyDiv w:val="1"/>
      <w:marLeft w:val="0"/>
      <w:marRight w:val="0"/>
      <w:marTop w:val="0"/>
      <w:marBottom w:val="0"/>
      <w:divBdr>
        <w:top w:val="none" w:sz="0" w:space="0" w:color="auto"/>
        <w:left w:val="none" w:sz="0" w:space="0" w:color="auto"/>
        <w:bottom w:val="none" w:sz="0" w:space="0" w:color="auto"/>
        <w:right w:val="none" w:sz="0" w:space="0" w:color="auto"/>
      </w:divBdr>
      <w:divsChild>
        <w:div w:id="87972364">
          <w:marLeft w:val="1440"/>
          <w:marRight w:val="0"/>
          <w:marTop w:val="0"/>
          <w:marBottom w:val="0"/>
          <w:divBdr>
            <w:top w:val="none" w:sz="0" w:space="0" w:color="auto"/>
            <w:left w:val="none" w:sz="0" w:space="0" w:color="auto"/>
            <w:bottom w:val="none" w:sz="0" w:space="0" w:color="auto"/>
            <w:right w:val="none" w:sz="0" w:space="0" w:color="auto"/>
          </w:divBdr>
        </w:div>
        <w:div w:id="178739566">
          <w:marLeft w:val="1440"/>
          <w:marRight w:val="0"/>
          <w:marTop w:val="0"/>
          <w:marBottom w:val="0"/>
          <w:divBdr>
            <w:top w:val="none" w:sz="0" w:space="0" w:color="auto"/>
            <w:left w:val="none" w:sz="0" w:space="0" w:color="auto"/>
            <w:bottom w:val="none" w:sz="0" w:space="0" w:color="auto"/>
            <w:right w:val="none" w:sz="0" w:space="0" w:color="auto"/>
          </w:divBdr>
        </w:div>
        <w:div w:id="1074936618">
          <w:marLeft w:val="1440"/>
          <w:marRight w:val="0"/>
          <w:marTop w:val="0"/>
          <w:marBottom w:val="0"/>
          <w:divBdr>
            <w:top w:val="none" w:sz="0" w:space="0" w:color="auto"/>
            <w:left w:val="none" w:sz="0" w:space="0" w:color="auto"/>
            <w:bottom w:val="none" w:sz="0" w:space="0" w:color="auto"/>
            <w:right w:val="none" w:sz="0" w:space="0" w:color="auto"/>
          </w:divBdr>
        </w:div>
        <w:div w:id="1857304116">
          <w:marLeft w:val="1440"/>
          <w:marRight w:val="0"/>
          <w:marTop w:val="0"/>
          <w:marBottom w:val="0"/>
          <w:divBdr>
            <w:top w:val="none" w:sz="0" w:space="0" w:color="auto"/>
            <w:left w:val="none" w:sz="0" w:space="0" w:color="auto"/>
            <w:bottom w:val="none" w:sz="0" w:space="0" w:color="auto"/>
            <w:right w:val="none" w:sz="0" w:space="0" w:color="auto"/>
          </w:divBdr>
        </w:div>
      </w:divsChild>
    </w:div>
    <w:div w:id="1970552527">
      <w:bodyDiv w:val="1"/>
      <w:marLeft w:val="0"/>
      <w:marRight w:val="0"/>
      <w:marTop w:val="0"/>
      <w:marBottom w:val="0"/>
      <w:divBdr>
        <w:top w:val="none" w:sz="0" w:space="0" w:color="auto"/>
        <w:left w:val="none" w:sz="0" w:space="0" w:color="auto"/>
        <w:bottom w:val="none" w:sz="0" w:space="0" w:color="auto"/>
        <w:right w:val="none" w:sz="0" w:space="0" w:color="auto"/>
      </w:divBdr>
    </w:div>
    <w:div w:id="1972442458">
      <w:bodyDiv w:val="1"/>
      <w:marLeft w:val="0"/>
      <w:marRight w:val="0"/>
      <w:marTop w:val="0"/>
      <w:marBottom w:val="0"/>
      <w:divBdr>
        <w:top w:val="none" w:sz="0" w:space="0" w:color="auto"/>
        <w:left w:val="none" w:sz="0" w:space="0" w:color="auto"/>
        <w:bottom w:val="none" w:sz="0" w:space="0" w:color="auto"/>
        <w:right w:val="none" w:sz="0" w:space="0" w:color="auto"/>
      </w:divBdr>
    </w:div>
    <w:div w:id="1973974083">
      <w:bodyDiv w:val="1"/>
      <w:marLeft w:val="0"/>
      <w:marRight w:val="0"/>
      <w:marTop w:val="0"/>
      <w:marBottom w:val="0"/>
      <w:divBdr>
        <w:top w:val="none" w:sz="0" w:space="0" w:color="auto"/>
        <w:left w:val="none" w:sz="0" w:space="0" w:color="auto"/>
        <w:bottom w:val="none" w:sz="0" w:space="0" w:color="auto"/>
        <w:right w:val="none" w:sz="0" w:space="0" w:color="auto"/>
      </w:divBdr>
    </w:div>
    <w:div w:id="1979414177">
      <w:bodyDiv w:val="1"/>
      <w:marLeft w:val="0"/>
      <w:marRight w:val="0"/>
      <w:marTop w:val="0"/>
      <w:marBottom w:val="0"/>
      <w:divBdr>
        <w:top w:val="none" w:sz="0" w:space="0" w:color="auto"/>
        <w:left w:val="none" w:sz="0" w:space="0" w:color="auto"/>
        <w:bottom w:val="none" w:sz="0" w:space="0" w:color="auto"/>
        <w:right w:val="none" w:sz="0" w:space="0" w:color="auto"/>
      </w:divBdr>
    </w:div>
    <w:div w:id="1985548672">
      <w:bodyDiv w:val="1"/>
      <w:marLeft w:val="0"/>
      <w:marRight w:val="0"/>
      <w:marTop w:val="0"/>
      <w:marBottom w:val="0"/>
      <w:divBdr>
        <w:top w:val="none" w:sz="0" w:space="0" w:color="auto"/>
        <w:left w:val="none" w:sz="0" w:space="0" w:color="auto"/>
        <w:bottom w:val="none" w:sz="0" w:space="0" w:color="auto"/>
        <w:right w:val="none" w:sz="0" w:space="0" w:color="auto"/>
      </w:divBdr>
    </w:div>
    <w:div w:id="1985618139">
      <w:bodyDiv w:val="1"/>
      <w:marLeft w:val="0"/>
      <w:marRight w:val="0"/>
      <w:marTop w:val="0"/>
      <w:marBottom w:val="0"/>
      <w:divBdr>
        <w:top w:val="none" w:sz="0" w:space="0" w:color="auto"/>
        <w:left w:val="none" w:sz="0" w:space="0" w:color="auto"/>
        <w:bottom w:val="none" w:sz="0" w:space="0" w:color="auto"/>
        <w:right w:val="none" w:sz="0" w:space="0" w:color="auto"/>
      </w:divBdr>
    </w:div>
    <w:div w:id="1987003776">
      <w:bodyDiv w:val="1"/>
      <w:marLeft w:val="0"/>
      <w:marRight w:val="0"/>
      <w:marTop w:val="0"/>
      <w:marBottom w:val="0"/>
      <w:divBdr>
        <w:top w:val="none" w:sz="0" w:space="0" w:color="auto"/>
        <w:left w:val="none" w:sz="0" w:space="0" w:color="auto"/>
        <w:bottom w:val="none" w:sz="0" w:space="0" w:color="auto"/>
        <w:right w:val="none" w:sz="0" w:space="0" w:color="auto"/>
      </w:divBdr>
    </w:div>
    <w:div w:id="1989284624">
      <w:bodyDiv w:val="1"/>
      <w:marLeft w:val="0"/>
      <w:marRight w:val="0"/>
      <w:marTop w:val="0"/>
      <w:marBottom w:val="0"/>
      <w:divBdr>
        <w:top w:val="none" w:sz="0" w:space="0" w:color="auto"/>
        <w:left w:val="none" w:sz="0" w:space="0" w:color="auto"/>
        <w:bottom w:val="none" w:sz="0" w:space="0" w:color="auto"/>
        <w:right w:val="none" w:sz="0" w:space="0" w:color="auto"/>
      </w:divBdr>
    </w:div>
    <w:div w:id="1989477421">
      <w:bodyDiv w:val="1"/>
      <w:marLeft w:val="0"/>
      <w:marRight w:val="0"/>
      <w:marTop w:val="0"/>
      <w:marBottom w:val="0"/>
      <w:divBdr>
        <w:top w:val="none" w:sz="0" w:space="0" w:color="auto"/>
        <w:left w:val="none" w:sz="0" w:space="0" w:color="auto"/>
        <w:bottom w:val="none" w:sz="0" w:space="0" w:color="auto"/>
        <w:right w:val="none" w:sz="0" w:space="0" w:color="auto"/>
      </w:divBdr>
    </w:div>
    <w:div w:id="1991904801">
      <w:bodyDiv w:val="1"/>
      <w:marLeft w:val="0"/>
      <w:marRight w:val="0"/>
      <w:marTop w:val="0"/>
      <w:marBottom w:val="0"/>
      <w:divBdr>
        <w:top w:val="none" w:sz="0" w:space="0" w:color="auto"/>
        <w:left w:val="none" w:sz="0" w:space="0" w:color="auto"/>
        <w:bottom w:val="none" w:sz="0" w:space="0" w:color="auto"/>
        <w:right w:val="none" w:sz="0" w:space="0" w:color="auto"/>
      </w:divBdr>
    </w:div>
    <w:div w:id="1992521898">
      <w:bodyDiv w:val="1"/>
      <w:marLeft w:val="0"/>
      <w:marRight w:val="0"/>
      <w:marTop w:val="0"/>
      <w:marBottom w:val="0"/>
      <w:divBdr>
        <w:top w:val="none" w:sz="0" w:space="0" w:color="auto"/>
        <w:left w:val="none" w:sz="0" w:space="0" w:color="auto"/>
        <w:bottom w:val="none" w:sz="0" w:space="0" w:color="auto"/>
        <w:right w:val="none" w:sz="0" w:space="0" w:color="auto"/>
      </w:divBdr>
    </w:div>
    <w:div w:id="1992829254">
      <w:bodyDiv w:val="1"/>
      <w:marLeft w:val="0"/>
      <w:marRight w:val="0"/>
      <w:marTop w:val="0"/>
      <w:marBottom w:val="0"/>
      <w:divBdr>
        <w:top w:val="none" w:sz="0" w:space="0" w:color="auto"/>
        <w:left w:val="none" w:sz="0" w:space="0" w:color="auto"/>
        <w:bottom w:val="none" w:sz="0" w:space="0" w:color="auto"/>
        <w:right w:val="none" w:sz="0" w:space="0" w:color="auto"/>
      </w:divBdr>
    </w:div>
    <w:div w:id="1999648827">
      <w:bodyDiv w:val="1"/>
      <w:marLeft w:val="0"/>
      <w:marRight w:val="0"/>
      <w:marTop w:val="0"/>
      <w:marBottom w:val="0"/>
      <w:divBdr>
        <w:top w:val="none" w:sz="0" w:space="0" w:color="auto"/>
        <w:left w:val="none" w:sz="0" w:space="0" w:color="auto"/>
        <w:bottom w:val="none" w:sz="0" w:space="0" w:color="auto"/>
        <w:right w:val="none" w:sz="0" w:space="0" w:color="auto"/>
      </w:divBdr>
    </w:div>
    <w:div w:id="2024897977">
      <w:bodyDiv w:val="1"/>
      <w:marLeft w:val="0"/>
      <w:marRight w:val="0"/>
      <w:marTop w:val="0"/>
      <w:marBottom w:val="0"/>
      <w:divBdr>
        <w:top w:val="none" w:sz="0" w:space="0" w:color="auto"/>
        <w:left w:val="none" w:sz="0" w:space="0" w:color="auto"/>
        <w:bottom w:val="none" w:sz="0" w:space="0" w:color="auto"/>
        <w:right w:val="none" w:sz="0" w:space="0" w:color="auto"/>
      </w:divBdr>
    </w:div>
    <w:div w:id="2025090607">
      <w:bodyDiv w:val="1"/>
      <w:marLeft w:val="0"/>
      <w:marRight w:val="0"/>
      <w:marTop w:val="0"/>
      <w:marBottom w:val="0"/>
      <w:divBdr>
        <w:top w:val="none" w:sz="0" w:space="0" w:color="auto"/>
        <w:left w:val="none" w:sz="0" w:space="0" w:color="auto"/>
        <w:bottom w:val="none" w:sz="0" w:space="0" w:color="auto"/>
        <w:right w:val="none" w:sz="0" w:space="0" w:color="auto"/>
      </w:divBdr>
      <w:divsChild>
        <w:div w:id="816654325">
          <w:marLeft w:val="965"/>
          <w:marRight w:val="0"/>
          <w:marTop w:val="0"/>
          <w:marBottom w:val="0"/>
          <w:divBdr>
            <w:top w:val="none" w:sz="0" w:space="0" w:color="auto"/>
            <w:left w:val="none" w:sz="0" w:space="0" w:color="auto"/>
            <w:bottom w:val="none" w:sz="0" w:space="0" w:color="auto"/>
            <w:right w:val="none" w:sz="0" w:space="0" w:color="auto"/>
          </w:divBdr>
        </w:div>
        <w:div w:id="1096098880">
          <w:marLeft w:val="965"/>
          <w:marRight w:val="0"/>
          <w:marTop w:val="0"/>
          <w:marBottom w:val="0"/>
          <w:divBdr>
            <w:top w:val="none" w:sz="0" w:space="0" w:color="auto"/>
            <w:left w:val="none" w:sz="0" w:space="0" w:color="auto"/>
            <w:bottom w:val="none" w:sz="0" w:space="0" w:color="auto"/>
            <w:right w:val="none" w:sz="0" w:space="0" w:color="auto"/>
          </w:divBdr>
        </w:div>
        <w:div w:id="1457065490">
          <w:marLeft w:val="965"/>
          <w:marRight w:val="0"/>
          <w:marTop w:val="0"/>
          <w:marBottom w:val="0"/>
          <w:divBdr>
            <w:top w:val="none" w:sz="0" w:space="0" w:color="auto"/>
            <w:left w:val="none" w:sz="0" w:space="0" w:color="auto"/>
            <w:bottom w:val="none" w:sz="0" w:space="0" w:color="auto"/>
            <w:right w:val="none" w:sz="0" w:space="0" w:color="auto"/>
          </w:divBdr>
        </w:div>
        <w:div w:id="1905018311">
          <w:marLeft w:val="965"/>
          <w:marRight w:val="0"/>
          <w:marTop w:val="0"/>
          <w:marBottom w:val="0"/>
          <w:divBdr>
            <w:top w:val="none" w:sz="0" w:space="0" w:color="auto"/>
            <w:left w:val="none" w:sz="0" w:space="0" w:color="auto"/>
            <w:bottom w:val="none" w:sz="0" w:space="0" w:color="auto"/>
            <w:right w:val="none" w:sz="0" w:space="0" w:color="auto"/>
          </w:divBdr>
        </w:div>
        <w:div w:id="2062748249">
          <w:marLeft w:val="965"/>
          <w:marRight w:val="0"/>
          <w:marTop w:val="0"/>
          <w:marBottom w:val="0"/>
          <w:divBdr>
            <w:top w:val="none" w:sz="0" w:space="0" w:color="auto"/>
            <w:left w:val="none" w:sz="0" w:space="0" w:color="auto"/>
            <w:bottom w:val="none" w:sz="0" w:space="0" w:color="auto"/>
            <w:right w:val="none" w:sz="0" w:space="0" w:color="auto"/>
          </w:divBdr>
        </w:div>
      </w:divsChild>
    </w:div>
    <w:div w:id="2025477877">
      <w:bodyDiv w:val="1"/>
      <w:marLeft w:val="0"/>
      <w:marRight w:val="0"/>
      <w:marTop w:val="0"/>
      <w:marBottom w:val="0"/>
      <w:divBdr>
        <w:top w:val="none" w:sz="0" w:space="0" w:color="auto"/>
        <w:left w:val="none" w:sz="0" w:space="0" w:color="auto"/>
        <w:bottom w:val="none" w:sz="0" w:space="0" w:color="auto"/>
        <w:right w:val="none" w:sz="0" w:space="0" w:color="auto"/>
      </w:divBdr>
    </w:div>
    <w:div w:id="2035376004">
      <w:bodyDiv w:val="1"/>
      <w:marLeft w:val="0"/>
      <w:marRight w:val="0"/>
      <w:marTop w:val="0"/>
      <w:marBottom w:val="0"/>
      <w:divBdr>
        <w:top w:val="none" w:sz="0" w:space="0" w:color="auto"/>
        <w:left w:val="none" w:sz="0" w:space="0" w:color="auto"/>
        <w:bottom w:val="none" w:sz="0" w:space="0" w:color="auto"/>
        <w:right w:val="none" w:sz="0" w:space="0" w:color="auto"/>
      </w:divBdr>
    </w:div>
    <w:div w:id="2039352821">
      <w:bodyDiv w:val="1"/>
      <w:marLeft w:val="0"/>
      <w:marRight w:val="0"/>
      <w:marTop w:val="0"/>
      <w:marBottom w:val="0"/>
      <w:divBdr>
        <w:top w:val="none" w:sz="0" w:space="0" w:color="auto"/>
        <w:left w:val="none" w:sz="0" w:space="0" w:color="auto"/>
        <w:bottom w:val="none" w:sz="0" w:space="0" w:color="auto"/>
        <w:right w:val="none" w:sz="0" w:space="0" w:color="auto"/>
      </w:divBdr>
    </w:div>
    <w:div w:id="2041080638">
      <w:bodyDiv w:val="1"/>
      <w:marLeft w:val="0"/>
      <w:marRight w:val="0"/>
      <w:marTop w:val="0"/>
      <w:marBottom w:val="0"/>
      <w:divBdr>
        <w:top w:val="none" w:sz="0" w:space="0" w:color="auto"/>
        <w:left w:val="none" w:sz="0" w:space="0" w:color="auto"/>
        <w:bottom w:val="none" w:sz="0" w:space="0" w:color="auto"/>
        <w:right w:val="none" w:sz="0" w:space="0" w:color="auto"/>
      </w:divBdr>
    </w:div>
    <w:div w:id="2042508432">
      <w:bodyDiv w:val="1"/>
      <w:marLeft w:val="0"/>
      <w:marRight w:val="0"/>
      <w:marTop w:val="0"/>
      <w:marBottom w:val="0"/>
      <w:divBdr>
        <w:top w:val="none" w:sz="0" w:space="0" w:color="auto"/>
        <w:left w:val="none" w:sz="0" w:space="0" w:color="auto"/>
        <w:bottom w:val="none" w:sz="0" w:space="0" w:color="auto"/>
        <w:right w:val="none" w:sz="0" w:space="0" w:color="auto"/>
      </w:divBdr>
    </w:div>
    <w:div w:id="2044817631">
      <w:bodyDiv w:val="1"/>
      <w:marLeft w:val="0"/>
      <w:marRight w:val="0"/>
      <w:marTop w:val="0"/>
      <w:marBottom w:val="0"/>
      <w:divBdr>
        <w:top w:val="none" w:sz="0" w:space="0" w:color="auto"/>
        <w:left w:val="none" w:sz="0" w:space="0" w:color="auto"/>
        <w:bottom w:val="none" w:sz="0" w:space="0" w:color="auto"/>
        <w:right w:val="none" w:sz="0" w:space="0" w:color="auto"/>
      </w:divBdr>
    </w:div>
    <w:div w:id="2045135345">
      <w:bodyDiv w:val="1"/>
      <w:marLeft w:val="0"/>
      <w:marRight w:val="0"/>
      <w:marTop w:val="0"/>
      <w:marBottom w:val="0"/>
      <w:divBdr>
        <w:top w:val="none" w:sz="0" w:space="0" w:color="auto"/>
        <w:left w:val="none" w:sz="0" w:space="0" w:color="auto"/>
        <w:bottom w:val="none" w:sz="0" w:space="0" w:color="auto"/>
        <w:right w:val="none" w:sz="0" w:space="0" w:color="auto"/>
      </w:divBdr>
      <w:divsChild>
        <w:div w:id="858740282">
          <w:marLeft w:val="1138"/>
          <w:marRight w:val="0"/>
          <w:marTop w:val="0"/>
          <w:marBottom w:val="0"/>
          <w:divBdr>
            <w:top w:val="none" w:sz="0" w:space="0" w:color="auto"/>
            <w:left w:val="none" w:sz="0" w:space="0" w:color="auto"/>
            <w:bottom w:val="none" w:sz="0" w:space="0" w:color="auto"/>
            <w:right w:val="none" w:sz="0" w:space="0" w:color="auto"/>
          </w:divBdr>
        </w:div>
        <w:div w:id="1288049678">
          <w:marLeft w:val="1138"/>
          <w:marRight w:val="0"/>
          <w:marTop w:val="0"/>
          <w:marBottom w:val="0"/>
          <w:divBdr>
            <w:top w:val="none" w:sz="0" w:space="0" w:color="auto"/>
            <w:left w:val="none" w:sz="0" w:space="0" w:color="auto"/>
            <w:bottom w:val="none" w:sz="0" w:space="0" w:color="auto"/>
            <w:right w:val="none" w:sz="0" w:space="0" w:color="auto"/>
          </w:divBdr>
        </w:div>
      </w:divsChild>
    </w:div>
    <w:div w:id="2049865360">
      <w:bodyDiv w:val="1"/>
      <w:marLeft w:val="0"/>
      <w:marRight w:val="0"/>
      <w:marTop w:val="0"/>
      <w:marBottom w:val="0"/>
      <w:divBdr>
        <w:top w:val="none" w:sz="0" w:space="0" w:color="auto"/>
        <w:left w:val="none" w:sz="0" w:space="0" w:color="auto"/>
        <w:bottom w:val="none" w:sz="0" w:space="0" w:color="auto"/>
        <w:right w:val="none" w:sz="0" w:space="0" w:color="auto"/>
      </w:divBdr>
      <w:divsChild>
        <w:div w:id="584539153">
          <w:marLeft w:val="1123"/>
          <w:marRight w:val="0"/>
          <w:marTop w:val="0"/>
          <w:marBottom w:val="0"/>
          <w:divBdr>
            <w:top w:val="none" w:sz="0" w:space="0" w:color="auto"/>
            <w:left w:val="none" w:sz="0" w:space="0" w:color="auto"/>
            <w:bottom w:val="none" w:sz="0" w:space="0" w:color="auto"/>
            <w:right w:val="none" w:sz="0" w:space="0" w:color="auto"/>
          </w:divBdr>
        </w:div>
        <w:div w:id="1283611918">
          <w:marLeft w:val="2074"/>
          <w:marRight w:val="0"/>
          <w:marTop w:val="0"/>
          <w:marBottom w:val="0"/>
          <w:divBdr>
            <w:top w:val="none" w:sz="0" w:space="0" w:color="auto"/>
            <w:left w:val="none" w:sz="0" w:space="0" w:color="auto"/>
            <w:bottom w:val="none" w:sz="0" w:space="0" w:color="auto"/>
            <w:right w:val="none" w:sz="0" w:space="0" w:color="auto"/>
          </w:divBdr>
        </w:div>
        <w:div w:id="1592853424">
          <w:marLeft w:val="2074"/>
          <w:marRight w:val="0"/>
          <w:marTop w:val="0"/>
          <w:marBottom w:val="0"/>
          <w:divBdr>
            <w:top w:val="none" w:sz="0" w:space="0" w:color="auto"/>
            <w:left w:val="none" w:sz="0" w:space="0" w:color="auto"/>
            <w:bottom w:val="none" w:sz="0" w:space="0" w:color="auto"/>
            <w:right w:val="none" w:sz="0" w:space="0" w:color="auto"/>
          </w:divBdr>
        </w:div>
        <w:div w:id="1659110114">
          <w:marLeft w:val="2074"/>
          <w:marRight w:val="0"/>
          <w:marTop w:val="0"/>
          <w:marBottom w:val="0"/>
          <w:divBdr>
            <w:top w:val="none" w:sz="0" w:space="0" w:color="auto"/>
            <w:left w:val="none" w:sz="0" w:space="0" w:color="auto"/>
            <w:bottom w:val="none" w:sz="0" w:space="0" w:color="auto"/>
            <w:right w:val="none" w:sz="0" w:space="0" w:color="auto"/>
          </w:divBdr>
        </w:div>
        <w:div w:id="2042435603">
          <w:marLeft w:val="2074"/>
          <w:marRight w:val="0"/>
          <w:marTop w:val="0"/>
          <w:marBottom w:val="0"/>
          <w:divBdr>
            <w:top w:val="none" w:sz="0" w:space="0" w:color="auto"/>
            <w:left w:val="none" w:sz="0" w:space="0" w:color="auto"/>
            <w:bottom w:val="none" w:sz="0" w:space="0" w:color="auto"/>
            <w:right w:val="none" w:sz="0" w:space="0" w:color="auto"/>
          </w:divBdr>
        </w:div>
      </w:divsChild>
    </w:div>
    <w:div w:id="2066030310">
      <w:bodyDiv w:val="1"/>
      <w:marLeft w:val="0"/>
      <w:marRight w:val="0"/>
      <w:marTop w:val="0"/>
      <w:marBottom w:val="0"/>
      <w:divBdr>
        <w:top w:val="none" w:sz="0" w:space="0" w:color="auto"/>
        <w:left w:val="none" w:sz="0" w:space="0" w:color="auto"/>
        <w:bottom w:val="none" w:sz="0" w:space="0" w:color="auto"/>
        <w:right w:val="none" w:sz="0" w:space="0" w:color="auto"/>
      </w:divBdr>
    </w:div>
    <w:div w:id="2066219622">
      <w:bodyDiv w:val="1"/>
      <w:marLeft w:val="0"/>
      <w:marRight w:val="0"/>
      <w:marTop w:val="0"/>
      <w:marBottom w:val="0"/>
      <w:divBdr>
        <w:top w:val="none" w:sz="0" w:space="0" w:color="auto"/>
        <w:left w:val="none" w:sz="0" w:space="0" w:color="auto"/>
        <w:bottom w:val="none" w:sz="0" w:space="0" w:color="auto"/>
        <w:right w:val="none" w:sz="0" w:space="0" w:color="auto"/>
      </w:divBdr>
    </w:div>
    <w:div w:id="2068147053">
      <w:bodyDiv w:val="1"/>
      <w:marLeft w:val="0"/>
      <w:marRight w:val="0"/>
      <w:marTop w:val="0"/>
      <w:marBottom w:val="0"/>
      <w:divBdr>
        <w:top w:val="none" w:sz="0" w:space="0" w:color="auto"/>
        <w:left w:val="none" w:sz="0" w:space="0" w:color="auto"/>
        <w:bottom w:val="none" w:sz="0" w:space="0" w:color="auto"/>
        <w:right w:val="none" w:sz="0" w:space="0" w:color="auto"/>
      </w:divBdr>
    </w:div>
    <w:div w:id="2077051891">
      <w:bodyDiv w:val="1"/>
      <w:marLeft w:val="0"/>
      <w:marRight w:val="0"/>
      <w:marTop w:val="0"/>
      <w:marBottom w:val="0"/>
      <w:divBdr>
        <w:top w:val="none" w:sz="0" w:space="0" w:color="auto"/>
        <w:left w:val="none" w:sz="0" w:space="0" w:color="auto"/>
        <w:bottom w:val="none" w:sz="0" w:space="0" w:color="auto"/>
        <w:right w:val="none" w:sz="0" w:space="0" w:color="auto"/>
      </w:divBdr>
    </w:div>
    <w:div w:id="2082944085">
      <w:bodyDiv w:val="1"/>
      <w:marLeft w:val="0"/>
      <w:marRight w:val="0"/>
      <w:marTop w:val="0"/>
      <w:marBottom w:val="0"/>
      <w:divBdr>
        <w:top w:val="none" w:sz="0" w:space="0" w:color="auto"/>
        <w:left w:val="none" w:sz="0" w:space="0" w:color="auto"/>
        <w:bottom w:val="none" w:sz="0" w:space="0" w:color="auto"/>
        <w:right w:val="none" w:sz="0" w:space="0" w:color="auto"/>
      </w:divBdr>
    </w:div>
    <w:div w:id="2086490597">
      <w:bodyDiv w:val="1"/>
      <w:marLeft w:val="0"/>
      <w:marRight w:val="0"/>
      <w:marTop w:val="0"/>
      <w:marBottom w:val="0"/>
      <w:divBdr>
        <w:top w:val="none" w:sz="0" w:space="0" w:color="auto"/>
        <w:left w:val="none" w:sz="0" w:space="0" w:color="auto"/>
        <w:bottom w:val="none" w:sz="0" w:space="0" w:color="auto"/>
        <w:right w:val="none" w:sz="0" w:space="0" w:color="auto"/>
      </w:divBdr>
    </w:div>
    <w:div w:id="2097434913">
      <w:bodyDiv w:val="1"/>
      <w:marLeft w:val="0"/>
      <w:marRight w:val="0"/>
      <w:marTop w:val="0"/>
      <w:marBottom w:val="0"/>
      <w:divBdr>
        <w:top w:val="none" w:sz="0" w:space="0" w:color="auto"/>
        <w:left w:val="none" w:sz="0" w:space="0" w:color="auto"/>
        <w:bottom w:val="none" w:sz="0" w:space="0" w:color="auto"/>
        <w:right w:val="none" w:sz="0" w:space="0" w:color="auto"/>
      </w:divBdr>
    </w:div>
    <w:div w:id="2097552540">
      <w:bodyDiv w:val="1"/>
      <w:marLeft w:val="0"/>
      <w:marRight w:val="0"/>
      <w:marTop w:val="0"/>
      <w:marBottom w:val="0"/>
      <w:divBdr>
        <w:top w:val="none" w:sz="0" w:space="0" w:color="auto"/>
        <w:left w:val="none" w:sz="0" w:space="0" w:color="auto"/>
        <w:bottom w:val="none" w:sz="0" w:space="0" w:color="auto"/>
        <w:right w:val="none" w:sz="0" w:space="0" w:color="auto"/>
      </w:divBdr>
    </w:div>
    <w:div w:id="2099982725">
      <w:bodyDiv w:val="1"/>
      <w:marLeft w:val="0"/>
      <w:marRight w:val="0"/>
      <w:marTop w:val="0"/>
      <w:marBottom w:val="0"/>
      <w:divBdr>
        <w:top w:val="none" w:sz="0" w:space="0" w:color="auto"/>
        <w:left w:val="none" w:sz="0" w:space="0" w:color="auto"/>
        <w:bottom w:val="none" w:sz="0" w:space="0" w:color="auto"/>
        <w:right w:val="none" w:sz="0" w:space="0" w:color="auto"/>
      </w:divBdr>
    </w:div>
    <w:div w:id="2104257186">
      <w:bodyDiv w:val="1"/>
      <w:marLeft w:val="0"/>
      <w:marRight w:val="0"/>
      <w:marTop w:val="0"/>
      <w:marBottom w:val="0"/>
      <w:divBdr>
        <w:top w:val="none" w:sz="0" w:space="0" w:color="auto"/>
        <w:left w:val="none" w:sz="0" w:space="0" w:color="auto"/>
        <w:bottom w:val="none" w:sz="0" w:space="0" w:color="auto"/>
        <w:right w:val="none" w:sz="0" w:space="0" w:color="auto"/>
      </w:divBdr>
      <w:divsChild>
        <w:div w:id="229116258">
          <w:marLeft w:val="1123"/>
          <w:marRight w:val="0"/>
          <w:marTop w:val="0"/>
          <w:marBottom w:val="0"/>
          <w:divBdr>
            <w:top w:val="none" w:sz="0" w:space="0" w:color="auto"/>
            <w:left w:val="none" w:sz="0" w:space="0" w:color="auto"/>
            <w:bottom w:val="none" w:sz="0" w:space="0" w:color="auto"/>
            <w:right w:val="none" w:sz="0" w:space="0" w:color="auto"/>
          </w:divBdr>
        </w:div>
        <w:div w:id="892232742">
          <w:marLeft w:val="1123"/>
          <w:marRight w:val="0"/>
          <w:marTop w:val="0"/>
          <w:marBottom w:val="0"/>
          <w:divBdr>
            <w:top w:val="none" w:sz="0" w:space="0" w:color="auto"/>
            <w:left w:val="none" w:sz="0" w:space="0" w:color="auto"/>
            <w:bottom w:val="none" w:sz="0" w:space="0" w:color="auto"/>
            <w:right w:val="none" w:sz="0" w:space="0" w:color="auto"/>
          </w:divBdr>
        </w:div>
        <w:div w:id="1539392205">
          <w:marLeft w:val="1123"/>
          <w:marRight w:val="0"/>
          <w:marTop w:val="0"/>
          <w:marBottom w:val="0"/>
          <w:divBdr>
            <w:top w:val="none" w:sz="0" w:space="0" w:color="auto"/>
            <w:left w:val="none" w:sz="0" w:space="0" w:color="auto"/>
            <w:bottom w:val="none" w:sz="0" w:space="0" w:color="auto"/>
            <w:right w:val="none" w:sz="0" w:space="0" w:color="auto"/>
          </w:divBdr>
        </w:div>
        <w:div w:id="1843624950">
          <w:marLeft w:val="1123"/>
          <w:marRight w:val="0"/>
          <w:marTop w:val="0"/>
          <w:marBottom w:val="0"/>
          <w:divBdr>
            <w:top w:val="none" w:sz="0" w:space="0" w:color="auto"/>
            <w:left w:val="none" w:sz="0" w:space="0" w:color="auto"/>
            <w:bottom w:val="none" w:sz="0" w:space="0" w:color="auto"/>
            <w:right w:val="none" w:sz="0" w:space="0" w:color="auto"/>
          </w:divBdr>
        </w:div>
      </w:divsChild>
    </w:div>
    <w:div w:id="2115125449">
      <w:bodyDiv w:val="1"/>
      <w:marLeft w:val="0"/>
      <w:marRight w:val="0"/>
      <w:marTop w:val="0"/>
      <w:marBottom w:val="0"/>
      <w:divBdr>
        <w:top w:val="none" w:sz="0" w:space="0" w:color="auto"/>
        <w:left w:val="none" w:sz="0" w:space="0" w:color="auto"/>
        <w:bottom w:val="none" w:sz="0" w:space="0" w:color="auto"/>
        <w:right w:val="none" w:sz="0" w:space="0" w:color="auto"/>
      </w:divBdr>
    </w:div>
    <w:div w:id="2115200426">
      <w:bodyDiv w:val="1"/>
      <w:marLeft w:val="0"/>
      <w:marRight w:val="0"/>
      <w:marTop w:val="0"/>
      <w:marBottom w:val="0"/>
      <w:divBdr>
        <w:top w:val="none" w:sz="0" w:space="0" w:color="auto"/>
        <w:left w:val="none" w:sz="0" w:space="0" w:color="auto"/>
        <w:bottom w:val="none" w:sz="0" w:space="0" w:color="auto"/>
        <w:right w:val="none" w:sz="0" w:space="0" w:color="auto"/>
      </w:divBdr>
    </w:div>
    <w:div w:id="2115900372">
      <w:bodyDiv w:val="1"/>
      <w:marLeft w:val="0"/>
      <w:marRight w:val="0"/>
      <w:marTop w:val="0"/>
      <w:marBottom w:val="0"/>
      <w:divBdr>
        <w:top w:val="none" w:sz="0" w:space="0" w:color="auto"/>
        <w:left w:val="none" w:sz="0" w:space="0" w:color="auto"/>
        <w:bottom w:val="none" w:sz="0" w:space="0" w:color="auto"/>
        <w:right w:val="none" w:sz="0" w:space="0" w:color="auto"/>
      </w:divBdr>
    </w:div>
    <w:div w:id="2117023055">
      <w:bodyDiv w:val="1"/>
      <w:marLeft w:val="0"/>
      <w:marRight w:val="0"/>
      <w:marTop w:val="0"/>
      <w:marBottom w:val="0"/>
      <w:divBdr>
        <w:top w:val="none" w:sz="0" w:space="0" w:color="auto"/>
        <w:left w:val="none" w:sz="0" w:space="0" w:color="auto"/>
        <w:bottom w:val="none" w:sz="0" w:space="0" w:color="auto"/>
        <w:right w:val="none" w:sz="0" w:space="0" w:color="auto"/>
      </w:divBdr>
    </w:div>
    <w:div w:id="2121994914">
      <w:bodyDiv w:val="1"/>
      <w:marLeft w:val="0"/>
      <w:marRight w:val="0"/>
      <w:marTop w:val="0"/>
      <w:marBottom w:val="0"/>
      <w:divBdr>
        <w:top w:val="none" w:sz="0" w:space="0" w:color="auto"/>
        <w:left w:val="none" w:sz="0" w:space="0" w:color="auto"/>
        <w:bottom w:val="none" w:sz="0" w:space="0" w:color="auto"/>
        <w:right w:val="none" w:sz="0" w:space="0" w:color="auto"/>
      </w:divBdr>
    </w:div>
    <w:div w:id="2124155116">
      <w:bodyDiv w:val="1"/>
      <w:marLeft w:val="0"/>
      <w:marRight w:val="0"/>
      <w:marTop w:val="0"/>
      <w:marBottom w:val="0"/>
      <w:divBdr>
        <w:top w:val="none" w:sz="0" w:space="0" w:color="auto"/>
        <w:left w:val="none" w:sz="0" w:space="0" w:color="auto"/>
        <w:bottom w:val="none" w:sz="0" w:space="0" w:color="auto"/>
        <w:right w:val="none" w:sz="0" w:space="0" w:color="auto"/>
      </w:divBdr>
    </w:div>
    <w:div w:id="2124373081">
      <w:bodyDiv w:val="1"/>
      <w:marLeft w:val="0"/>
      <w:marRight w:val="0"/>
      <w:marTop w:val="0"/>
      <w:marBottom w:val="0"/>
      <w:divBdr>
        <w:top w:val="none" w:sz="0" w:space="0" w:color="auto"/>
        <w:left w:val="none" w:sz="0" w:space="0" w:color="auto"/>
        <w:bottom w:val="none" w:sz="0" w:space="0" w:color="auto"/>
        <w:right w:val="none" w:sz="0" w:space="0" w:color="auto"/>
      </w:divBdr>
      <w:divsChild>
        <w:div w:id="110832016">
          <w:marLeft w:val="965"/>
          <w:marRight w:val="0"/>
          <w:marTop w:val="0"/>
          <w:marBottom w:val="0"/>
          <w:divBdr>
            <w:top w:val="none" w:sz="0" w:space="0" w:color="auto"/>
            <w:left w:val="none" w:sz="0" w:space="0" w:color="auto"/>
            <w:bottom w:val="none" w:sz="0" w:space="0" w:color="auto"/>
            <w:right w:val="none" w:sz="0" w:space="0" w:color="auto"/>
          </w:divBdr>
        </w:div>
        <w:div w:id="622157014">
          <w:marLeft w:val="965"/>
          <w:marRight w:val="0"/>
          <w:marTop w:val="0"/>
          <w:marBottom w:val="0"/>
          <w:divBdr>
            <w:top w:val="none" w:sz="0" w:space="0" w:color="auto"/>
            <w:left w:val="none" w:sz="0" w:space="0" w:color="auto"/>
            <w:bottom w:val="none" w:sz="0" w:space="0" w:color="auto"/>
            <w:right w:val="none" w:sz="0" w:space="0" w:color="auto"/>
          </w:divBdr>
        </w:div>
        <w:div w:id="1196238481">
          <w:marLeft w:val="965"/>
          <w:marRight w:val="0"/>
          <w:marTop w:val="0"/>
          <w:marBottom w:val="0"/>
          <w:divBdr>
            <w:top w:val="none" w:sz="0" w:space="0" w:color="auto"/>
            <w:left w:val="none" w:sz="0" w:space="0" w:color="auto"/>
            <w:bottom w:val="none" w:sz="0" w:space="0" w:color="auto"/>
            <w:right w:val="none" w:sz="0" w:space="0" w:color="auto"/>
          </w:divBdr>
        </w:div>
        <w:div w:id="1530409983">
          <w:marLeft w:val="965"/>
          <w:marRight w:val="0"/>
          <w:marTop w:val="0"/>
          <w:marBottom w:val="0"/>
          <w:divBdr>
            <w:top w:val="none" w:sz="0" w:space="0" w:color="auto"/>
            <w:left w:val="none" w:sz="0" w:space="0" w:color="auto"/>
            <w:bottom w:val="none" w:sz="0" w:space="0" w:color="auto"/>
            <w:right w:val="none" w:sz="0" w:space="0" w:color="auto"/>
          </w:divBdr>
        </w:div>
        <w:div w:id="1723484352">
          <w:marLeft w:val="965"/>
          <w:marRight w:val="0"/>
          <w:marTop w:val="0"/>
          <w:marBottom w:val="0"/>
          <w:divBdr>
            <w:top w:val="none" w:sz="0" w:space="0" w:color="auto"/>
            <w:left w:val="none" w:sz="0" w:space="0" w:color="auto"/>
            <w:bottom w:val="none" w:sz="0" w:space="0" w:color="auto"/>
            <w:right w:val="none" w:sz="0" w:space="0" w:color="auto"/>
          </w:divBdr>
        </w:div>
      </w:divsChild>
    </w:div>
    <w:div w:id="2130197528">
      <w:bodyDiv w:val="1"/>
      <w:marLeft w:val="0"/>
      <w:marRight w:val="0"/>
      <w:marTop w:val="0"/>
      <w:marBottom w:val="0"/>
      <w:divBdr>
        <w:top w:val="none" w:sz="0" w:space="0" w:color="auto"/>
        <w:left w:val="none" w:sz="0" w:space="0" w:color="auto"/>
        <w:bottom w:val="none" w:sz="0" w:space="0" w:color="auto"/>
        <w:right w:val="none" w:sz="0" w:space="0" w:color="auto"/>
      </w:divBdr>
    </w:div>
    <w:div w:id="2130275090">
      <w:bodyDiv w:val="1"/>
      <w:marLeft w:val="0"/>
      <w:marRight w:val="0"/>
      <w:marTop w:val="0"/>
      <w:marBottom w:val="0"/>
      <w:divBdr>
        <w:top w:val="none" w:sz="0" w:space="0" w:color="auto"/>
        <w:left w:val="none" w:sz="0" w:space="0" w:color="auto"/>
        <w:bottom w:val="none" w:sz="0" w:space="0" w:color="auto"/>
        <w:right w:val="none" w:sz="0" w:space="0" w:color="auto"/>
      </w:divBdr>
    </w:div>
    <w:div w:id="2132703495">
      <w:bodyDiv w:val="1"/>
      <w:marLeft w:val="0"/>
      <w:marRight w:val="0"/>
      <w:marTop w:val="0"/>
      <w:marBottom w:val="0"/>
      <w:divBdr>
        <w:top w:val="none" w:sz="0" w:space="0" w:color="auto"/>
        <w:left w:val="none" w:sz="0" w:space="0" w:color="auto"/>
        <w:bottom w:val="none" w:sz="0" w:space="0" w:color="auto"/>
        <w:right w:val="none" w:sz="0" w:space="0" w:color="auto"/>
      </w:divBdr>
    </w:div>
    <w:div w:id="2136290543">
      <w:bodyDiv w:val="1"/>
      <w:marLeft w:val="0"/>
      <w:marRight w:val="0"/>
      <w:marTop w:val="0"/>
      <w:marBottom w:val="0"/>
      <w:divBdr>
        <w:top w:val="none" w:sz="0" w:space="0" w:color="auto"/>
        <w:left w:val="none" w:sz="0" w:space="0" w:color="auto"/>
        <w:bottom w:val="none" w:sz="0" w:space="0" w:color="auto"/>
        <w:right w:val="none" w:sz="0" w:space="0" w:color="auto"/>
      </w:divBdr>
    </w:div>
    <w:div w:id="213752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emf"/><Relationship Id="rId21" Type="http://schemas.openxmlformats.org/officeDocument/2006/relationships/header" Target="header2.xml"/><Relationship Id="rId42" Type="http://schemas.openxmlformats.org/officeDocument/2006/relationships/image" Target="media/image29.emf"/><Relationship Id="rId47" Type="http://schemas.openxmlformats.org/officeDocument/2006/relationships/image" Target="media/image34.emf"/><Relationship Id="rId63" Type="http://schemas.openxmlformats.org/officeDocument/2006/relationships/image" Target="media/image50.emf"/><Relationship Id="rId68" Type="http://schemas.openxmlformats.org/officeDocument/2006/relationships/image" Target="media/image55.emf"/><Relationship Id="rId84" Type="http://schemas.openxmlformats.org/officeDocument/2006/relationships/image" Target="media/image71.emf"/><Relationship Id="rId89" Type="http://schemas.openxmlformats.org/officeDocument/2006/relationships/image" Target="media/image76.emf"/><Relationship Id="rId16" Type="http://schemas.openxmlformats.org/officeDocument/2006/relationships/image" Target="media/image6.emf"/><Relationship Id="rId107" Type="http://schemas.openxmlformats.org/officeDocument/2006/relationships/theme" Target="theme/theme1.xml"/><Relationship Id="rId11" Type="http://schemas.openxmlformats.org/officeDocument/2006/relationships/image" Target="media/image1.emf"/><Relationship Id="rId32" Type="http://schemas.openxmlformats.org/officeDocument/2006/relationships/image" Target="media/image19.emf"/><Relationship Id="rId37" Type="http://schemas.openxmlformats.org/officeDocument/2006/relationships/image" Target="media/image24.emf"/><Relationship Id="rId53" Type="http://schemas.openxmlformats.org/officeDocument/2006/relationships/image" Target="media/image40.emf"/><Relationship Id="rId58" Type="http://schemas.openxmlformats.org/officeDocument/2006/relationships/image" Target="media/image45.emf"/><Relationship Id="rId74" Type="http://schemas.openxmlformats.org/officeDocument/2006/relationships/image" Target="media/image61.emf"/><Relationship Id="rId79" Type="http://schemas.openxmlformats.org/officeDocument/2006/relationships/image" Target="media/image66.emf"/><Relationship Id="rId102" Type="http://schemas.openxmlformats.org/officeDocument/2006/relationships/image" Target="media/image89.png"/><Relationship Id="rId5" Type="http://schemas.openxmlformats.org/officeDocument/2006/relationships/numbering" Target="numbering.xml"/><Relationship Id="rId90" Type="http://schemas.openxmlformats.org/officeDocument/2006/relationships/image" Target="media/image77.emf"/><Relationship Id="rId95" Type="http://schemas.openxmlformats.org/officeDocument/2006/relationships/image" Target="media/image82.emf"/><Relationship Id="rId22" Type="http://schemas.openxmlformats.org/officeDocument/2006/relationships/image" Target="media/image10.emf"/><Relationship Id="rId27" Type="http://schemas.openxmlformats.org/officeDocument/2006/relationships/header" Target="header3.xml"/><Relationship Id="rId43" Type="http://schemas.openxmlformats.org/officeDocument/2006/relationships/image" Target="media/image30.emf"/><Relationship Id="rId48" Type="http://schemas.openxmlformats.org/officeDocument/2006/relationships/image" Target="media/image35.emf"/><Relationship Id="rId64" Type="http://schemas.openxmlformats.org/officeDocument/2006/relationships/image" Target="media/image51.emf"/><Relationship Id="rId69" Type="http://schemas.openxmlformats.org/officeDocument/2006/relationships/image" Target="media/image56.emf"/><Relationship Id="rId80" Type="http://schemas.openxmlformats.org/officeDocument/2006/relationships/image" Target="media/image67.emf"/><Relationship Id="rId85" Type="http://schemas.openxmlformats.org/officeDocument/2006/relationships/image" Target="media/image72.emf"/><Relationship Id="rId12" Type="http://schemas.openxmlformats.org/officeDocument/2006/relationships/image" Target="media/image2.emf"/><Relationship Id="rId17" Type="http://schemas.openxmlformats.org/officeDocument/2006/relationships/image" Target="media/image7.png"/><Relationship Id="rId33" Type="http://schemas.openxmlformats.org/officeDocument/2006/relationships/image" Target="media/image20.emf"/><Relationship Id="rId38" Type="http://schemas.openxmlformats.org/officeDocument/2006/relationships/image" Target="media/image25.emf"/><Relationship Id="rId59" Type="http://schemas.openxmlformats.org/officeDocument/2006/relationships/image" Target="media/image46.emf"/><Relationship Id="rId103" Type="http://schemas.openxmlformats.org/officeDocument/2006/relationships/image" Target="media/image90.png"/><Relationship Id="rId20" Type="http://schemas.openxmlformats.org/officeDocument/2006/relationships/footer" Target="footer1.xml"/><Relationship Id="rId41" Type="http://schemas.openxmlformats.org/officeDocument/2006/relationships/image" Target="media/image28.emf"/><Relationship Id="rId54" Type="http://schemas.openxmlformats.org/officeDocument/2006/relationships/image" Target="media/image41.emf"/><Relationship Id="rId62" Type="http://schemas.openxmlformats.org/officeDocument/2006/relationships/image" Target="media/image49.emf"/><Relationship Id="rId70" Type="http://schemas.openxmlformats.org/officeDocument/2006/relationships/image" Target="media/image57.emf"/><Relationship Id="rId75" Type="http://schemas.openxmlformats.org/officeDocument/2006/relationships/image" Target="media/image62.emf"/><Relationship Id="rId83" Type="http://schemas.openxmlformats.org/officeDocument/2006/relationships/image" Target="media/image70.emf"/><Relationship Id="rId88" Type="http://schemas.openxmlformats.org/officeDocument/2006/relationships/image" Target="media/image75.emf"/><Relationship Id="rId91" Type="http://schemas.openxmlformats.org/officeDocument/2006/relationships/image" Target="media/image78.emf"/><Relationship Id="rId96" Type="http://schemas.openxmlformats.org/officeDocument/2006/relationships/image" Target="media/image83.e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emf"/><Relationship Id="rId23" Type="http://schemas.openxmlformats.org/officeDocument/2006/relationships/image" Target="media/image11.emf"/><Relationship Id="rId28" Type="http://schemas.openxmlformats.org/officeDocument/2006/relationships/image" Target="media/image15.emf"/><Relationship Id="rId36" Type="http://schemas.openxmlformats.org/officeDocument/2006/relationships/image" Target="media/image23.emf"/><Relationship Id="rId49" Type="http://schemas.openxmlformats.org/officeDocument/2006/relationships/image" Target="media/image36.emf"/><Relationship Id="rId57" Type="http://schemas.openxmlformats.org/officeDocument/2006/relationships/image" Target="media/image44.emf"/><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image" Target="media/image18.emf"/><Relationship Id="rId44" Type="http://schemas.openxmlformats.org/officeDocument/2006/relationships/image" Target="media/image31.emf"/><Relationship Id="rId52" Type="http://schemas.openxmlformats.org/officeDocument/2006/relationships/image" Target="media/image39.emf"/><Relationship Id="rId60" Type="http://schemas.openxmlformats.org/officeDocument/2006/relationships/image" Target="media/image47.emf"/><Relationship Id="rId65" Type="http://schemas.openxmlformats.org/officeDocument/2006/relationships/image" Target="media/image52.emf"/><Relationship Id="rId73" Type="http://schemas.openxmlformats.org/officeDocument/2006/relationships/image" Target="media/image60.emf"/><Relationship Id="rId78" Type="http://schemas.openxmlformats.org/officeDocument/2006/relationships/image" Target="media/image65.emf"/><Relationship Id="rId81" Type="http://schemas.openxmlformats.org/officeDocument/2006/relationships/image" Target="media/image68.emf"/><Relationship Id="rId86" Type="http://schemas.openxmlformats.org/officeDocument/2006/relationships/image" Target="media/image73.emf"/><Relationship Id="rId94" Type="http://schemas.openxmlformats.org/officeDocument/2006/relationships/image" Target="media/image81.emf"/><Relationship Id="rId99" Type="http://schemas.openxmlformats.org/officeDocument/2006/relationships/image" Target="media/image86.emf"/><Relationship Id="rId101" Type="http://schemas.openxmlformats.org/officeDocument/2006/relationships/image" Target="media/image88.emf"/><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image" Target="media/image8.png"/><Relationship Id="rId39" Type="http://schemas.openxmlformats.org/officeDocument/2006/relationships/image" Target="media/image26.emf"/><Relationship Id="rId34" Type="http://schemas.openxmlformats.org/officeDocument/2006/relationships/image" Target="media/image21.emf"/><Relationship Id="rId50" Type="http://schemas.openxmlformats.org/officeDocument/2006/relationships/image" Target="media/image37.emf"/><Relationship Id="rId55" Type="http://schemas.openxmlformats.org/officeDocument/2006/relationships/image" Target="media/image42.emf"/><Relationship Id="rId76" Type="http://schemas.openxmlformats.org/officeDocument/2006/relationships/image" Target="media/image63.emf"/><Relationship Id="rId97" Type="http://schemas.openxmlformats.org/officeDocument/2006/relationships/image" Target="media/image84.emf"/><Relationship Id="rId104" Type="http://schemas.openxmlformats.org/officeDocument/2006/relationships/image" Target="media/image91.png"/><Relationship Id="rId7" Type="http://schemas.openxmlformats.org/officeDocument/2006/relationships/settings" Target="settings.xml"/><Relationship Id="rId71" Type="http://schemas.openxmlformats.org/officeDocument/2006/relationships/image" Target="media/image58.emf"/><Relationship Id="rId92" Type="http://schemas.openxmlformats.org/officeDocument/2006/relationships/image" Target="media/image79.emf"/><Relationship Id="rId2" Type="http://schemas.openxmlformats.org/officeDocument/2006/relationships/customXml" Target="../customXml/item2.xml"/><Relationship Id="rId29" Type="http://schemas.openxmlformats.org/officeDocument/2006/relationships/image" Target="media/image16.emf"/><Relationship Id="rId24" Type="http://schemas.openxmlformats.org/officeDocument/2006/relationships/image" Target="media/image12.emf"/><Relationship Id="rId40" Type="http://schemas.openxmlformats.org/officeDocument/2006/relationships/image" Target="media/image27.emf"/><Relationship Id="rId45" Type="http://schemas.openxmlformats.org/officeDocument/2006/relationships/image" Target="media/image32.emf"/><Relationship Id="rId66" Type="http://schemas.openxmlformats.org/officeDocument/2006/relationships/image" Target="media/image53.emf"/><Relationship Id="rId87" Type="http://schemas.openxmlformats.org/officeDocument/2006/relationships/image" Target="media/image74.emf"/><Relationship Id="rId61" Type="http://schemas.openxmlformats.org/officeDocument/2006/relationships/image" Target="media/image48.emf"/><Relationship Id="rId82" Type="http://schemas.openxmlformats.org/officeDocument/2006/relationships/image" Target="media/image69.emf"/><Relationship Id="rId19" Type="http://schemas.openxmlformats.org/officeDocument/2006/relationships/header" Target="header1.xml"/><Relationship Id="rId14" Type="http://schemas.openxmlformats.org/officeDocument/2006/relationships/image" Target="media/image4.emf"/><Relationship Id="rId30" Type="http://schemas.openxmlformats.org/officeDocument/2006/relationships/image" Target="media/image17.emf"/><Relationship Id="rId35" Type="http://schemas.openxmlformats.org/officeDocument/2006/relationships/image" Target="media/image22.emf"/><Relationship Id="rId56" Type="http://schemas.openxmlformats.org/officeDocument/2006/relationships/image" Target="media/image43.emf"/><Relationship Id="rId77" Type="http://schemas.openxmlformats.org/officeDocument/2006/relationships/image" Target="media/image64.emf"/><Relationship Id="rId100" Type="http://schemas.openxmlformats.org/officeDocument/2006/relationships/image" Target="media/image87.emf"/><Relationship Id="rId105"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image" Target="media/image38.emf"/><Relationship Id="rId72" Type="http://schemas.openxmlformats.org/officeDocument/2006/relationships/image" Target="media/image59.emf"/><Relationship Id="rId93" Type="http://schemas.openxmlformats.org/officeDocument/2006/relationships/image" Target="media/image80.emf"/><Relationship Id="rId98" Type="http://schemas.openxmlformats.org/officeDocument/2006/relationships/image" Target="media/image85.emf"/><Relationship Id="rId3" Type="http://schemas.openxmlformats.org/officeDocument/2006/relationships/customXml" Target="../customXml/item3.xml"/><Relationship Id="rId25" Type="http://schemas.openxmlformats.org/officeDocument/2006/relationships/image" Target="media/image13.emf"/><Relationship Id="rId46" Type="http://schemas.openxmlformats.org/officeDocument/2006/relationships/image" Target="media/image33.emf"/><Relationship Id="rId67" Type="http://schemas.openxmlformats.org/officeDocument/2006/relationships/image" Target="media/image54.emf"/></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eed8148-05b1-4506-be43-46df4974c4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8FFB7EA797204CA13BFE35BF7E62BF" ma:contentTypeVersion="14" ma:contentTypeDescription="Create a new document." ma:contentTypeScope="" ma:versionID="530e021be5bfaf3e05cb8ff496a3bcda">
  <xsd:schema xmlns:xsd="http://www.w3.org/2001/XMLSchema" xmlns:xs="http://www.w3.org/2001/XMLSchema" xmlns:p="http://schemas.microsoft.com/office/2006/metadata/properties" xmlns:ns3="8eed8148-05b1-4506-be43-46df4974c460" xmlns:ns4="96595743-eea5-4ecb-a647-33045c308af9" targetNamespace="http://schemas.microsoft.com/office/2006/metadata/properties" ma:root="true" ma:fieldsID="bfe88d80e04bba50cd494c65da071743" ns3:_="" ns4:_="">
    <xsd:import namespace="8eed8148-05b1-4506-be43-46df4974c460"/>
    <xsd:import namespace="96595743-eea5-4ecb-a647-33045c308a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d8148-05b1-4506-be43-46df4974c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595743-eea5-4ecb-a647-33045c308a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0B9D1-B5E3-468A-A516-4ED896771A08}">
  <ds:schemaRefs>
    <ds:schemaRef ds:uri="http://schemas.microsoft.com/office/2006/metadata/properties"/>
    <ds:schemaRef ds:uri="http://schemas.microsoft.com/office/infopath/2007/PartnerControls"/>
    <ds:schemaRef ds:uri="8eed8148-05b1-4506-be43-46df4974c460"/>
  </ds:schemaRefs>
</ds:datastoreItem>
</file>

<file path=customXml/itemProps2.xml><?xml version="1.0" encoding="utf-8"?>
<ds:datastoreItem xmlns:ds="http://schemas.openxmlformats.org/officeDocument/2006/customXml" ds:itemID="{3AA2FF36-6028-4B59-8844-DA5FDB4CA77E}">
  <ds:schemaRefs>
    <ds:schemaRef ds:uri="http://schemas.microsoft.com/sharepoint/v3/contenttype/forms"/>
  </ds:schemaRefs>
</ds:datastoreItem>
</file>

<file path=customXml/itemProps3.xml><?xml version="1.0" encoding="utf-8"?>
<ds:datastoreItem xmlns:ds="http://schemas.openxmlformats.org/officeDocument/2006/customXml" ds:itemID="{79848C6B-CB06-40E4-87BD-FBA4758C8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d8148-05b1-4506-be43-46df4974c460"/>
    <ds:schemaRef ds:uri="96595743-eea5-4ecb-a647-33045c308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48EA9A-8FA8-4273-AC41-F289DB683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111</Pages>
  <Words>31004</Words>
  <Characters>167117</Characters>
  <Application>Microsoft Office Word</Application>
  <DocSecurity>0</DocSecurity>
  <Lines>6189</Lines>
  <Paragraphs>2540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195581</CharactersWithSpaces>
  <SharedDoc>false</SharedDoc>
  <HLinks>
    <vt:vector size="834" baseType="variant">
      <vt:variant>
        <vt:i4>1572932</vt:i4>
      </vt:variant>
      <vt:variant>
        <vt:i4>837</vt:i4>
      </vt:variant>
      <vt:variant>
        <vt:i4>0</vt:i4>
      </vt:variant>
      <vt:variant>
        <vt:i4>5</vt:i4>
      </vt:variant>
      <vt:variant>
        <vt:lpwstr>http://www.parvalorem.pt/</vt:lpwstr>
      </vt:variant>
      <vt:variant>
        <vt:lpwstr/>
      </vt:variant>
      <vt:variant>
        <vt:i4>1179700</vt:i4>
      </vt:variant>
      <vt:variant>
        <vt:i4>824</vt:i4>
      </vt:variant>
      <vt:variant>
        <vt:i4>0</vt:i4>
      </vt:variant>
      <vt:variant>
        <vt:i4>5</vt:i4>
      </vt:variant>
      <vt:variant>
        <vt:lpwstr/>
      </vt:variant>
      <vt:variant>
        <vt:lpwstr>_Toc411611039</vt:lpwstr>
      </vt:variant>
      <vt:variant>
        <vt:i4>1179700</vt:i4>
      </vt:variant>
      <vt:variant>
        <vt:i4>818</vt:i4>
      </vt:variant>
      <vt:variant>
        <vt:i4>0</vt:i4>
      </vt:variant>
      <vt:variant>
        <vt:i4>5</vt:i4>
      </vt:variant>
      <vt:variant>
        <vt:lpwstr/>
      </vt:variant>
      <vt:variant>
        <vt:lpwstr>_Toc411611038</vt:lpwstr>
      </vt:variant>
      <vt:variant>
        <vt:i4>1179700</vt:i4>
      </vt:variant>
      <vt:variant>
        <vt:i4>812</vt:i4>
      </vt:variant>
      <vt:variant>
        <vt:i4>0</vt:i4>
      </vt:variant>
      <vt:variant>
        <vt:i4>5</vt:i4>
      </vt:variant>
      <vt:variant>
        <vt:lpwstr/>
      </vt:variant>
      <vt:variant>
        <vt:lpwstr>_Toc411611037</vt:lpwstr>
      </vt:variant>
      <vt:variant>
        <vt:i4>1179700</vt:i4>
      </vt:variant>
      <vt:variant>
        <vt:i4>806</vt:i4>
      </vt:variant>
      <vt:variant>
        <vt:i4>0</vt:i4>
      </vt:variant>
      <vt:variant>
        <vt:i4>5</vt:i4>
      </vt:variant>
      <vt:variant>
        <vt:lpwstr/>
      </vt:variant>
      <vt:variant>
        <vt:lpwstr>_Toc411611036</vt:lpwstr>
      </vt:variant>
      <vt:variant>
        <vt:i4>1179700</vt:i4>
      </vt:variant>
      <vt:variant>
        <vt:i4>800</vt:i4>
      </vt:variant>
      <vt:variant>
        <vt:i4>0</vt:i4>
      </vt:variant>
      <vt:variant>
        <vt:i4>5</vt:i4>
      </vt:variant>
      <vt:variant>
        <vt:lpwstr/>
      </vt:variant>
      <vt:variant>
        <vt:lpwstr>_Toc411611035</vt:lpwstr>
      </vt:variant>
      <vt:variant>
        <vt:i4>1179700</vt:i4>
      </vt:variant>
      <vt:variant>
        <vt:i4>794</vt:i4>
      </vt:variant>
      <vt:variant>
        <vt:i4>0</vt:i4>
      </vt:variant>
      <vt:variant>
        <vt:i4>5</vt:i4>
      </vt:variant>
      <vt:variant>
        <vt:lpwstr/>
      </vt:variant>
      <vt:variant>
        <vt:lpwstr>_Toc411611034</vt:lpwstr>
      </vt:variant>
      <vt:variant>
        <vt:i4>1179700</vt:i4>
      </vt:variant>
      <vt:variant>
        <vt:i4>788</vt:i4>
      </vt:variant>
      <vt:variant>
        <vt:i4>0</vt:i4>
      </vt:variant>
      <vt:variant>
        <vt:i4>5</vt:i4>
      </vt:variant>
      <vt:variant>
        <vt:lpwstr/>
      </vt:variant>
      <vt:variant>
        <vt:lpwstr>_Toc411611033</vt:lpwstr>
      </vt:variant>
      <vt:variant>
        <vt:i4>1179700</vt:i4>
      </vt:variant>
      <vt:variant>
        <vt:i4>782</vt:i4>
      </vt:variant>
      <vt:variant>
        <vt:i4>0</vt:i4>
      </vt:variant>
      <vt:variant>
        <vt:i4>5</vt:i4>
      </vt:variant>
      <vt:variant>
        <vt:lpwstr/>
      </vt:variant>
      <vt:variant>
        <vt:lpwstr>_Toc411611032</vt:lpwstr>
      </vt:variant>
      <vt:variant>
        <vt:i4>1179700</vt:i4>
      </vt:variant>
      <vt:variant>
        <vt:i4>776</vt:i4>
      </vt:variant>
      <vt:variant>
        <vt:i4>0</vt:i4>
      </vt:variant>
      <vt:variant>
        <vt:i4>5</vt:i4>
      </vt:variant>
      <vt:variant>
        <vt:lpwstr/>
      </vt:variant>
      <vt:variant>
        <vt:lpwstr>_Toc411611031</vt:lpwstr>
      </vt:variant>
      <vt:variant>
        <vt:i4>1179700</vt:i4>
      </vt:variant>
      <vt:variant>
        <vt:i4>770</vt:i4>
      </vt:variant>
      <vt:variant>
        <vt:i4>0</vt:i4>
      </vt:variant>
      <vt:variant>
        <vt:i4>5</vt:i4>
      </vt:variant>
      <vt:variant>
        <vt:lpwstr/>
      </vt:variant>
      <vt:variant>
        <vt:lpwstr>_Toc411611030</vt:lpwstr>
      </vt:variant>
      <vt:variant>
        <vt:i4>1245236</vt:i4>
      </vt:variant>
      <vt:variant>
        <vt:i4>764</vt:i4>
      </vt:variant>
      <vt:variant>
        <vt:i4>0</vt:i4>
      </vt:variant>
      <vt:variant>
        <vt:i4>5</vt:i4>
      </vt:variant>
      <vt:variant>
        <vt:lpwstr/>
      </vt:variant>
      <vt:variant>
        <vt:lpwstr>_Toc411611029</vt:lpwstr>
      </vt:variant>
      <vt:variant>
        <vt:i4>1245236</vt:i4>
      </vt:variant>
      <vt:variant>
        <vt:i4>758</vt:i4>
      </vt:variant>
      <vt:variant>
        <vt:i4>0</vt:i4>
      </vt:variant>
      <vt:variant>
        <vt:i4>5</vt:i4>
      </vt:variant>
      <vt:variant>
        <vt:lpwstr/>
      </vt:variant>
      <vt:variant>
        <vt:lpwstr>_Toc411611028</vt:lpwstr>
      </vt:variant>
      <vt:variant>
        <vt:i4>1245236</vt:i4>
      </vt:variant>
      <vt:variant>
        <vt:i4>752</vt:i4>
      </vt:variant>
      <vt:variant>
        <vt:i4>0</vt:i4>
      </vt:variant>
      <vt:variant>
        <vt:i4>5</vt:i4>
      </vt:variant>
      <vt:variant>
        <vt:lpwstr/>
      </vt:variant>
      <vt:variant>
        <vt:lpwstr>_Toc411611027</vt:lpwstr>
      </vt:variant>
      <vt:variant>
        <vt:i4>1245236</vt:i4>
      </vt:variant>
      <vt:variant>
        <vt:i4>746</vt:i4>
      </vt:variant>
      <vt:variant>
        <vt:i4>0</vt:i4>
      </vt:variant>
      <vt:variant>
        <vt:i4>5</vt:i4>
      </vt:variant>
      <vt:variant>
        <vt:lpwstr/>
      </vt:variant>
      <vt:variant>
        <vt:lpwstr>_Toc411611026</vt:lpwstr>
      </vt:variant>
      <vt:variant>
        <vt:i4>1245236</vt:i4>
      </vt:variant>
      <vt:variant>
        <vt:i4>740</vt:i4>
      </vt:variant>
      <vt:variant>
        <vt:i4>0</vt:i4>
      </vt:variant>
      <vt:variant>
        <vt:i4>5</vt:i4>
      </vt:variant>
      <vt:variant>
        <vt:lpwstr/>
      </vt:variant>
      <vt:variant>
        <vt:lpwstr>_Toc411611025</vt:lpwstr>
      </vt:variant>
      <vt:variant>
        <vt:i4>1245236</vt:i4>
      </vt:variant>
      <vt:variant>
        <vt:i4>734</vt:i4>
      </vt:variant>
      <vt:variant>
        <vt:i4>0</vt:i4>
      </vt:variant>
      <vt:variant>
        <vt:i4>5</vt:i4>
      </vt:variant>
      <vt:variant>
        <vt:lpwstr/>
      </vt:variant>
      <vt:variant>
        <vt:lpwstr>_Toc411611024</vt:lpwstr>
      </vt:variant>
      <vt:variant>
        <vt:i4>1245236</vt:i4>
      </vt:variant>
      <vt:variant>
        <vt:i4>728</vt:i4>
      </vt:variant>
      <vt:variant>
        <vt:i4>0</vt:i4>
      </vt:variant>
      <vt:variant>
        <vt:i4>5</vt:i4>
      </vt:variant>
      <vt:variant>
        <vt:lpwstr/>
      </vt:variant>
      <vt:variant>
        <vt:lpwstr>_Toc411611023</vt:lpwstr>
      </vt:variant>
      <vt:variant>
        <vt:i4>1245236</vt:i4>
      </vt:variant>
      <vt:variant>
        <vt:i4>722</vt:i4>
      </vt:variant>
      <vt:variant>
        <vt:i4>0</vt:i4>
      </vt:variant>
      <vt:variant>
        <vt:i4>5</vt:i4>
      </vt:variant>
      <vt:variant>
        <vt:lpwstr/>
      </vt:variant>
      <vt:variant>
        <vt:lpwstr>_Toc411611022</vt:lpwstr>
      </vt:variant>
      <vt:variant>
        <vt:i4>1245236</vt:i4>
      </vt:variant>
      <vt:variant>
        <vt:i4>716</vt:i4>
      </vt:variant>
      <vt:variant>
        <vt:i4>0</vt:i4>
      </vt:variant>
      <vt:variant>
        <vt:i4>5</vt:i4>
      </vt:variant>
      <vt:variant>
        <vt:lpwstr/>
      </vt:variant>
      <vt:variant>
        <vt:lpwstr>_Toc411611021</vt:lpwstr>
      </vt:variant>
      <vt:variant>
        <vt:i4>1245236</vt:i4>
      </vt:variant>
      <vt:variant>
        <vt:i4>710</vt:i4>
      </vt:variant>
      <vt:variant>
        <vt:i4>0</vt:i4>
      </vt:variant>
      <vt:variant>
        <vt:i4>5</vt:i4>
      </vt:variant>
      <vt:variant>
        <vt:lpwstr/>
      </vt:variant>
      <vt:variant>
        <vt:lpwstr>_Toc411611020</vt:lpwstr>
      </vt:variant>
      <vt:variant>
        <vt:i4>1048628</vt:i4>
      </vt:variant>
      <vt:variant>
        <vt:i4>704</vt:i4>
      </vt:variant>
      <vt:variant>
        <vt:i4>0</vt:i4>
      </vt:variant>
      <vt:variant>
        <vt:i4>5</vt:i4>
      </vt:variant>
      <vt:variant>
        <vt:lpwstr/>
      </vt:variant>
      <vt:variant>
        <vt:lpwstr>_Toc411611019</vt:lpwstr>
      </vt:variant>
      <vt:variant>
        <vt:i4>1048628</vt:i4>
      </vt:variant>
      <vt:variant>
        <vt:i4>698</vt:i4>
      </vt:variant>
      <vt:variant>
        <vt:i4>0</vt:i4>
      </vt:variant>
      <vt:variant>
        <vt:i4>5</vt:i4>
      </vt:variant>
      <vt:variant>
        <vt:lpwstr/>
      </vt:variant>
      <vt:variant>
        <vt:lpwstr>_Toc411611018</vt:lpwstr>
      </vt:variant>
      <vt:variant>
        <vt:i4>1048628</vt:i4>
      </vt:variant>
      <vt:variant>
        <vt:i4>692</vt:i4>
      </vt:variant>
      <vt:variant>
        <vt:i4>0</vt:i4>
      </vt:variant>
      <vt:variant>
        <vt:i4>5</vt:i4>
      </vt:variant>
      <vt:variant>
        <vt:lpwstr/>
      </vt:variant>
      <vt:variant>
        <vt:lpwstr>_Toc411611017</vt:lpwstr>
      </vt:variant>
      <vt:variant>
        <vt:i4>1048628</vt:i4>
      </vt:variant>
      <vt:variant>
        <vt:i4>686</vt:i4>
      </vt:variant>
      <vt:variant>
        <vt:i4>0</vt:i4>
      </vt:variant>
      <vt:variant>
        <vt:i4>5</vt:i4>
      </vt:variant>
      <vt:variant>
        <vt:lpwstr/>
      </vt:variant>
      <vt:variant>
        <vt:lpwstr>_Toc411611016</vt:lpwstr>
      </vt:variant>
      <vt:variant>
        <vt:i4>1048628</vt:i4>
      </vt:variant>
      <vt:variant>
        <vt:i4>680</vt:i4>
      </vt:variant>
      <vt:variant>
        <vt:i4>0</vt:i4>
      </vt:variant>
      <vt:variant>
        <vt:i4>5</vt:i4>
      </vt:variant>
      <vt:variant>
        <vt:lpwstr/>
      </vt:variant>
      <vt:variant>
        <vt:lpwstr>_Toc411611015</vt:lpwstr>
      </vt:variant>
      <vt:variant>
        <vt:i4>1048628</vt:i4>
      </vt:variant>
      <vt:variant>
        <vt:i4>674</vt:i4>
      </vt:variant>
      <vt:variant>
        <vt:i4>0</vt:i4>
      </vt:variant>
      <vt:variant>
        <vt:i4>5</vt:i4>
      </vt:variant>
      <vt:variant>
        <vt:lpwstr/>
      </vt:variant>
      <vt:variant>
        <vt:lpwstr>_Toc411611014</vt:lpwstr>
      </vt:variant>
      <vt:variant>
        <vt:i4>1048628</vt:i4>
      </vt:variant>
      <vt:variant>
        <vt:i4>668</vt:i4>
      </vt:variant>
      <vt:variant>
        <vt:i4>0</vt:i4>
      </vt:variant>
      <vt:variant>
        <vt:i4>5</vt:i4>
      </vt:variant>
      <vt:variant>
        <vt:lpwstr/>
      </vt:variant>
      <vt:variant>
        <vt:lpwstr>_Toc411611013</vt:lpwstr>
      </vt:variant>
      <vt:variant>
        <vt:i4>1048628</vt:i4>
      </vt:variant>
      <vt:variant>
        <vt:i4>662</vt:i4>
      </vt:variant>
      <vt:variant>
        <vt:i4>0</vt:i4>
      </vt:variant>
      <vt:variant>
        <vt:i4>5</vt:i4>
      </vt:variant>
      <vt:variant>
        <vt:lpwstr/>
      </vt:variant>
      <vt:variant>
        <vt:lpwstr>_Toc411611012</vt:lpwstr>
      </vt:variant>
      <vt:variant>
        <vt:i4>1048628</vt:i4>
      </vt:variant>
      <vt:variant>
        <vt:i4>656</vt:i4>
      </vt:variant>
      <vt:variant>
        <vt:i4>0</vt:i4>
      </vt:variant>
      <vt:variant>
        <vt:i4>5</vt:i4>
      </vt:variant>
      <vt:variant>
        <vt:lpwstr/>
      </vt:variant>
      <vt:variant>
        <vt:lpwstr>_Toc411611011</vt:lpwstr>
      </vt:variant>
      <vt:variant>
        <vt:i4>1048628</vt:i4>
      </vt:variant>
      <vt:variant>
        <vt:i4>650</vt:i4>
      </vt:variant>
      <vt:variant>
        <vt:i4>0</vt:i4>
      </vt:variant>
      <vt:variant>
        <vt:i4>5</vt:i4>
      </vt:variant>
      <vt:variant>
        <vt:lpwstr/>
      </vt:variant>
      <vt:variant>
        <vt:lpwstr>_Toc411611010</vt:lpwstr>
      </vt:variant>
      <vt:variant>
        <vt:i4>1114164</vt:i4>
      </vt:variant>
      <vt:variant>
        <vt:i4>644</vt:i4>
      </vt:variant>
      <vt:variant>
        <vt:i4>0</vt:i4>
      </vt:variant>
      <vt:variant>
        <vt:i4>5</vt:i4>
      </vt:variant>
      <vt:variant>
        <vt:lpwstr/>
      </vt:variant>
      <vt:variant>
        <vt:lpwstr>_Toc411611009</vt:lpwstr>
      </vt:variant>
      <vt:variant>
        <vt:i4>1114164</vt:i4>
      </vt:variant>
      <vt:variant>
        <vt:i4>638</vt:i4>
      </vt:variant>
      <vt:variant>
        <vt:i4>0</vt:i4>
      </vt:variant>
      <vt:variant>
        <vt:i4>5</vt:i4>
      </vt:variant>
      <vt:variant>
        <vt:lpwstr/>
      </vt:variant>
      <vt:variant>
        <vt:lpwstr>_Toc411611008</vt:lpwstr>
      </vt:variant>
      <vt:variant>
        <vt:i4>1114164</vt:i4>
      </vt:variant>
      <vt:variant>
        <vt:i4>632</vt:i4>
      </vt:variant>
      <vt:variant>
        <vt:i4>0</vt:i4>
      </vt:variant>
      <vt:variant>
        <vt:i4>5</vt:i4>
      </vt:variant>
      <vt:variant>
        <vt:lpwstr/>
      </vt:variant>
      <vt:variant>
        <vt:lpwstr>_Toc411611007</vt:lpwstr>
      </vt:variant>
      <vt:variant>
        <vt:i4>1114164</vt:i4>
      </vt:variant>
      <vt:variant>
        <vt:i4>626</vt:i4>
      </vt:variant>
      <vt:variant>
        <vt:i4>0</vt:i4>
      </vt:variant>
      <vt:variant>
        <vt:i4>5</vt:i4>
      </vt:variant>
      <vt:variant>
        <vt:lpwstr/>
      </vt:variant>
      <vt:variant>
        <vt:lpwstr>_Toc411611006</vt:lpwstr>
      </vt:variant>
      <vt:variant>
        <vt:i4>1114164</vt:i4>
      </vt:variant>
      <vt:variant>
        <vt:i4>620</vt:i4>
      </vt:variant>
      <vt:variant>
        <vt:i4>0</vt:i4>
      </vt:variant>
      <vt:variant>
        <vt:i4>5</vt:i4>
      </vt:variant>
      <vt:variant>
        <vt:lpwstr/>
      </vt:variant>
      <vt:variant>
        <vt:lpwstr>_Toc411611005</vt:lpwstr>
      </vt:variant>
      <vt:variant>
        <vt:i4>1114164</vt:i4>
      </vt:variant>
      <vt:variant>
        <vt:i4>614</vt:i4>
      </vt:variant>
      <vt:variant>
        <vt:i4>0</vt:i4>
      </vt:variant>
      <vt:variant>
        <vt:i4>5</vt:i4>
      </vt:variant>
      <vt:variant>
        <vt:lpwstr/>
      </vt:variant>
      <vt:variant>
        <vt:lpwstr>_Toc411611004</vt:lpwstr>
      </vt:variant>
      <vt:variant>
        <vt:i4>1114164</vt:i4>
      </vt:variant>
      <vt:variant>
        <vt:i4>608</vt:i4>
      </vt:variant>
      <vt:variant>
        <vt:i4>0</vt:i4>
      </vt:variant>
      <vt:variant>
        <vt:i4>5</vt:i4>
      </vt:variant>
      <vt:variant>
        <vt:lpwstr/>
      </vt:variant>
      <vt:variant>
        <vt:lpwstr>_Toc411611003</vt:lpwstr>
      </vt:variant>
      <vt:variant>
        <vt:i4>1114164</vt:i4>
      </vt:variant>
      <vt:variant>
        <vt:i4>602</vt:i4>
      </vt:variant>
      <vt:variant>
        <vt:i4>0</vt:i4>
      </vt:variant>
      <vt:variant>
        <vt:i4>5</vt:i4>
      </vt:variant>
      <vt:variant>
        <vt:lpwstr/>
      </vt:variant>
      <vt:variant>
        <vt:lpwstr>_Toc411611002</vt:lpwstr>
      </vt:variant>
      <vt:variant>
        <vt:i4>1114164</vt:i4>
      </vt:variant>
      <vt:variant>
        <vt:i4>596</vt:i4>
      </vt:variant>
      <vt:variant>
        <vt:i4>0</vt:i4>
      </vt:variant>
      <vt:variant>
        <vt:i4>5</vt:i4>
      </vt:variant>
      <vt:variant>
        <vt:lpwstr/>
      </vt:variant>
      <vt:variant>
        <vt:lpwstr>_Toc411611001</vt:lpwstr>
      </vt:variant>
      <vt:variant>
        <vt:i4>1114164</vt:i4>
      </vt:variant>
      <vt:variant>
        <vt:i4>590</vt:i4>
      </vt:variant>
      <vt:variant>
        <vt:i4>0</vt:i4>
      </vt:variant>
      <vt:variant>
        <vt:i4>5</vt:i4>
      </vt:variant>
      <vt:variant>
        <vt:lpwstr/>
      </vt:variant>
      <vt:variant>
        <vt:lpwstr>_Toc411611000</vt:lpwstr>
      </vt:variant>
      <vt:variant>
        <vt:i4>1638461</vt:i4>
      </vt:variant>
      <vt:variant>
        <vt:i4>584</vt:i4>
      </vt:variant>
      <vt:variant>
        <vt:i4>0</vt:i4>
      </vt:variant>
      <vt:variant>
        <vt:i4>5</vt:i4>
      </vt:variant>
      <vt:variant>
        <vt:lpwstr/>
      </vt:variant>
      <vt:variant>
        <vt:lpwstr>_Toc411610999</vt:lpwstr>
      </vt:variant>
      <vt:variant>
        <vt:i4>1638461</vt:i4>
      </vt:variant>
      <vt:variant>
        <vt:i4>578</vt:i4>
      </vt:variant>
      <vt:variant>
        <vt:i4>0</vt:i4>
      </vt:variant>
      <vt:variant>
        <vt:i4>5</vt:i4>
      </vt:variant>
      <vt:variant>
        <vt:lpwstr/>
      </vt:variant>
      <vt:variant>
        <vt:lpwstr>_Toc411610998</vt:lpwstr>
      </vt:variant>
      <vt:variant>
        <vt:i4>1638461</vt:i4>
      </vt:variant>
      <vt:variant>
        <vt:i4>572</vt:i4>
      </vt:variant>
      <vt:variant>
        <vt:i4>0</vt:i4>
      </vt:variant>
      <vt:variant>
        <vt:i4>5</vt:i4>
      </vt:variant>
      <vt:variant>
        <vt:lpwstr/>
      </vt:variant>
      <vt:variant>
        <vt:lpwstr>_Toc411610997</vt:lpwstr>
      </vt:variant>
      <vt:variant>
        <vt:i4>1638461</vt:i4>
      </vt:variant>
      <vt:variant>
        <vt:i4>566</vt:i4>
      </vt:variant>
      <vt:variant>
        <vt:i4>0</vt:i4>
      </vt:variant>
      <vt:variant>
        <vt:i4>5</vt:i4>
      </vt:variant>
      <vt:variant>
        <vt:lpwstr/>
      </vt:variant>
      <vt:variant>
        <vt:lpwstr>_Toc411610996</vt:lpwstr>
      </vt:variant>
      <vt:variant>
        <vt:i4>1638461</vt:i4>
      </vt:variant>
      <vt:variant>
        <vt:i4>560</vt:i4>
      </vt:variant>
      <vt:variant>
        <vt:i4>0</vt:i4>
      </vt:variant>
      <vt:variant>
        <vt:i4>5</vt:i4>
      </vt:variant>
      <vt:variant>
        <vt:lpwstr/>
      </vt:variant>
      <vt:variant>
        <vt:lpwstr>_Toc411610995</vt:lpwstr>
      </vt:variant>
      <vt:variant>
        <vt:i4>1638461</vt:i4>
      </vt:variant>
      <vt:variant>
        <vt:i4>554</vt:i4>
      </vt:variant>
      <vt:variant>
        <vt:i4>0</vt:i4>
      </vt:variant>
      <vt:variant>
        <vt:i4>5</vt:i4>
      </vt:variant>
      <vt:variant>
        <vt:lpwstr/>
      </vt:variant>
      <vt:variant>
        <vt:lpwstr>_Toc411610994</vt:lpwstr>
      </vt:variant>
      <vt:variant>
        <vt:i4>1638461</vt:i4>
      </vt:variant>
      <vt:variant>
        <vt:i4>548</vt:i4>
      </vt:variant>
      <vt:variant>
        <vt:i4>0</vt:i4>
      </vt:variant>
      <vt:variant>
        <vt:i4>5</vt:i4>
      </vt:variant>
      <vt:variant>
        <vt:lpwstr/>
      </vt:variant>
      <vt:variant>
        <vt:lpwstr>_Toc411610993</vt:lpwstr>
      </vt:variant>
      <vt:variant>
        <vt:i4>1638461</vt:i4>
      </vt:variant>
      <vt:variant>
        <vt:i4>542</vt:i4>
      </vt:variant>
      <vt:variant>
        <vt:i4>0</vt:i4>
      </vt:variant>
      <vt:variant>
        <vt:i4>5</vt:i4>
      </vt:variant>
      <vt:variant>
        <vt:lpwstr/>
      </vt:variant>
      <vt:variant>
        <vt:lpwstr>_Toc411610992</vt:lpwstr>
      </vt:variant>
      <vt:variant>
        <vt:i4>1638461</vt:i4>
      </vt:variant>
      <vt:variant>
        <vt:i4>536</vt:i4>
      </vt:variant>
      <vt:variant>
        <vt:i4>0</vt:i4>
      </vt:variant>
      <vt:variant>
        <vt:i4>5</vt:i4>
      </vt:variant>
      <vt:variant>
        <vt:lpwstr/>
      </vt:variant>
      <vt:variant>
        <vt:lpwstr>_Toc411610991</vt:lpwstr>
      </vt:variant>
      <vt:variant>
        <vt:i4>1638461</vt:i4>
      </vt:variant>
      <vt:variant>
        <vt:i4>530</vt:i4>
      </vt:variant>
      <vt:variant>
        <vt:i4>0</vt:i4>
      </vt:variant>
      <vt:variant>
        <vt:i4>5</vt:i4>
      </vt:variant>
      <vt:variant>
        <vt:lpwstr/>
      </vt:variant>
      <vt:variant>
        <vt:lpwstr>_Toc411610990</vt:lpwstr>
      </vt:variant>
      <vt:variant>
        <vt:i4>1572925</vt:i4>
      </vt:variant>
      <vt:variant>
        <vt:i4>524</vt:i4>
      </vt:variant>
      <vt:variant>
        <vt:i4>0</vt:i4>
      </vt:variant>
      <vt:variant>
        <vt:i4>5</vt:i4>
      </vt:variant>
      <vt:variant>
        <vt:lpwstr/>
      </vt:variant>
      <vt:variant>
        <vt:lpwstr>_Toc411610989</vt:lpwstr>
      </vt:variant>
      <vt:variant>
        <vt:i4>1572925</vt:i4>
      </vt:variant>
      <vt:variant>
        <vt:i4>518</vt:i4>
      </vt:variant>
      <vt:variant>
        <vt:i4>0</vt:i4>
      </vt:variant>
      <vt:variant>
        <vt:i4>5</vt:i4>
      </vt:variant>
      <vt:variant>
        <vt:lpwstr/>
      </vt:variant>
      <vt:variant>
        <vt:lpwstr>_Toc411610988</vt:lpwstr>
      </vt:variant>
      <vt:variant>
        <vt:i4>1572925</vt:i4>
      </vt:variant>
      <vt:variant>
        <vt:i4>512</vt:i4>
      </vt:variant>
      <vt:variant>
        <vt:i4>0</vt:i4>
      </vt:variant>
      <vt:variant>
        <vt:i4>5</vt:i4>
      </vt:variant>
      <vt:variant>
        <vt:lpwstr/>
      </vt:variant>
      <vt:variant>
        <vt:lpwstr>_Toc411610987</vt:lpwstr>
      </vt:variant>
      <vt:variant>
        <vt:i4>1572925</vt:i4>
      </vt:variant>
      <vt:variant>
        <vt:i4>506</vt:i4>
      </vt:variant>
      <vt:variant>
        <vt:i4>0</vt:i4>
      </vt:variant>
      <vt:variant>
        <vt:i4>5</vt:i4>
      </vt:variant>
      <vt:variant>
        <vt:lpwstr/>
      </vt:variant>
      <vt:variant>
        <vt:lpwstr>_Toc411610986</vt:lpwstr>
      </vt:variant>
      <vt:variant>
        <vt:i4>1572925</vt:i4>
      </vt:variant>
      <vt:variant>
        <vt:i4>500</vt:i4>
      </vt:variant>
      <vt:variant>
        <vt:i4>0</vt:i4>
      </vt:variant>
      <vt:variant>
        <vt:i4>5</vt:i4>
      </vt:variant>
      <vt:variant>
        <vt:lpwstr/>
      </vt:variant>
      <vt:variant>
        <vt:lpwstr>_Toc411610985</vt:lpwstr>
      </vt:variant>
      <vt:variant>
        <vt:i4>1572925</vt:i4>
      </vt:variant>
      <vt:variant>
        <vt:i4>494</vt:i4>
      </vt:variant>
      <vt:variant>
        <vt:i4>0</vt:i4>
      </vt:variant>
      <vt:variant>
        <vt:i4>5</vt:i4>
      </vt:variant>
      <vt:variant>
        <vt:lpwstr/>
      </vt:variant>
      <vt:variant>
        <vt:lpwstr>_Toc411610984</vt:lpwstr>
      </vt:variant>
      <vt:variant>
        <vt:i4>1572925</vt:i4>
      </vt:variant>
      <vt:variant>
        <vt:i4>488</vt:i4>
      </vt:variant>
      <vt:variant>
        <vt:i4>0</vt:i4>
      </vt:variant>
      <vt:variant>
        <vt:i4>5</vt:i4>
      </vt:variant>
      <vt:variant>
        <vt:lpwstr/>
      </vt:variant>
      <vt:variant>
        <vt:lpwstr>_Toc411610983</vt:lpwstr>
      </vt:variant>
      <vt:variant>
        <vt:i4>1572925</vt:i4>
      </vt:variant>
      <vt:variant>
        <vt:i4>482</vt:i4>
      </vt:variant>
      <vt:variant>
        <vt:i4>0</vt:i4>
      </vt:variant>
      <vt:variant>
        <vt:i4>5</vt:i4>
      </vt:variant>
      <vt:variant>
        <vt:lpwstr/>
      </vt:variant>
      <vt:variant>
        <vt:lpwstr>_Toc411610982</vt:lpwstr>
      </vt:variant>
      <vt:variant>
        <vt:i4>1572925</vt:i4>
      </vt:variant>
      <vt:variant>
        <vt:i4>476</vt:i4>
      </vt:variant>
      <vt:variant>
        <vt:i4>0</vt:i4>
      </vt:variant>
      <vt:variant>
        <vt:i4>5</vt:i4>
      </vt:variant>
      <vt:variant>
        <vt:lpwstr/>
      </vt:variant>
      <vt:variant>
        <vt:lpwstr>_Toc411610981</vt:lpwstr>
      </vt:variant>
      <vt:variant>
        <vt:i4>1572925</vt:i4>
      </vt:variant>
      <vt:variant>
        <vt:i4>470</vt:i4>
      </vt:variant>
      <vt:variant>
        <vt:i4>0</vt:i4>
      </vt:variant>
      <vt:variant>
        <vt:i4>5</vt:i4>
      </vt:variant>
      <vt:variant>
        <vt:lpwstr/>
      </vt:variant>
      <vt:variant>
        <vt:lpwstr>_Toc411610980</vt:lpwstr>
      </vt:variant>
      <vt:variant>
        <vt:i4>1507389</vt:i4>
      </vt:variant>
      <vt:variant>
        <vt:i4>464</vt:i4>
      </vt:variant>
      <vt:variant>
        <vt:i4>0</vt:i4>
      </vt:variant>
      <vt:variant>
        <vt:i4>5</vt:i4>
      </vt:variant>
      <vt:variant>
        <vt:lpwstr/>
      </vt:variant>
      <vt:variant>
        <vt:lpwstr>_Toc411610979</vt:lpwstr>
      </vt:variant>
      <vt:variant>
        <vt:i4>1507389</vt:i4>
      </vt:variant>
      <vt:variant>
        <vt:i4>458</vt:i4>
      </vt:variant>
      <vt:variant>
        <vt:i4>0</vt:i4>
      </vt:variant>
      <vt:variant>
        <vt:i4>5</vt:i4>
      </vt:variant>
      <vt:variant>
        <vt:lpwstr/>
      </vt:variant>
      <vt:variant>
        <vt:lpwstr>_Toc411610978</vt:lpwstr>
      </vt:variant>
      <vt:variant>
        <vt:i4>1507389</vt:i4>
      </vt:variant>
      <vt:variant>
        <vt:i4>452</vt:i4>
      </vt:variant>
      <vt:variant>
        <vt:i4>0</vt:i4>
      </vt:variant>
      <vt:variant>
        <vt:i4>5</vt:i4>
      </vt:variant>
      <vt:variant>
        <vt:lpwstr/>
      </vt:variant>
      <vt:variant>
        <vt:lpwstr>_Toc411610977</vt:lpwstr>
      </vt:variant>
      <vt:variant>
        <vt:i4>1507389</vt:i4>
      </vt:variant>
      <vt:variant>
        <vt:i4>446</vt:i4>
      </vt:variant>
      <vt:variant>
        <vt:i4>0</vt:i4>
      </vt:variant>
      <vt:variant>
        <vt:i4>5</vt:i4>
      </vt:variant>
      <vt:variant>
        <vt:lpwstr/>
      </vt:variant>
      <vt:variant>
        <vt:lpwstr>_Toc411610976</vt:lpwstr>
      </vt:variant>
      <vt:variant>
        <vt:i4>1507389</vt:i4>
      </vt:variant>
      <vt:variant>
        <vt:i4>440</vt:i4>
      </vt:variant>
      <vt:variant>
        <vt:i4>0</vt:i4>
      </vt:variant>
      <vt:variant>
        <vt:i4>5</vt:i4>
      </vt:variant>
      <vt:variant>
        <vt:lpwstr/>
      </vt:variant>
      <vt:variant>
        <vt:lpwstr>_Toc411610975</vt:lpwstr>
      </vt:variant>
      <vt:variant>
        <vt:i4>1507389</vt:i4>
      </vt:variant>
      <vt:variant>
        <vt:i4>434</vt:i4>
      </vt:variant>
      <vt:variant>
        <vt:i4>0</vt:i4>
      </vt:variant>
      <vt:variant>
        <vt:i4>5</vt:i4>
      </vt:variant>
      <vt:variant>
        <vt:lpwstr/>
      </vt:variant>
      <vt:variant>
        <vt:lpwstr>_Toc411610974</vt:lpwstr>
      </vt:variant>
      <vt:variant>
        <vt:i4>1507389</vt:i4>
      </vt:variant>
      <vt:variant>
        <vt:i4>428</vt:i4>
      </vt:variant>
      <vt:variant>
        <vt:i4>0</vt:i4>
      </vt:variant>
      <vt:variant>
        <vt:i4>5</vt:i4>
      </vt:variant>
      <vt:variant>
        <vt:lpwstr/>
      </vt:variant>
      <vt:variant>
        <vt:lpwstr>_Toc411610973</vt:lpwstr>
      </vt:variant>
      <vt:variant>
        <vt:i4>1507389</vt:i4>
      </vt:variant>
      <vt:variant>
        <vt:i4>422</vt:i4>
      </vt:variant>
      <vt:variant>
        <vt:i4>0</vt:i4>
      </vt:variant>
      <vt:variant>
        <vt:i4>5</vt:i4>
      </vt:variant>
      <vt:variant>
        <vt:lpwstr/>
      </vt:variant>
      <vt:variant>
        <vt:lpwstr>_Toc411610972</vt:lpwstr>
      </vt:variant>
      <vt:variant>
        <vt:i4>1507389</vt:i4>
      </vt:variant>
      <vt:variant>
        <vt:i4>416</vt:i4>
      </vt:variant>
      <vt:variant>
        <vt:i4>0</vt:i4>
      </vt:variant>
      <vt:variant>
        <vt:i4>5</vt:i4>
      </vt:variant>
      <vt:variant>
        <vt:lpwstr/>
      </vt:variant>
      <vt:variant>
        <vt:lpwstr>_Toc411610971</vt:lpwstr>
      </vt:variant>
      <vt:variant>
        <vt:i4>1507389</vt:i4>
      </vt:variant>
      <vt:variant>
        <vt:i4>410</vt:i4>
      </vt:variant>
      <vt:variant>
        <vt:i4>0</vt:i4>
      </vt:variant>
      <vt:variant>
        <vt:i4>5</vt:i4>
      </vt:variant>
      <vt:variant>
        <vt:lpwstr/>
      </vt:variant>
      <vt:variant>
        <vt:lpwstr>_Toc411610970</vt:lpwstr>
      </vt:variant>
      <vt:variant>
        <vt:i4>1441853</vt:i4>
      </vt:variant>
      <vt:variant>
        <vt:i4>404</vt:i4>
      </vt:variant>
      <vt:variant>
        <vt:i4>0</vt:i4>
      </vt:variant>
      <vt:variant>
        <vt:i4>5</vt:i4>
      </vt:variant>
      <vt:variant>
        <vt:lpwstr/>
      </vt:variant>
      <vt:variant>
        <vt:lpwstr>_Toc411610969</vt:lpwstr>
      </vt:variant>
      <vt:variant>
        <vt:i4>1441853</vt:i4>
      </vt:variant>
      <vt:variant>
        <vt:i4>398</vt:i4>
      </vt:variant>
      <vt:variant>
        <vt:i4>0</vt:i4>
      </vt:variant>
      <vt:variant>
        <vt:i4>5</vt:i4>
      </vt:variant>
      <vt:variant>
        <vt:lpwstr/>
      </vt:variant>
      <vt:variant>
        <vt:lpwstr>_Toc411610968</vt:lpwstr>
      </vt:variant>
      <vt:variant>
        <vt:i4>1441853</vt:i4>
      </vt:variant>
      <vt:variant>
        <vt:i4>392</vt:i4>
      </vt:variant>
      <vt:variant>
        <vt:i4>0</vt:i4>
      </vt:variant>
      <vt:variant>
        <vt:i4>5</vt:i4>
      </vt:variant>
      <vt:variant>
        <vt:lpwstr/>
      </vt:variant>
      <vt:variant>
        <vt:lpwstr>_Toc411610967</vt:lpwstr>
      </vt:variant>
      <vt:variant>
        <vt:i4>1441853</vt:i4>
      </vt:variant>
      <vt:variant>
        <vt:i4>386</vt:i4>
      </vt:variant>
      <vt:variant>
        <vt:i4>0</vt:i4>
      </vt:variant>
      <vt:variant>
        <vt:i4>5</vt:i4>
      </vt:variant>
      <vt:variant>
        <vt:lpwstr/>
      </vt:variant>
      <vt:variant>
        <vt:lpwstr>_Toc411610966</vt:lpwstr>
      </vt:variant>
      <vt:variant>
        <vt:i4>1441853</vt:i4>
      </vt:variant>
      <vt:variant>
        <vt:i4>380</vt:i4>
      </vt:variant>
      <vt:variant>
        <vt:i4>0</vt:i4>
      </vt:variant>
      <vt:variant>
        <vt:i4>5</vt:i4>
      </vt:variant>
      <vt:variant>
        <vt:lpwstr/>
      </vt:variant>
      <vt:variant>
        <vt:lpwstr>_Toc411610965</vt:lpwstr>
      </vt:variant>
      <vt:variant>
        <vt:i4>1441853</vt:i4>
      </vt:variant>
      <vt:variant>
        <vt:i4>374</vt:i4>
      </vt:variant>
      <vt:variant>
        <vt:i4>0</vt:i4>
      </vt:variant>
      <vt:variant>
        <vt:i4>5</vt:i4>
      </vt:variant>
      <vt:variant>
        <vt:lpwstr/>
      </vt:variant>
      <vt:variant>
        <vt:lpwstr>_Toc411610964</vt:lpwstr>
      </vt:variant>
      <vt:variant>
        <vt:i4>1441853</vt:i4>
      </vt:variant>
      <vt:variant>
        <vt:i4>368</vt:i4>
      </vt:variant>
      <vt:variant>
        <vt:i4>0</vt:i4>
      </vt:variant>
      <vt:variant>
        <vt:i4>5</vt:i4>
      </vt:variant>
      <vt:variant>
        <vt:lpwstr/>
      </vt:variant>
      <vt:variant>
        <vt:lpwstr>_Toc411610963</vt:lpwstr>
      </vt:variant>
      <vt:variant>
        <vt:i4>1441853</vt:i4>
      </vt:variant>
      <vt:variant>
        <vt:i4>362</vt:i4>
      </vt:variant>
      <vt:variant>
        <vt:i4>0</vt:i4>
      </vt:variant>
      <vt:variant>
        <vt:i4>5</vt:i4>
      </vt:variant>
      <vt:variant>
        <vt:lpwstr/>
      </vt:variant>
      <vt:variant>
        <vt:lpwstr>_Toc411610962</vt:lpwstr>
      </vt:variant>
      <vt:variant>
        <vt:i4>1441853</vt:i4>
      </vt:variant>
      <vt:variant>
        <vt:i4>356</vt:i4>
      </vt:variant>
      <vt:variant>
        <vt:i4>0</vt:i4>
      </vt:variant>
      <vt:variant>
        <vt:i4>5</vt:i4>
      </vt:variant>
      <vt:variant>
        <vt:lpwstr/>
      </vt:variant>
      <vt:variant>
        <vt:lpwstr>_Toc411610961</vt:lpwstr>
      </vt:variant>
      <vt:variant>
        <vt:i4>1441853</vt:i4>
      </vt:variant>
      <vt:variant>
        <vt:i4>350</vt:i4>
      </vt:variant>
      <vt:variant>
        <vt:i4>0</vt:i4>
      </vt:variant>
      <vt:variant>
        <vt:i4>5</vt:i4>
      </vt:variant>
      <vt:variant>
        <vt:lpwstr/>
      </vt:variant>
      <vt:variant>
        <vt:lpwstr>_Toc411610960</vt:lpwstr>
      </vt:variant>
      <vt:variant>
        <vt:i4>1376317</vt:i4>
      </vt:variant>
      <vt:variant>
        <vt:i4>344</vt:i4>
      </vt:variant>
      <vt:variant>
        <vt:i4>0</vt:i4>
      </vt:variant>
      <vt:variant>
        <vt:i4>5</vt:i4>
      </vt:variant>
      <vt:variant>
        <vt:lpwstr/>
      </vt:variant>
      <vt:variant>
        <vt:lpwstr>_Toc411610959</vt:lpwstr>
      </vt:variant>
      <vt:variant>
        <vt:i4>1376317</vt:i4>
      </vt:variant>
      <vt:variant>
        <vt:i4>338</vt:i4>
      </vt:variant>
      <vt:variant>
        <vt:i4>0</vt:i4>
      </vt:variant>
      <vt:variant>
        <vt:i4>5</vt:i4>
      </vt:variant>
      <vt:variant>
        <vt:lpwstr/>
      </vt:variant>
      <vt:variant>
        <vt:lpwstr>_Toc411610958</vt:lpwstr>
      </vt:variant>
      <vt:variant>
        <vt:i4>1376317</vt:i4>
      </vt:variant>
      <vt:variant>
        <vt:i4>332</vt:i4>
      </vt:variant>
      <vt:variant>
        <vt:i4>0</vt:i4>
      </vt:variant>
      <vt:variant>
        <vt:i4>5</vt:i4>
      </vt:variant>
      <vt:variant>
        <vt:lpwstr/>
      </vt:variant>
      <vt:variant>
        <vt:lpwstr>_Toc411610957</vt:lpwstr>
      </vt:variant>
      <vt:variant>
        <vt:i4>1376317</vt:i4>
      </vt:variant>
      <vt:variant>
        <vt:i4>326</vt:i4>
      </vt:variant>
      <vt:variant>
        <vt:i4>0</vt:i4>
      </vt:variant>
      <vt:variant>
        <vt:i4>5</vt:i4>
      </vt:variant>
      <vt:variant>
        <vt:lpwstr/>
      </vt:variant>
      <vt:variant>
        <vt:lpwstr>_Toc411610956</vt:lpwstr>
      </vt:variant>
      <vt:variant>
        <vt:i4>1376317</vt:i4>
      </vt:variant>
      <vt:variant>
        <vt:i4>320</vt:i4>
      </vt:variant>
      <vt:variant>
        <vt:i4>0</vt:i4>
      </vt:variant>
      <vt:variant>
        <vt:i4>5</vt:i4>
      </vt:variant>
      <vt:variant>
        <vt:lpwstr/>
      </vt:variant>
      <vt:variant>
        <vt:lpwstr>_Toc411610955</vt:lpwstr>
      </vt:variant>
      <vt:variant>
        <vt:i4>1376317</vt:i4>
      </vt:variant>
      <vt:variant>
        <vt:i4>314</vt:i4>
      </vt:variant>
      <vt:variant>
        <vt:i4>0</vt:i4>
      </vt:variant>
      <vt:variant>
        <vt:i4>5</vt:i4>
      </vt:variant>
      <vt:variant>
        <vt:lpwstr/>
      </vt:variant>
      <vt:variant>
        <vt:lpwstr>_Toc411610954</vt:lpwstr>
      </vt:variant>
      <vt:variant>
        <vt:i4>1376317</vt:i4>
      </vt:variant>
      <vt:variant>
        <vt:i4>308</vt:i4>
      </vt:variant>
      <vt:variant>
        <vt:i4>0</vt:i4>
      </vt:variant>
      <vt:variant>
        <vt:i4>5</vt:i4>
      </vt:variant>
      <vt:variant>
        <vt:lpwstr/>
      </vt:variant>
      <vt:variant>
        <vt:lpwstr>_Toc411610953</vt:lpwstr>
      </vt:variant>
      <vt:variant>
        <vt:i4>1376317</vt:i4>
      </vt:variant>
      <vt:variant>
        <vt:i4>302</vt:i4>
      </vt:variant>
      <vt:variant>
        <vt:i4>0</vt:i4>
      </vt:variant>
      <vt:variant>
        <vt:i4>5</vt:i4>
      </vt:variant>
      <vt:variant>
        <vt:lpwstr/>
      </vt:variant>
      <vt:variant>
        <vt:lpwstr>_Toc411610952</vt:lpwstr>
      </vt:variant>
      <vt:variant>
        <vt:i4>1376317</vt:i4>
      </vt:variant>
      <vt:variant>
        <vt:i4>296</vt:i4>
      </vt:variant>
      <vt:variant>
        <vt:i4>0</vt:i4>
      </vt:variant>
      <vt:variant>
        <vt:i4>5</vt:i4>
      </vt:variant>
      <vt:variant>
        <vt:lpwstr/>
      </vt:variant>
      <vt:variant>
        <vt:lpwstr>_Toc411610951</vt:lpwstr>
      </vt:variant>
      <vt:variant>
        <vt:i4>1376317</vt:i4>
      </vt:variant>
      <vt:variant>
        <vt:i4>290</vt:i4>
      </vt:variant>
      <vt:variant>
        <vt:i4>0</vt:i4>
      </vt:variant>
      <vt:variant>
        <vt:i4>5</vt:i4>
      </vt:variant>
      <vt:variant>
        <vt:lpwstr/>
      </vt:variant>
      <vt:variant>
        <vt:lpwstr>_Toc411610950</vt:lpwstr>
      </vt:variant>
      <vt:variant>
        <vt:i4>1310781</vt:i4>
      </vt:variant>
      <vt:variant>
        <vt:i4>284</vt:i4>
      </vt:variant>
      <vt:variant>
        <vt:i4>0</vt:i4>
      </vt:variant>
      <vt:variant>
        <vt:i4>5</vt:i4>
      </vt:variant>
      <vt:variant>
        <vt:lpwstr/>
      </vt:variant>
      <vt:variant>
        <vt:lpwstr>_Toc411610949</vt:lpwstr>
      </vt:variant>
      <vt:variant>
        <vt:i4>1310781</vt:i4>
      </vt:variant>
      <vt:variant>
        <vt:i4>278</vt:i4>
      </vt:variant>
      <vt:variant>
        <vt:i4>0</vt:i4>
      </vt:variant>
      <vt:variant>
        <vt:i4>5</vt:i4>
      </vt:variant>
      <vt:variant>
        <vt:lpwstr/>
      </vt:variant>
      <vt:variant>
        <vt:lpwstr>_Toc411610948</vt:lpwstr>
      </vt:variant>
      <vt:variant>
        <vt:i4>1310781</vt:i4>
      </vt:variant>
      <vt:variant>
        <vt:i4>272</vt:i4>
      </vt:variant>
      <vt:variant>
        <vt:i4>0</vt:i4>
      </vt:variant>
      <vt:variant>
        <vt:i4>5</vt:i4>
      </vt:variant>
      <vt:variant>
        <vt:lpwstr/>
      </vt:variant>
      <vt:variant>
        <vt:lpwstr>_Toc411610947</vt:lpwstr>
      </vt:variant>
      <vt:variant>
        <vt:i4>1310781</vt:i4>
      </vt:variant>
      <vt:variant>
        <vt:i4>266</vt:i4>
      </vt:variant>
      <vt:variant>
        <vt:i4>0</vt:i4>
      </vt:variant>
      <vt:variant>
        <vt:i4>5</vt:i4>
      </vt:variant>
      <vt:variant>
        <vt:lpwstr/>
      </vt:variant>
      <vt:variant>
        <vt:lpwstr>_Toc411610946</vt:lpwstr>
      </vt:variant>
      <vt:variant>
        <vt:i4>1310781</vt:i4>
      </vt:variant>
      <vt:variant>
        <vt:i4>260</vt:i4>
      </vt:variant>
      <vt:variant>
        <vt:i4>0</vt:i4>
      </vt:variant>
      <vt:variant>
        <vt:i4>5</vt:i4>
      </vt:variant>
      <vt:variant>
        <vt:lpwstr/>
      </vt:variant>
      <vt:variant>
        <vt:lpwstr>_Toc411610945</vt:lpwstr>
      </vt:variant>
      <vt:variant>
        <vt:i4>1310781</vt:i4>
      </vt:variant>
      <vt:variant>
        <vt:i4>254</vt:i4>
      </vt:variant>
      <vt:variant>
        <vt:i4>0</vt:i4>
      </vt:variant>
      <vt:variant>
        <vt:i4>5</vt:i4>
      </vt:variant>
      <vt:variant>
        <vt:lpwstr/>
      </vt:variant>
      <vt:variant>
        <vt:lpwstr>_Toc411610944</vt:lpwstr>
      </vt:variant>
      <vt:variant>
        <vt:i4>1310781</vt:i4>
      </vt:variant>
      <vt:variant>
        <vt:i4>248</vt:i4>
      </vt:variant>
      <vt:variant>
        <vt:i4>0</vt:i4>
      </vt:variant>
      <vt:variant>
        <vt:i4>5</vt:i4>
      </vt:variant>
      <vt:variant>
        <vt:lpwstr/>
      </vt:variant>
      <vt:variant>
        <vt:lpwstr>_Toc411610943</vt:lpwstr>
      </vt:variant>
      <vt:variant>
        <vt:i4>1310781</vt:i4>
      </vt:variant>
      <vt:variant>
        <vt:i4>242</vt:i4>
      </vt:variant>
      <vt:variant>
        <vt:i4>0</vt:i4>
      </vt:variant>
      <vt:variant>
        <vt:i4>5</vt:i4>
      </vt:variant>
      <vt:variant>
        <vt:lpwstr/>
      </vt:variant>
      <vt:variant>
        <vt:lpwstr>_Toc411610942</vt:lpwstr>
      </vt:variant>
      <vt:variant>
        <vt:i4>1310781</vt:i4>
      </vt:variant>
      <vt:variant>
        <vt:i4>236</vt:i4>
      </vt:variant>
      <vt:variant>
        <vt:i4>0</vt:i4>
      </vt:variant>
      <vt:variant>
        <vt:i4>5</vt:i4>
      </vt:variant>
      <vt:variant>
        <vt:lpwstr/>
      </vt:variant>
      <vt:variant>
        <vt:lpwstr>_Toc411610941</vt:lpwstr>
      </vt:variant>
      <vt:variant>
        <vt:i4>1310781</vt:i4>
      </vt:variant>
      <vt:variant>
        <vt:i4>230</vt:i4>
      </vt:variant>
      <vt:variant>
        <vt:i4>0</vt:i4>
      </vt:variant>
      <vt:variant>
        <vt:i4>5</vt:i4>
      </vt:variant>
      <vt:variant>
        <vt:lpwstr/>
      </vt:variant>
      <vt:variant>
        <vt:lpwstr>_Toc411610940</vt:lpwstr>
      </vt:variant>
      <vt:variant>
        <vt:i4>1245245</vt:i4>
      </vt:variant>
      <vt:variant>
        <vt:i4>224</vt:i4>
      </vt:variant>
      <vt:variant>
        <vt:i4>0</vt:i4>
      </vt:variant>
      <vt:variant>
        <vt:i4>5</vt:i4>
      </vt:variant>
      <vt:variant>
        <vt:lpwstr/>
      </vt:variant>
      <vt:variant>
        <vt:lpwstr>_Toc411610939</vt:lpwstr>
      </vt:variant>
      <vt:variant>
        <vt:i4>1245245</vt:i4>
      </vt:variant>
      <vt:variant>
        <vt:i4>218</vt:i4>
      </vt:variant>
      <vt:variant>
        <vt:i4>0</vt:i4>
      </vt:variant>
      <vt:variant>
        <vt:i4>5</vt:i4>
      </vt:variant>
      <vt:variant>
        <vt:lpwstr/>
      </vt:variant>
      <vt:variant>
        <vt:lpwstr>_Toc411610938</vt:lpwstr>
      </vt:variant>
      <vt:variant>
        <vt:i4>1245245</vt:i4>
      </vt:variant>
      <vt:variant>
        <vt:i4>212</vt:i4>
      </vt:variant>
      <vt:variant>
        <vt:i4>0</vt:i4>
      </vt:variant>
      <vt:variant>
        <vt:i4>5</vt:i4>
      </vt:variant>
      <vt:variant>
        <vt:lpwstr/>
      </vt:variant>
      <vt:variant>
        <vt:lpwstr>_Toc411610937</vt:lpwstr>
      </vt:variant>
      <vt:variant>
        <vt:i4>1245245</vt:i4>
      </vt:variant>
      <vt:variant>
        <vt:i4>206</vt:i4>
      </vt:variant>
      <vt:variant>
        <vt:i4>0</vt:i4>
      </vt:variant>
      <vt:variant>
        <vt:i4>5</vt:i4>
      </vt:variant>
      <vt:variant>
        <vt:lpwstr/>
      </vt:variant>
      <vt:variant>
        <vt:lpwstr>_Toc411610936</vt:lpwstr>
      </vt:variant>
      <vt:variant>
        <vt:i4>1245245</vt:i4>
      </vt:variant>
      <vt:variant>
        <vt:i4>200</vt:i4>
      </vt:variant>
      <vt:variant>
        <vt:i4>0</vt:i4>
      </vt:variant>
      <vt:variant>
        <vt:i4>5</vt:i4>
      </vt:variant>
      <vt:variant>
        <vt:lpwstr/>
      </vt:variant>
      <vt:variant>
        <vt:lpwstr>_Toc411610935</vt:lpwstr>
      </vt:variant>
      <vt:variant>
        <vt:i4>1245245</vt:i4>
      </vt:variant>
      <vt:variant>
        <vt:i4>194</vt:i4>
      </vt:variant>
      <vt:variant>
        <vt:i4>0</vt:i4>
      </vt:variant>
      <vt:variant>
        <vt:i4>5</vt:i4>
      </vt:variant>
      <vt:variant>
        <vt:lpwstr/>
      </vt:variant>
      <vt:variant>
        <vt:lpwstr>_Toc411610934</vt:lpwstr>
      </vt:variant>
      <vt:variant>
        <vt:i4>1245245</vt:i4>
      </vt:variant>
      <vt:variant>
        <vt:i4>188</vt:i4>
      </vt:variant>
      <vt:variant>
        <vt:i4>0</vt:i4>
      </vt:variant>
      <vt:variant>
        <vt:i4>5</vt:i4>
      </vt:variant>
      <vt:variant>
        <vt:lpwstr/>
      </vt:variant>
      <vt:variant>
        <vt:lpwstr>_Toc411610933</vt:lpwstr>
      </vt:variant>
      <vt:variant>
        <vt:i4>1245245</vt:i4>
      </vt:variant>
      <vt:variant>
        <vt:i4>182</vt:i4>
      </vt:variant>
      <vt:variant>
        <vt:i4>0</vt:i4>
      </vt:variant>
      <vt:variant>
        <vt:i4>5</vt:i4>
      </vt:variant>
      <vt:variant>
        <vt:lpwstr/>
      </vt:variant>
      <vt:variant>
        <vt:lpwstr>_Toc411610932</vt:lpwstr>
      </vt:variant>
      <vt:variant>
        <vt:i4>1245245</vt:i4>
      </vt:variant>
      <vt:variant>
        <vt:i4>176</vt:i4>
      </vt:variant>
      <vt:variant>
        <vt:i4>0</vt:i4>
      </vt:variant>
      <vt:variant>
        <vt:i4>5</vt:i4>
      </vt:variant>
      <vt:variant>
        <vt:lpwstr/>
      </vt:variant>
      <vt:variant>
        <vt:lpwstr>_Toc411610931</vt:lpwstr>
      </vt:variant>
      <vt:variant>
        <vt:i4>1245245</vt:i4>
      </vt:variant>
      <vt:variant>
        <vt:i4>170</vt:i4>
      </vt:variant>
      <vt:variant>
        <vt:i4>0</vt:i4>
      </vt:variant>
      <vt:variant>
        <vt:i4>5</vt:i4>
      </vt:variant>
      <vt:variant>
        <vt:lpwstr/>
      </vt:variant>
      <vt:variant>
        <vt:lpwstr>_Toc411610930</vt:lpwstr>
      </vt:variant>
      <vt:variant>
        <vt:i4>1179709</vt:i4>
      </vt:variant>
      <vt:variant>
        <vt:i4>164</vt:i4>
      </vt:variant>
      <vt:variant>
        <vt:i4>0</vt:i4>
      </vt:variant>
      <vt:variant>
        <vt:i4>5</vt:i4>
      </vt:variant>
      <vt:variant>
        <vt:lpwstr/>
      </vt:variant>
      <vt:variant>
        <vt:lpwstr>_Toc411610929</vt:lpwstr>
      </vt:variant>
      <vt:variant>
        <vt:i4>1179709</vt:i4>
      </vt:variant>
      <vt:variant>
        <vt:i4>158</vt:i4>
      </vt:variant>
      <vt:variant>
        <vt:i4>0</vt:i4>
      </vt:variant>
      <vt:variant>
        <vt:i4>5</vt:i4>
      </vt:variant>
      <vt:variant>
        <vt:lpwstr/>
      </vt:variant>
      <vt:variant>
        <vt:lpwstr>_Toc411610928</vt:lpwstr>
      </vt:variant>
      <vt:variant>
        <vt:i4>1179709</vt:i4>
      </vt:variant>
      <vt:variant>
        <vt:i4>152</vt:i4>
      </vt:variant>
      <vt:variant>
        <vt:i4>0</vt:i4>
      </vt:variant>
      <vt:variant>
        <vt:i4>5</vt:i4>
      </vt:variant>
      <vt:variant>
        <vt:lpwstr/>
      </vt:variant>
      <vt:variant>
        <vt:lpwstr>_Toc411610927</vt:lpwstr>
      </vt:variant>
      <vt:variant>
        <vt:i4>1179709</vt:i4>
      </vt:variant>
      <vt:variant>
        <vt:i4>146</vt:i4>
      </vt:variant>
      <vt:variant>
        <vt:i4>0</vt:i4>
      </vt:variant>
      <vt:variant>
        <vt:i4>5</vt:i4>
      </vt:variant>
      <vt:variant>
        <vt:lpwstr/>
      </vt:variant>
      <vt:variant>
        <vt:lpwstr>_Toc411610926</vt:lpwstr>
      </vt:variant>
      <vt:variant>
        <vt:i4>1179709</vt:i4>
      </vt:variant>
      <vt:variant>
        <vt:i4>140</vt:i4>
      </vt:variant>
      <vt:variant>
        <vt:i4>0</vt:i4>
      </vt:variant>
      <vt:variant>
        <vt:i4>5</vt:i4>
      </vt:variant>
      <vt:variant>
        <vt:lpwstr/>
      </vt:variant>
      <vt:variant>
        <vt:lpwstr>_Toc411610925</vt:lpwstr>
      </vt:variant>
      <vt:variant>
        <vt:i4>1179709</vt:i4>
      </vt:variant>
      <vt:variant>
        <vt:i4>134</vt:i4>
      </vt:variant>
      <vt:variant>
        <vt:i4>0</vt:i4>
      </vt:variant>
      <vt:variant>
        <vt:i4>5</vt:i4>
      </vt:variant>
      <vt:variant>
        <vt:lpwstr/>
      </vt:variant>
      <vt:variant>
        <vt:lpwstr>_Toc411610924</vt:lpwstr>
      </vt:variant>
      <vt:variant>
        <vt:i4>1179709</vt:i4>
      </vt:variant>
      <vt:variant>
        <vt:i4>128</vt:i4>
      </vt:variant>
      <vt:variant>
        <vt:i4>0</vt:i4>
      </vt:variant>
      <vt:variant>
        <vt:i4>5</vt:i4>
      </vt:variant>
      <vt:variant>
        <vt:lpwstr/>
      </vt:variant>
      <vt:variant>
        <vt:lpwstr>_Toc411610923</vt:lpwstr>
      </vt:variant>
      <vt:variant>
        <vt:i4>1179709</vt:i4>
      </vt:variant>
      <vt:variant>
        <vt:i4>122</vt:i4>
      </vt:variant>
      <vt:variant>
        <vt:i4>0</vt:i4>
      </vt:variant>
      <vt:variant>
        <vt:i4>5</vt:i4>
      </vt:variant>
      <vt:variant>
        <vt:lpwstr/>
      </vt:variant>
      <vt:variant>
        <vt:lpwstr>_Toc411610922</vt:lpwstr>
      </vt:variant>
      <vt:variant>
        <vt:i4>1179709</vt:i4>
      </vt:variant>
      <vt:variant>
        <vt:i4>116</vt:i4>
      </vt:variant>
      <vt:variant>
        <vt:i4>0</vt:i4>
      </vt:variant>
      <vt:variant>
        <vt:i4>5</vt:i4>
      </vt:variant>
      <vt:variant>
        <vt:lpwstr/>
      </vt:variant>
      <vt:variant>
        <vt:lpwstr>_Toc411610921</vt:lpwstr>
      </vt:variant>
      <vt:variant>
        <vt:i4>1179709</vt:i4>
      </vt:variant>
      <vt:variant>
        <vt:i4>110</vt:i4>
      </vt:variant>
      <vt:variant>
        <vt:i4>0</vt:i4>
      </vt:variant>
      <vt:variant>
        <vt:i4>5</vt:i4>
      </vt:variant>
      <vt:variant>
        <vt:lpwstr/>
      </vt:variant>
      <vt:variant>
        <vt:lpwstr>_Toc411610920</vt:lpwstr>
      </vt:variant>
      <vt:variant>
        <vt:i4>1114173</vt:i4>
      </vt:variant>
      <vt:variant>
        <vt:i4>104</vt:i4>
      </vt:variant>
      <vt:variant>
        <vt:i4>0</vt:i4>
      </vt:variant>
      <vt:variant>
        <vt:i4>5</vt:i4>
      </vt:variant>
      <vt:variant>
        <vt:lpwstr/>
      </vt:variant>
      <vt:variant>
        <vt:lpwstr>_Toc411610919</vt:lpwstr>
      </vt:variant>
      <vt:variant>
        <vt:i4>1114173</vt:i4>
      </vt:variant>
      <vt:variant>
        <vt:i4>98</vt:i4>
      </vt:variant>
      <vt:variant>
        <vt:i4>0</vt:i4>
      </vt:variant>
      <vt:variant>
        <vt:i4>5</vt:i4>
      </vt:variant>
      <vt:variant>
        <vt:lpwstr/>
      </vt:variant>
      <vt:variant>
        <vt:lpwstr>_Toc411610918</vt:lpwstr>
      </vt:variant>
      <vt:variant>
        <vt:i4>1114173</vt:i4>
      </vt:variant>
      <vt:variant>
        <vt:i4>92</vt:i4>
      </vt:variant>
      <vt:variant>
        <vt:i4>0</vt:i4>
      </vt:variant>
      <vt:variant>
        <vt:i4>5</vt:i4>
      </vt:variant>
      <vt:variant>
        <vt:lpwstr/>
      </vt:variant>
      <vt:variant>
        <vt:lpwstr>_Toc411610917</vt:lpwstr>
      </vt:variant>
      <vt:variant>
        <vt:i4>1114173</vt:i4>
      </vt:variant>
      <vt:variant>
        <vt:i4>86</vt:i4>
      </vt:variant>
      <vt:variant>
        <vt:i4>0</vt:i4>
      </vt:variant>
      <vt:variant>
        <vt:i4>5</vt:i4>
      </vt:variant>
      <vt:variant>
        <vt:lpwstr/>
      </vt:variant>
      <vt:variant>
        <vt:lpwstr>_Toc411610916</vt:lpwstr>
      </vt:variant>
      <vt:variant>
        <vt:i4>1114173</vt:i4>
      </vt:variant>
      <vt:variant>
        <vt:i4>80</vt:i4>
      </vt:variant>
      <vt:variant>
        <vt:i4>0</vt:i4>
      </vt:variant>
      <vt:variant>
        <vt:i4>5</vt:i4>
      </vt:variant>
      <vt:variant>
        <vt:lpwstr/>
      </vt:variant>
      <vt:variant>
        <vt:lpwstr>_Toc411610915</vt:lpwstr>
      </vt:variant>
      <vt:variant>
        <vt:i4>1114173</vt:i4>
      </vt:variant>
      <vt:variant>
        <vt:i4>74</vt:i4>
      </vt:variant>
      <vt:variant>
        <vt:i4>0</vt:i4>
      </vt:variant>
      <vt:variant>
        <vt:i4>5</vt:i4>
      </vt:variant>
      <vt:variant>
        <vt:lpwstr/>
      </vt:variant>
      <vt:variant>
        <vt:lpwstr>_Toc411610914</vt:lpwstr>
      </vt:variant>
      <vt:variant>
        <vt:i4>1114173</vt:i4>
      </vt:variant>
      <vt:variant>
        <vt:i4>68</vt:i4>
      </vt:variant>
      <vt:variant>
        <vt:i4>0</vt:i4>
      </vt:variant>
      <vt:variant>
        <vt:i4>5</vt:i4>
      </vt:variant>
      <vt:variant>
        <vt:lpwstr/>
      </vt:variant>
      <vt:variant>
        <vt:lpwstr>_Toc411610913</vt:lpwstr>
      </vt:variant>
      <vt:variant>
        <vt:i4>1114173</vt:i4>
      </vt:variant>
      <vt:variant>
        <vt:i4>62</vt:i4>
      </vt:variant>
      <vt:variant>
        <vt:i4>0</vt:i4>
      </vt:variant>
      <vt:variant>
        <vt:i4>5</vt:i4>
      </vt:variant>
      <vt:variant>
        <vt:lpwstr/>
      </vt:variant>
      <vt:variant>
        <vt:lpwstr>_Toc411610912</vt:lpwstr>
      </vt:variant>
      <vt:variant>
        <vt:i4>1114173</vt:i4>
      </vt:variant>
      <vt:variant>
        <vt:i4>56</vt:i4>
      </vt:variant>
      <vt:variant>
        <vt:i4>0</vt:i4>
      </vt:variant>
      <vt:variant>
        <vt:i4>5</vt:i4>
      </vt:variant>
      <vt:variant>
        <vt:lpwstr/>
      </vt:variant>
      <vt:variant>
        <vt:lpwstr>_Toc411610911</vt:lpwstr>
      </vt:variant>
      <vt:variant>
        <vt:i4>1114173</vt:i4>
      </vt:variant>
      <vt:variant>
        <vt:i4>50</vt:i4>
      </vt:variant>
      <vt:variant>
        <vt:i4>0</vt:i4>
      </vt:variant>
      <vt:variant>
        <vt:i4>5</vt:i4>
      </vt:variant>
      <vt:variant>
        <vt:lpwstr/>
      </vt:variant>
      <vt:variant>
        <vt:lpwstr>_Toc411610910</vt:lpwstr>
      </vt:variant>
      <vt:variant>
        <vt:i4>1048637</vt:i4>
      </vt:variant>
      <vt:variant>
        <vt:i4>44</vt:i4>
      </vt:variant>
      <vt:variant>
        <vt:i4>0</vt:i4>
      </vt:variant>
      <vt:variant>
        <vt:i4>5</vt:i4>
      </vt:variant>
      <vt:variant>
        <vt:lpwstr/>
      </vt:variant>
      <vt:variant>
        <vt:lpwstr>_Toc411610909</vt:lpwstr>
      </vt:variant>
      <vt:variant>
        <vt:i4>1048637</vt:i4>
      </vt:variant>
      <vt:variant>
        <vt:i4>38</vt:i4>
      </vt:variant>
      <vt:variant>
        <vt:i4>0</vt:i4>
      </vt:variant>
      <vt:variant>
        <vt:i4>5</vt:i4>
      </vt:variant>
      <vt:variant>
        <vt:lpwstr/>
      </vt:variant>
      <vt:variant>
        <vt:lpwstr>_Toc411610908</vt:lpwstr>
      </vt:variant>
      <vt:variant>
        <vt:i4>1048637</vt:i4>
      </vt:variant>
      <vt:variant>
        <vt:i4>32</vt:i4>
      </vt:variant>
      <vt:variant>
        <vt:i4>0</vt:i4>
      </vt:variant>
      <vt:variant>
        <vt:i4>5</vt:i4>
      </vt:variant>
      <vt:variant>
        <vt:lpwstr/>
      </vt:variant>
      <vt:variant>
        <vt:lpwstr>_Toc411610907</vt:lpwstr>
      </vt:variant>
      <vt:variant>
        <vt:i4>1048637</vt:i4>
      </vt:variant>
      <vt:variant>
        <vt:i4>26</vt:i4>
      </vt:variant>
      <vt:variant>
        <vt:i4>0</vt:i4>
      </vt:variant>
      <vt:variant>
        <vt:i4>5</vt:i4>
      </vt:variant>
      <vt:variant>
        <vt:lpwstr/>
      </vt:variant>
      <vt:variant>
        <vt:lpwstr>_Toc411610906</vt:lpwstr>
      </vt:variant>
      <vt:variant>
        <vt:i4>1048637</vt:i4>
      </vt:variant>
      <vt:variant>
        <vt:i4>20</vt:i4>
      </vt:variant>
      <vt:variant>
        <vt:i4>0</vt:i4>
      </vt:variant>
      <vt:variant>
        <vt:i4>5</vt:i4>
      </vt:variant>
      <vt:variant>
        <vt:lpwstr/>
      </vt:variant>
      <vt:variant>
        <vt:lpwstr>_Toc411610905</vt:lpwstr>
      </vt:variant>
      <vt:variant>
        <vt:i4>1048637</vt:i4>
      </vt:variant>
      <vt:variant>
        <vt:i4>14</vt:i4>
      </vt:variant>
      <vt:variant>
        <vt:i4>0</vt:i4>
      </vt:variant>
      <vt:variant>
        <vt:i4>5</vt:i4>
      </vt:variant>
      <vt:variant>
        <vt:lpwstr/>
      </vt:variant>
      <vt:variant>
        <vt:lpwstr>_Toc411610904</vt:lpwstr>
      </vt:variant>
      <vt:variant>
        <vt:i4>1048637</vt:i4>
      </vt:variant>
      <vt:variant>
        <vt:i4>8</vt:i4>
      </vt:variant>
      <vt:variant>
        <vt:i4>0</vt:i4>
      </vt:variant>
      <vt:variant>
        <vt:i4>5</vt:i4>
      </vt:variant>
      <vt:variant>
        <vt:lpwstr/>
      </vt:variant>
      <vt:variant>
        <vt:lpwstr>_Toc411610903</vt:lpwstr>
      </vt:variant>
      <vt:variant>
        <vt:i4>1048637</vt:i4>
      </vt:variant>
      <vt:variant>
        <vt:i4>2</vt:i4>
      </vt:variant>
      <vt:variant>
        <vt:i4>0</vt:i4>
      </vt:variant>
      <vt:variant>
        <vt:i4>5</vt:i4>
      </vt:variant>
      <vt:variant>
        <vt:lpwstr/>
      </vt:variant>
      <vt:variant>
        <vt:lpwstr>_Toc411610902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Célia Reis Abrantes Parente</dc:creator>
  <cp:keywords/>
  <dc:description/>
  <cp:lastModifiedBy>Elsa Margarida Gonçalves de Jesus</cp:lastModifiedBy>
  <cp:revision>4</cp:revision>
  <cp:lastPrinted>2026-03-05T11:11:00Z</cp:lastPrinted>
  <dcterms:created xsi:type="dcterms:W3CDTF">2026-04-09T13:21:00Z</dcterms:created>
  <dcterms:modified xsi:type="dcterms:W3CDTF">2026-04-09T13:21:00Z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81dc60-f44c-4919-a0dd-7105e28bd5c8_Enabled">
    <vt:lpwstr>true</vt:lpwstr>
  </property>
  <property fmtid="{D5CDD505-2E9C-101B-9397-08002B2CF9AE}" pid="3" name="MSIP_Label_5881dc60-f44c-4919-a0dd-7105e28bd5c8_SetDate">
    <vt:lpwstr>2020-06-03T13:27:15Z</vt:lpwstr>
  </property>
  <property fmtid="{D5CDD505-2E9C-101B-9397-08002B2CF9AE}" pid="4" name="MSIP_Label_5881dc60-f44c-4919-a0dd-7105e28bd5c8_Method">
    <vt:lpwstr>Standard</vt:lpwstr>
  </property>
  <property fmtid="{D5CDD505-2E9C-101B-9397-08002B2CF9AE}" pid="5" name="MSIP_Label_5881dc60-f44c-4919-a0dd-7105e28bd5c8_Name">
    <vt:lpwstr>Público</vt:lpwstr>
  </property>
  <property fmtid="{D5CDD505-2E9C-101B-9397-08002B2CF9AE}" pid="6" name="MSIP_Label_5881dc60-f44c-4919-a0dd-7105e28bd5c8_SiteId">
    <vt:lpwstr>c91010e5-981f-469d-83e9-818c3007b9e1</vt:lpwstr>
  </property>
  <property fmtid="{D5CDD505-2E9C-101B-9397-08002B2CF9AE}" pid="7" name="MSIP_Label_5881dc60-f44c-4919-a0dd-7105e28bd5c8_ActionId">
    <vt:lpwstr>77393ffd-6bae-4090-9e74-78711bf13be0</vt:lpwstr>
  </property>
  <property fmtid="{D5CDD505-2E9C-101B-9397-08002B2CF9AE}" pid="8" name="MSIP_Label_5881dc60-f44c-4919-a0dd-7105e28bd5c8_ContentBits">
    <vt:lpwstr>0</vt:lpwstr>
  </property>
  <property fmtid="{D5CDD505-2E9C-101B-9397-08002B2CF9AE}" pid="9" name="ContentTypeId">
    <vt:lpwstr>0x010100C18FFB7EA797204CA13BFE35BF7E62BF</vt:lpwstr>
  </property>
</Properties>
</file>